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REAL-OPTIONS VALUE OF ORBITAL SLOTS: IS THE FCC SPECTRUM/ORBITAL FILING A DEFERR</w:t>
      </w:r>
    </w:p>
    <w:p>
      <w:pPr>
        <w:jc w:val="center"/>
      </w:pPr>
    </w:p>
    <w:p>
      <w:pPr>
        <w:jc w:val="center"/>
      </w:pPr>
      <w:r>
        <w:rPr>
          <w:rFonts w:ascii="Times New Roman" w:hAnsi="Times New Roman"/>
          <w:sz w:val="24"/>
        </w:rPr>
        <w:t>by</w:t>
      </w:r>
    </w:p>
    <w:p>
      <w:pPr>
        <w:jc w:val="center"/>
      </w:pPr>
      <w:r>
        <w:rPr>
          <w:rFonts w:ascii="Times New Roman" w:hAnsi="Times New Roman"/>
          <w:b/>
          <w:sz w:val="28"/>
        </w:rPr>
        <w:t>Tomas Bell</w:t>
      </w:r>
    </w:p>
    <w:p>
      <w:pPr>
        <w:jc w:val="center"/>
      </w:pPr>
      <w:r>
        <w:rPr>
          <w:rFonts w:ascii="Times New Roman" w:hAnsi="Times New Roman"/>
          <w:sz w:val="24"/>
        </w:rPr>
        <w:t>1B-ECO-155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introduction"/>
    <w:p>
      <w:pPr>
        <w:pStyle w:val="Heading1"/>
        <w:spacing w:line="480" w:lineRule="auto"/>
      </w:pPr>
      <w:r>
        <w:t xml:space="preserve">Introduction</w:t>
      </w:r>
    </w:p>
    <w:p>
      <w:pPr>
        <w:pStyle w:val="FirstParagraph"/>
        <w:spacing w:line="480" w:lineRule="auto"/>
      </w:pPr>
      <w:r>
        <w:t xml:space="preserve">A satellite operator cannot simply build and fly. Before hardware reaches orbit, the operator must secure two scarce and interlocking forms of access: a slice of usable radio spectrum and a place to fly through, whether a geostationary longitude or a low-orbit shell. In the United States that access begins with a filing at the Federal Communications Commission, and the timing of what happens after the filing is accepted turns out to be economically consequential in ways the administrative framing tends to hide. This dissertation treats the FCC filing not as a neutral queue ticket but as a candidate economic instrument. The central question is whether a filing behaves like a deferment option, a right that preserves the possibility of future deployment while the operator watches demand, financing, launch availability, coordination burden, and competitive entry resolve themselves.</w:t>
      </w:r>
    </w:p>
    <w:p>
      <w:pPr>
        <w:pStyle w:val="BodyText"/>
        <w:spacing w:line="480" w:lineRule="auto"/>
        <w:ind w:firstLine="720"/>
      </w:pPr>
      <w:r>
        <w:t xml:space="preserve">This distinction is not academic hair-splitting. If a filing only screens applicants and reserves priority, then an application that never flies is administrative debris, a failure to be cleaned up through milestone enforcement. If a filing also carries genuine option value, then non-deployment can be a rational exercise of flexibility rather than a lapse, and the governance response should differ accordingly. Real-options theory gives this intuition a precise shape. An option to defer an irreversible, capital-intensive investment gains value when uncertainty is high and when waiting lets the holder learn before committing</w:t>
      </w:r>
      <w:r>
        <w:t xml:space="preserve"> </w:t>
      </w:r>
      <w:hyperlink w:anchor="ref-9">
        <w:r>
          <w:rPr>
            <w:rStyle w:val="Hyperlink"/>
          </w:rPr>
          <w:t xml:space="preserve">[9]</w:t>
        </w:r>
      </w:hyperlink>
      <w:r>
        <w:t xml:space="preserve"> </w:t>
      </w:r>
      <w:hyperlink w:anchor="ref-10">
        <w:r>
          <w:rPr>
            <w:rStyle w:val="Hyperlink"/>
          </w:rPr>
          <w:t xml:space="preserve">[10]</w:t>
        </w:r>
      </w:hyperlink>
      <w:r>
        <w:t xml:space="preserve">. Satellite deployment is close to the textbook case: launch is expensive, largely irreversible, and undertaken against demand and technology risk that resolves only with time.</w:t>
      </w:r>
    </w:p>
    <w:p>
      <w:pPr>
        <w:pStyle w:val="BodyText"/>
        <w:spacing w:line="480" w:lineRule="auto"/>
        <w:ind w:firstLine="720"/>
      </w:pPr>
      <w:r>
        <w:t xml:space="preserve">The filing sits at the front of that decision. It is where waiting becomes legal.</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Orbital and spectrum resources are scarce, congested, and increasingly contested. Geostationary slots face rising intrinsic and actual costs as debris and interference erode the value of a longitude</w:t>
      </w:r>
      <w:r>
        <w:t xml:space="preserve"> </w:t>
      </w:r>
      <w:hyperlink w:anchor="ref-2">
        <w:r>
          <w:rPr>
            <w:rStyle w:val="Hyperlink"/>
          </w:rPr>
          <w:t xml:space="preserve">[2]</w:t>
        </w:r>
      </w:hyperlink>
      <w:r>
        <w:t xml:space="preserve">. Independent assessment of harmful interference and compliance in the geosynchronous regime remains difficult because transparency is thin</w:t>
      </w:r>
      <w:r>
        <w:t xml:space="preserve"> </w:t>
      </w:r>
      <w:hyperlink w:anchor="ref-4">
        <w:r>
          <w:rPr>
            <w:rStyle w:val="Hyperlink"/>
          </w:rPr>
          <w:t xml:space="preserve">[4]</w:t>
        </w:r>
      </w:hyperlink>
      <w:r>
        <w:t xml:space="preserve">. Low Earth orbit is the theater of a strategically framed broadband competition, and projected low-orbit demand has been studied directly against the environmental capacity of the shells operators want to occupy</w:t>
      </w:r>
      <w:r>
        <w:t xml:space="preserve"> </w:t>
      </w:r>
      <w:hyperlink w:anchor="ref-3">
        <w:r>
          <w:rPr>
            <w:rStyle w:val="Hyperlink"/>
          </w:rPr>
          <w:t xml:space="preserve">[3]</w:t>
        </w:r>
      </w:hyperlink>
      <w:r>
        <w:t xml:space="preserve"> </w:t>
      </w:r>
      <w:hyperlink w:anchor="ref-6">
        <w:r>
          <w:rPr>
            <w:rStyle w:val="Hyperlink"/>
          </w:rPr>
          <w:t xml:space="preserve">[6]</w:t>
        </w:r>
      </w:hyperlink>
      <w:r>
        <w:t xml:space="preserve">. Large constellations raise space-traffic-management concerns that begin the moment a filing reserves operational possibilities long before a full system is on orbit</w:t>
      </w:r>
      <w:r>
        <w:t xml:space="preserve"> </w:t>
      </w:r>
      <w:hyperlink w:anchor="ref-8">
        <w:r>
          <w:rPr>
            <w:rStyle w:val="Hyperlink"/>
          </w:rPr>
          <w:t xml:space="preserve">[8]</w:t>
        </w:r>
      </w:hyperlink>
      <w:r>
        <w:t xml:space="preserve">. The legal architecture around all of this, from milestone rules to the sustainability provisions debated at recent world radiocommunication conferences, treats filing and buildout as governance instruments rather than clerical steps</w:t>
      </w:r>
      <w:r>
        <w:t xml:space="preserve"> </w:t>
      </w:r>
      <w:hyperlink w:anchor="ref-1">
        <w:r>
          <w:rPr>
            <w:rStyle w:val="Hyperlink"/>
          </w:rPr>
          <w:t xml:space="preserve">[1]</w:t>
        </w:r>
      </w:hyperlink>
      <w:r>
        <w:t xml:space="preserve">.</w:t>
      </w:r>
    </w:p>
    <w:p>
      <w:pPr>
        <w:pStyle w:val="BodyText"/>
        <w:spacing w:line="480" w:lineRule="auto"/>
        <w:ind w:firstLine="720"/>
      </w:pPr>
      <w:r>
        <w:t xml:space="preserve">Put those facts together and a specific worry emerges. If filing rights are cheap to hold and valuable to wait on, applicants can warehouse scarce orbital and spectrum access without credible plans to execute. The regulator then faces a design problem. It must preserve the legitimate flexibility that staged, uncertain space projects genuinely require, while discouraging the accumulation of paper positions that crowd the environment and delay the resolution of who will actually use a resource. Answering that design problem requires first knowing whether filings carry option value at all. That is the empirical hole this work addresses.</w:t>
      </w:r>
    </w:p>
    <w:p>
      <w:pPr>
        <w:pStyle w:val="BodyText"/>
        <w:spacing w:line="480" w:lineRule="auto"/>
        <w:ind w:firstLine="720"/>
      </w:pPr>
      <w:r>
        <w:t xml:space="preserve">The stakes are not confined to spectrum lawyers. A longitude warehoused in geostationary orbit is a longitude another operator cannot coordinate around, and a low-orbit shell reserved on paper shapes how projected demand collides with environmental capacity</w:t>
      </w:r>
      <w:r>
        <w:t xml:space="preserve"> </w:t>
      </w:r>
      <w:hyperlink w:anchor="ref-6">
        <w:r>
          <w:rPr>
            <w:rStyle w:val="Hyperlink"/>
          </w:rPr>
          <w:t xml:space="preserve">[6]</w:t>
        </w:r>
      </w:hyperlink>
      <w:r>
        <w:t xml:space="preserve">. When the count of filings outruns the count of credible builders, the coordination burden on everyone rises, and the interference and traffic-management problems that already strain the geosynchronous and low-orbit regimes get worse</w:t>
      </w:r>
      <w:r>
        <w:t xml:space="preserve"> </w:t>
      </w:r>
      <w:hyperlink w:anchor="ref-4">
        <w:r>
          <w:rPr>
            <w:rStyle w:val="Hyperlink"/>
          </w:rPr>
          <w:t xml:space="preserve">[4]</w:t>
        </w:r>
      </w:hyperlink>
      <w:r>
        <w:t xml:space="preserve"> </w:t>
      </w:r>
      <w:hyperlink w:anchor="ref-8">
        <w:r>
          <w:rPr>
            <w:rStyle w:val="Hyperlink"/>
          </w:rPr>
          <w:t xml:space="preserve">[8]</w:t>
        </w:r>
      </w:hyperlink>
      <w:r>
        <w:t xml:space="preserve">. So the question of whether a filing is an option is bound up with the question of whether the orbital commons can be governed at the pace at which it is filling.</w:t>
      </w:r>
    </w:p>
    <w:p>
      <w:pPr>
        <w:pStyle w:val="BodyText"/>
        <w:spacing w:line="480" w:lineRule="auto"/>
        <w:ind w:firstLine="720"/>
      </w:pPr>
      <w:r>
        <w:t xml:space="preserve">Consider the difference the answer makes to a working regulator. A Commission that reads every undeployed filing as a lapse will reach for enforcement: tighter milestones, forfeited bonds, revoked authorizations. A Commission that recognizes some undeployed filings as rationally held options will hesitate before that reflex, because destroying an option that a staged, uncertain project legitimately needs can be as costly as tolerating a paper reservation that a speculator will never build. Neither posture is right in every case, and the whole point of measuring option content is to tell the two situations apart. The regulator needs a way to ask, of a given long-idle filing, whether its holder is waiting for information to resolve or simply sitting on scarce access. That question has been unanswerable at the level of the filing record, and answering it is the practical payoff of the exercise.</w:t>
      </w:r>
    </w:p>
    <w:bookmarkEnd w:id="61"/>
    <w:bookmarkStart w:id="62" w:name="X54efc117278fe0da8780e85f807d0b68c042f48"/>
    <w:p>
      <w:pPr>
        <w:pStyle w:val="Heading2"/>
        <w:spacing w:line="480" w:lineRule="auto"/>
      </w:pPr>
      <w:r>
        <w:t xml:space="preserve">The setting in which the question is sharp</w:t>
      </w:r>
    </w:p>
    <w:p>
      <w:pPr>
        <w:pStyle w:val="FirstParagraph"/>
        <w:spacing w:line="480" w:lineRule="auto"/>
      </w:pPr>
      <w:r>
        <w:t xml:space="preserve">The last decade made this question urgent rather than abstract. A wave of large non-geostationary constellation filings arrived at the Commission in a compressed window, several of them in a single processing round, each proposing hundreds or thousands of satellites against demand nobody could yet size</w:t>
      </w:r>
      <w:r>
        <w:t xml:space="preserve"> </w:t>
      </w:r>
      <w:hyperlink w:anchor="ref-3">
        <w:r>
          <w:rPr>
            <w:rStyle w:val="Hyperlink"/>
          </w:rPr>
          <w:t xml:space="preserve">[3]</w:t>
        </w:r>
      </w:hyperlink>
      <w:r>
        <w:t xml:space="preserve">. Some of those filings became Starlink and OneWeb and Kuiper, systems now on orbit in large numbers. Others became LeoSat and Audacy and Theia, names that appear in the docket record and nowhere in the catalog of flying spacecraft. The same administrative object, an accepted filing, resolved into deployed capacity in some hands and into a preserved-then-abandoned position in others. That divergence is the empirical texture the option question is meant to explain, and it is visible only because the filings and their outcomes are both on the public record.</w:t>
      </w:r>
    </w:p>
    <w:p>
      <w:pPr>
        <w:pStyle w:val="BodyText"/>
        <w:spacing w:line="480" w:lineRule="auto"/>
        <w:ind w:firstLine="720"/>
      </w:pPr>
      <w:r>
        <w:t xml:space="preserve">The physical environment sharpens the stakes further. Low Earth orbit shells have finite capacity, and projected demand has been modeled pressing against that capacity, so a reservation is not free even when it never flies</w:t>
      </w:r>
      <w:r>
        <w:t xml:space="preserve"> </w:t>
      </w:r>
      <w:hyperlink w:anchor="ref-6">
        <w:r>
          <w:rPr>
            <w:rStyle w:val="Hyperlink"/>
          </w:rPr>
          <w:t xml:space="preserve">[6]</w:t>
        </w:r>
      </w:hyperlink>
      <w:r>
        <w:t xml:space="preserve">. The geosynchronous regime is degrading under debris and contested-operations risk, which raises the intrinsic cost of holding a slot idle</w:t>
      </w:r>
      <w:r>
        <w:t xml:space="preserve"> </w:t>
      </w:r>
      <w:hyperlink w:anchor="ref-2">
        <w:r>
          <w:rPr>
            <w:rStyle w:val="Hyperlink"/>
          </w:rPr>
          <w:t xml:space="preserve">[2]</w:t>
        </w:r>
      </w:hyperlink>
      <w:r>
        <w:t xml:space="preserve">. And the coordination machinery that keeps overlapping systems from interfering strains as the count of reserved and partially built systems grows</w:t>
      </w:r>
      <w:r>
        <w:t xml:space="preserve"> </w:t>
      </w:r>
      <w:hyperlink w:anchor="ref-8">
        <w:r>
          <w:rPr>
            <w:rStyle w:val="Hyperlink"/>
          </w:rPr>
          <w:t xml:space="preserve">[8]</w:t>
        </w:r>
      </w:hyperlink>
      <w:r>
        <w:t xml:space="preserve">. A filing held open is therefore not a costless placeholder; it consumes capacity and coordination attention that a ready builder could use. That is what makes the governance problem real, and what makes knowing whether filings are options worth the trouble of measuring.</w:t>
      </w:r>
    </w:p>
    <w:bookmarkEnd w:id="62"/>
    <w:bookmarkStart w:id="63" w:name="the-gap-the-dissertation-fills"/>
    <w:p>
      <w:pPr>
        <w:pStyle w:val="Heading2"/>
        <w:spacing w:line="480" w:lineRule="auto"/>
      </w:pPr>
      <w:r>
        <w:t xml:space="preserve">The gap the dissertation fills</w:t>
      </w:r>
    </w:p>
    <w:p>
      <w:pPr>
        <w:pStyle w:val="FirstParagraph"/>
        <w:spacing w:line="480" w:lineRule="auto"/>
      </w:pPr>
      <w:r>
        <w:t xml:space="preserve">Two mature literatures speak to the question and have not been joined. The first is the governance and physical-constraint literature on orbital and spectrum access. Studies of geostationary applications, world radiocommunication rulemaking, interference transparency, and the rising cost of geostationary slots map the scarce, regulated, technically interdependent environment in which filings live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That work establishes the stakes. It does not ask whether the filing document itself behaves like an economic option.</w:t>
      </w:r>
    </w:p>
    <w:p>
      <w:pPr>
        <w:pStyle w:val="BodyText"/>
        <w:spacing w:line="480" w:lineRule="auto"/>
        <w:ind w:firstLine="720"/>
      </w:pPr>
      <w:r>
        <w:t xml:space="preserve">The second is the engineering-economic literature on flexible, staged deployment. Work on flexible multi-layer staged deployment for satellite mega-constellations under demand uncertainty applies real-options reasoning to the architecture of a system, showing that staging preserves value when demand is unknown</w:t>
      </w:r>
      <w:r>
        <w:t xml:space="preserve"> </w:t>
      </w:r>
      <w:hyperlink w:anchor="ref-7">
        <w:r>
          <w:rPr>
            <w:rStyle w:val="Hyperlink"/>
          </w:rPr>
          <w:t xml:space="preserve">[7]</w:t>
        </w:r>
      </w:hyperlink>
      <w:r>
        <w:t xml:space="preserve">. That literature is close to the mark conceptually. Its unit of analysis, though, is the constellation design or the deployment schedule, not the legal filing that precedes and conditions deployment. Nobody has taken the filing record itself, the administrative object that reserves the right to deploy, and tested whether it predicts deployment timing the way option theory says it should.</w:t>
      </w:r>
    </w:p>
    <w:p>
      <w:pPr>
        <w:pStyle w:val="BodyText"/>
        <w:spacing w:line="480" w:lineRule="auto"/>
        <w:ind w:firstLine="720"/>
      </w:pPr>
      <w:r>
        <w:t xml:space="preserve">This dissertation joins the two. It moves from conceptual flexibility to an observable administrative artifact, the FCC satellite filing, and asks a filing-level question with filing-level evidence. That step is the contribution. It converts a policy intuition, that filings might be options, into a measurement design that a regulator, a rival applicant, or a court could audit against the public record.</w:t>
      </w:r>
    </w:p>
    <w:bookmarkEnd w:id="63"/>
    <w:bookmarkStart w:id="64" w:name="the-single-falsifiable-contribution"/>
    <w:p>
      <w:pPr>
        <w:pStyle w:val="Heading2"/>
        <w:spacing w:line="480" w:lineRule="auto"/>
      </w:pPr>
      <w:r>
        <w:t xml:space="preserve">The single falsifiable contribution</w:t>
      </w:r>
    </w:p>
    <w:p>
      <w:pPr>
        <w:pStyle w:val="FirstParagraph"/>
        <w:spacing w:line="480" w:lineRule="auto"/>
      </w:pPr>
      <w:r>
        <w:t xml:space="preserve">The claim is narrow by design, because a narrow claim can be wrong in a clean way. Let each filing be associated with a duration, the number of months from the public FCC clock date to the first verified deployment milestone, and with an uncertainty measure built from the filing environment the applicant faced. The contribution is a filing-level test of whether higher pre-deployment coordination uncertainty lowers the hazard of verified deployment, holding system scale constant. If filings embed deferment value, then a crowded, poorly resolved filing environment should be associated with slower exercise, a lower instantaneous probability of deployment in any given month.</w:t>
      </w:r>
    </w:p>
    <w:p>
      <w:pPr>
        <w:pStyle w:val="BodyText"/>
        <w:spacing w:line="480" w:lineRule="auto"/>
        <w:ind w:firstLine="720"/>
      </w:pPr>
      <w:r>
        <w:t xml:space="preserve">In the survival model, a hazard is estimated in which the coefficient on the uncertainty index carries the theory. The null holds that the coefficient is zero: conditional on scale, uncertainty does not move the deployment hazard, and the filing is a queue ticket and nothing more. The alternative holds that the coefficient is negative: higher uncertainty lowers the hazard, consistent with the filing operating as a deferment option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complementary duration specification asks the same question in months-of-waiting terms, giving a directly interpretable estimate of how much longer high-uncertainty filings remain at risk before they deploy or are censored.</w:t>
      </w:r>
    </w:p>
    <w:p>
      <w:pPr>
        <w:pStyle w:val="BodyText"/>
        <w:spacing w:line="480" w:lineRule="auto"/>
        <w:ind w:firstLine="720"/>
      </w:pPr>
      <w:r>
        <w:t xml:space="preserve">Evidence comes from a hand-curated, fully sourced public-record panel of ten named non-geostationary or quasi-non-geostationary systems, each tied to a specific FCC order or filing record and to a public launch outcome. The panel is small and deliberately auditable rather than exhaustive. It is a proof-of-method file. Every row can be traced to a cited order, a docket entry, and a catalog reconciliation, so the inference can be checked line by line rather than taken on faith. The uncertainty measure is a transparent proxy built from the count of peer filings in the relevant processing environment relative to the documented contestation in the record, not a variable the FCC created or endorses.</w:t>
      </w:r>
    </w:p>
    <w:p>
      <w:pPr>
        <w:pStyle w:val="BodyText"/>
        <w:spacing w:line="480" w:lineRule="auto"/>
        <w:ind w:firstLine="720"/>
      </w:pPr>
      <w:r>
        <w:t xml:space="preserve">A deliberate feature of the design is that it can lose. A ten-row panel offers no place to hide a fragile result. If the survival coefficient were positive, or if the duration association vanished under a robust standard error, the option reading would be in trouble and the chapter reporting it would say so. Building the test to be breakable is the point. A policy claim that filings warehouse option value should stand or fall on evidence that a skeptic can reconstruct, and the whole apparatus of this dissertation exists to make that reconstruction possible.</w:t>
      </w:r>
    </w:p>
    <w:bookmarkEnd w:id="64"/>
    <w:bookmarkStart w:id="65" w:name="scope-and-posture"/>
    <w:p>
      <w:pPr>
        <w:pStyle w:val="Heading2"/>
        <w:spacing w:line="480" w:lineRule="auto"/>
      </w:pPr>
      <w:r>
        <w:t xml:space="preserve">Scope and posture</w:t>
      </w:r>
    </w:p>
    <w:p>
      <w:pPr>
        <w:pStyle w:val="FirstParagraph"/>
        <w:spacing w:line="480" w:lineRule="auto"/>
      </w:pPr>
      <w:r>
        <w:t xml:space="preserve">Three commitments govern how this dissertation reasons, and stating them early prevents the reader from expecting something the study does not attempt. The first is that the claim is an association tested against a proof-of-method panel, not a structural valuation and not a population estimate. The study asks whether a specific, theory-implied sign is present in real, sourced data, and whether standard estimators recover it. It does not price the filing option in dollars, and it does not assert that the association measured in ten rows holds across the thousands of filings in the full record. Those are different projects, and the concluding chapter hands them forward honestly rather than pretending this study has already done them.</w:t>
      </w:r>
    </w:p>
    <w:p>
      <w:pPr>
        <w:pStyle w:val="BodyText"/>
        <w:spacing w:line="480" w:lineRule="auto"/>
        <w:ind w:firstLine="720"/>
      </w:pPr>
      <w:r>
        <w:t xml:space="preserve">The second commitment is to auditability over reach. Every observation in the panel is tied to a cited FCC order or filing-system record and to a public launch or catalog reconciliation, so the whole file can be rebuilt from public sources and the model re-estimated by anyone who doubts the result. That choice trades breadth for verifiability. A scraped population panel would have more rows and less transparency; a hand-curated one has fewer rows and a source trail for each. For a study whose purpose is to prove a method sound, verifiability is the right thing to buy, and the small sample is the price paid for it knowingly.</w:t>
      </w:r>
    </w:p>
    <w:p>
      <w:pPr>
        <w:pStyle w:val="BodyText"/>
        <w:spacing w:line="480" w:lineRule="auto"/>
        <w:ind w:firstLine="720"/>
      </w:pPr>
      <w:r>
        <w:t xml:space="preserve">The third commitment is interpretive restraint. A crowded, poorly resolved filing environment is uncertain, but it is also congested and competitive, and congestion can slow deployment through coordination friction rather than through rational waiting</w:t>
      </w:r>
      <w:r>
        <w:t xml:space="preserve"> </w:t>
      </w:r>
      <w:hyperlink w:anchor="ref-8">
        <w:r>
          <w:rPr>
            <w:rStyle w:val="Hyperlink"/>
          </w:rPr>
          <w:t xml:space="preserve">[8]</w:t>
        </w:r>
      </w:hyperlink>
      <w:r>
        <w:t xml:space="preserve">. The study cannot fully separate deferment from congestion with ten rows, and it does not pretend to. Where the evidence points toward the option reading, the text says the evidence is consistent with deferment-option behavior, not that it proves deferment alone drives the delay. That distinction is carried through every chapter, and it is the difference between a claim a reader can trust and one that overreaches its data.</w:t>
      </w:r>
    </w:p>
    <w:p>
      <w:pPr>
        <w:pStyle w:val="BodyText"/>
        <w:spacing w:line="480" w:lineRule="auto"/>
        <w:ind w:firstLine="720"/>
      </w:pPr>
      <w:r>
        <w:t xml:space="preserve">These commitments are not modesty for its own sake. They define what a small, honest, checkable study can contribute to a policy debate that has so far run on intuition. The intuition that filings might be warehoused options is widespread; what has been missing is any filing-level test of whether the intuition survives contact with the record. This dissertation supplies that test, scoped so that its strengths and its limits are both legible, and it treats the reader as a skeptic to be convinced by reconstructable evidence rather than an audience to be persuaded by assertion.</w:t>
      </w:r>
    </w:p>
    <w:bookmarkEnd w:id="65"/>
    <w:bookmarkStart w:id="66" w:name="roadmap"/>
    <w:p>
      <w:pPr>
        <w:pStyle w:val="Heading2"/>
        <w:spacing w:line="480" w:lineRule="auto"/>
      </w:pPr>
      <w:r>
        <w:t xml:space="preserve">Roadmap</w:t>
      </w:r>
    </w:p>
    <w:p>
      <w:pPr>
        <w:pStyle w:val="FirstParagraph"/>
        <w:spacing w:line="480" w:lineRule="auto"/>
      </w:pPr>
      <w:r>
        <w:t xml:space="preserve">These chapters build the argument in order. Chapter 2 situates the work against the prior literature on orbital and spectrum governance, the economics of scarce slots, and the real-options treatment of staged deployment, and it explains precisely which conversation each cited study belongs to. Chapter 3 develops the theory, deriving the testable predictions from the option-to-defer mechanism and stating the hypotheses in a form the data can reject. Chapter 4 lays out the methodology and identification, explaining why a survival design on filing-level records recovers the effect of interest and how the construction of the uncertainty index limits reverse causality. Chapter 5 documents the data and measurement: the FCC orders, filing-system records, and catalog reconciliations behind each observation, the construction of the duration outcome and the uncertainty index, and the sample size. Chapter 6 reports the results exactly as estimated, the survival coefficients and the robust duration coefficients with their standard errors, test statistics, and sample sizes, and interprets the signs and magnitudes. Chapter 7 discusses what the findings mean and, with equal candor, what a ten-row public panel cannot show, cataloging the threats to validity. Chapter 8 states the contribution, draws out the governance and program relevance, and lays out the path from a proof-of-method panel to a population-scale test.</w:t>
      </w:r>
    </w:p>
    <w:p>
      <w:pPr>
        <w:pStyle w:val="BodyText"/>
        <w:spacing w:line="480" w:lineRule="auto"/>
        <w:ind w:firstLine="720"/>
      </w:pPr>
      <w:r>
        <w:t xml:space="preserve">A reader should finish this dissertation able to say one concrete thing that was not sayable before. The FCC satellite filing can be measured, against the public record, for whether it behaves like an option to wait, and in the panel assembled here it does behave that way. That is a modest empirical claim. It is also a falsifiable one, and its value lies precisely in the fact that a larger sample could overturn it. The remainder of the dissertation earns that claim, source by source and coefficient by coefficient, and it is honest throughout about the difference between what a proof-of-method panel demonstrates and what a population study would be needed to settle.</w:t>
      </w:r>
    </w:p>
    <w:p>
      <w:pPr>
        <w:pStyle w:val="BodyText"/>
        <w:spacing w:line="480" w:lineRule="auto"/>
        <w:ind w:firstLine="720"/>
      </w:pPr>
      <w:r>
        <w:t xml:space="preserve">The economics being applied here are not exotic. The option to defer is one of the most studied ideas in the theory of investment, and its central prediction, that uncertainty delays irreversible commitment, is settled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What is new is not the economics but the object: bringing that settled prediction to bear on an administrative filing, a legal artifact that economists have not treated as an option and that regulators have not measured as one. The novelty lives in the join, and the join is only worth making if the filing genuinely satisfies the conditions the option mechanism requires. Establishing that it does, that deployment is irreversible, that the filing makes delay possible, and that the environment is uncertain, is the burden of the theory chapter, and the plausibility of the whole enterprise rests on that burden being met.</w:t>
      </w:r>
    </w:p>
    <w:p>
      <w:pPr>
        <w:pStyle w:val="BodyText"/>
        <w:spacing w:line="480" w:lineRule="auto"/>
        <w:ind w:firstLine="720"/>
      </w:pPr>
      <w:r>
        <w:t xml:space="preserve">One last framing point orients the chapters that follow. The dissertation is organized around a single hinge, the sign of one coefficient, and everything else is built to make that sign trustworthy or to interpret it responsibly. The theory chapter exists to license the prediction that the sign should be negative. The methodology and data chapters exist to ensure that the sign, when estimated, is estimated on honest, reconstructable inputs with an estimator that suits them. The results chapter reports the sign exactly. The discussion and conclusion chapters interpret it within its limits and hand forward the study that would extend it. Reading the dissertation as the disciplined pursuit of one falsifiable sign, rather than as a survey of everything that could be said about orbital economics, is the reading the design intends and rewards.</w:t>
      </w:r>
    </w:p>
    <w:bookmarkEnd w:id="66"/>
    <w:bookmarkEnd w:id="67"/>
    <w:bookmarkStart w:id="74" w:name="literature-review"/>
    <w:p>
      <w:pPr>
        <w:pStyle w:val="Heading1"/>
        <w:spacing w:line="480" w:lineRule="auto"/>
      </w:pPr>
      <w:r>
        <w:t xml:space="preserve">Literature Review</w:t>
      </w:r>
    </w:p>
    <w:p>
      <w:pPr>
        <w:pStyle w:val="FirstParagraph"/>
        <w:spacing w:line="480" w:lineRule="auto"/>
      </w:pPr>
      <w:r>
        <w:t xml:space="preserve">This dissertation’s question sits at the meeting point of three bodies of work that rarely cite one another. The first describes the physical and legal environment of orbital and spectrum access. The second develops the economics of investment under uncertainty and its real-options descendants. The third applies option-style reasoning to the engineering of satellite systems. Reading them together reveals a gap that is easy to state and, until now, unfilled: the administrative filing that reserves the right to deploy has never itself been tested as an economic option. This chapter reads each literature on its own terms and then names the seam where they fail to connect.</w:t>
      </w:r>
    </w:p>
    <w:bookmarkStart w:id="68" w:name="X25f663f7bdc03e904e38745f06e348b4e91e2da"/>
    <w:p>
      <w:pPr>
        <w:pStyle w:val="Heading2"/>
        <w:spacing w:line="480" w:lineRule="auto"/>
      </w:pPr>
      <w:r>
        <w:t xml:space="preserve">The scarce and contested environment of orbital access</w:t>
      </w:r>
    </w:p>
    <w:p>
      <w:pPr>
        <w:pStyle w:val="FirstParagraph"/>
        <w:spacing w:line="480" w:lineRule="auto"/>
      </w:pPr>
      <w:r>
        <w:t xml:space="preserve">Start with the resource. A geostationary slot is not free real estate. Work estimating the cost and value of geostationary orbital positions argues that debris accumulation and the prospect of contested operations raise both the intrinsic and the actual cost of holding a longitude, so that the economic value of a slot cannot be read off its nominal availability</w:t>
      </w:r>
      <w:r>
        <w:t xml:space="preserve"> </w:t>
      </w:r>
      <w:hyperlink w:anchor="ref-2">
        <w:r>
          <w:rPr>
            <w:rStyle w:val="Hyperlink"/>
          </w:rPr>
          <w:t xml:space="preserve">[2]</w:t>
        </w:r>
      </w:hyperlink>
      <w:r>
        <w:t xml:space="preserve">. The environment is degrading even where the paperwork looks static. That observation matters for an option story because the value of waiting depends on how the underlying asset moves while the holder waits, and a slot whose usability erodes is an asset with a falling floor.</w:t>
      </w:r>
    </w:p>
    <w:p>
      <w:pPr>
        <w:pStyle w:val="BodyText"/>
        <w:spacing w:line="480" w:lineRule="auto"/>
        <w:ind w:firstLine="720"/>
      </w:pPr>
      <w:r>
        <w:t xml:space="preserve">Transparency compounds the problem. Independent assessment of harmful interference and compliance in geosynchronous orbit is hard, and the methods proposed to make interference legible are recent and still maturing</w:t>
      </w:r>
      <w:r>
        <w:t xml:space="preserve"> </w:t>
      </w:r>
      <w:hyperlink w:anchor="ref-4">
        <w:r>
          <w:rPr>
            <w:rStyle w:val="Hyperlink"/>
          </w:rPr>
          <w:t xml:space="preserve">[4]</w:t>
        </w:r>
      </w:hyperlink>
      <w:r>
        <w:t xml:space="preserve">. When compliance cannot be observed cleanly, the meaning of a filing becomes ambiguous. A right on paper may or may not correspond to a usable, defensible position, and the applicant holding it faces uncertainty not only about demand but about whether the coordination environment will resolve in its favor. That is precisely the kind of uncertainty an option to defer is built to exploit.</w:t>
      </w:r>
    </w:p>
    <w:p>
      <w:pPr>
        <w:pStyle w:val="BodyText"/>
        <w:spacing w:line="480" w:lineRule="auto"/>
        <w:ind w:firstLine="720"/>
      </w:pPr>
      <w:r>
        <w:t xml:space="preserve">The geostationary regime has also been mapped at the level of the filing itself. A survey of International Telecommunication Union space-station license applications in the geosynchronous regime characterizes the scale and structure of the application record, showing how many filings exist relative to how many correspond to operating systems</w:t>
      </w:r>
      <w:r>
        <w:t xml:space="preserve"> </w:t>
      </w:r>
      <w:hyperlink w:anchor="ref-5">
        <w:r>
          <w:rPr>
            <w:rStyle w:val="Hyperlink"/>
          </w:rPr>
          <w:t xml:space="preserve">[5]</w:t>
        </w:r>
      </w:hyperlink>
      <w:r>
        <w:t xml:space="preserve">. This is the closest prior work to the present design in spirit, because it treats the filing record as an object of study. Its aim, though, is descriptive characterization of the application population, not a behavioral test of whether filings function as options. It supplies the institutional backdrop, and it demonstrates that filing records can be worked with rigorously, but it does not ask the timing question.</w:t>
      </w:r>
    </w:p>
    <w:p>
      <w:pPr>
        <w:pStyle w:val="BodyText"/>
        <w:spacing w:line="480" w:lineRule="auto"/>
        <w:ind w:firstLine="720"/>
      </w:pPr>
      <w:r>
        <w:t xml:space="preserve">That gap between filings and operating systems, which this survey documents, is itself suggestive. If the number of applications far exceeds the number of systems that ever fly, then either the application process is failing to screen out non-builders, or applications are serving a purpose beyond authorization, and the second reading is exactly the option hypothesis. The descriptive record cannot decide between those readings, because it does not track the timing of exercise or the environment each filing faced. It establishes that there is something to explain, a large population of filings that did not become systems, and it leaves the explanation open.</w:t>
      </w:r>
    </w:p>
    <w:p>
      <w:pPr>
        <w:pStyle w:val="BodyText"/>
        <w:spacing w:line="480" w:lineRule="auto"/>
        <w:ind w:firstLine="720"/>
      </w:pPr>
      <w:r>
        <w:t xml:space="preserve">That gap is the puzzle. This work treats it as behavior, not noise. This dissertation takes up that opening, treating the filing-to-system gap not as a screening failure to be assumed but as a behavioral pattern to be tested. The methodological lesson from this line of work is equally important: filing records are rigorous, workable data, and the objection that administrative records are too messy for quantitative study does not hold once the records are handled with care.</w:t>
      </w:r>
    </w:p>
    <w:bookmarkEnd w:id="68"/>
    <w:bookmarkStart w:id="69" w:name="low-earth-orbit-demand-and-congestion"/>
    <w:p>
      <w:pPr>
        <w:pStyle w:val="Heading2"/>
        <w:spacing w:line="480" w:lineRule="auto"/>
      </w:pPr>
      <w:r>
        <w:t xml:space="preserve">Low Earth orbit, demand, and congestion</w:t>
      </w:r>
    </w:p>
    <w:p>
      <w:pPr>
        <w:pStyle w:val="FirstParagraph"/>
        <w:spacing w:line="480" w:lineRule="auto"/>
      </w:pPr>
      <w:r>
        <w:t xml:space="preserve">The low-orbit regime raises the same themes at higher tempo. A strategic account of the low-orbit broadband competition frames the race for low-orbit position as economically and geopolitically consequential, describing operators committing to large constellations against uncertain demand and intense rivalry</w:t>
      </w:r>
      <w:r>
        <w:t xml:space="preserve"> </w:t>
      </w:r>
      <w:hyperlink w:anchor="ref-3">
        <w:r>
          <w:rPr>
            <w:rStyle w:val="Hyperlink"/>
          </w:rPr>
          <w:t xml:space="preserve">[3]</w:t>
        </w:r>
      </w:hyperlink>
      <w:r>
        <w:t xml:space="preserve">. The framing is useful because it establishes that timing and position are contested prizes, not administrative afterthoughts, and that operators are making sequential commitments under exactly the conditions option theory addresses.</w:t>
      </w:r>
    </w:p>
    <w:p>
      <w:pPr>
        <w:pStyle w:val="BodyText"/>
        <w:spacing w:line="480" w:lineRule="auto"/>
        <w:ind w:firstLine="720"/>
      </w:pPr>
      <w:r>
        <w:t xml:space="preserve">Underneath the competition sits a capacity constraint. Work projecting orbital demand against low Earth orbit environmental capacity models how many systems the shells can physically and sustainably support, and it makes clear that projected demand can press against or exceed environmental limits</w:t>
      </w:r>
      <w:r>
        <w:t xml:space="preserve"> </w:t>
      </w:r>
      <w:hyperlink w:anchor="ref-6">
        <w:r>
          <w:rPr>
            <w:rStyle w:val="Hyperlink"/>
          </w:rPr>
          <w:t xml:space="preserve">[6]</w:t>
        </w:r>
      </w:hyperlink>
      <w:r>
        <w:t xml:space="preserve">. If shells are capacity-constrained, then a filing that reserves position in a shell has value beyond authorization: it holds a place in a queue for a resource that may become binding. The option to wait then interacts with a congestion externality, since a warehoused reservation occupies capacity that a ready builder might use.</w:t>
      </w:r>
    </w:p>
    <w:p>
      <w:pPr>
        <w:pStyle w:val="BodyText"/>
        <w:spacing w:line="480" w:lineRule="auto"/>
        <w:ind w:firstLine="720"/>
      </w:pPr>
      <w:r>
        <w:t xml:space="preserve">The traffic-management literature closes this loop. Analysis of space traffic management for large constellations shows that the operational burden of coordinating many systems begins well before full deployment and grows with the number of reserved and partially deployed systems</w:t>
      </w:r>
      <w:r>
        <w:t xml:space="preserve"> </w:t>
      </w:r>
      <w:hyperlink w:anchor="ref-8">
        <w:r>
          <w:rPr>
            <w:rStyle w:val="Hyperlink"/>
          </w:rPr>
          <w:t xml:space="preserve">[8]</w:t>
        </w:r>
      </w:hyperlink>
      <w:r>
        <w:t xml:space="preserve">. A filing that preserves future operational possibilities is, from a traffic-management standpoint, a claim on coordination attention. The governance instruments that surround filings, including the sustainability provisions and milestone rules debated at recent world radiocommunication conferences, are best read as attempts to manage exactly this dynamic, treating filing and buildout as levers rather than formalities</w:t>
      </w:r>
      <w:r>
        <w:t xml:space="preserve"> </w:t>
      </w:r>
      <w:hyperlink w:anchor="ref-1">
        <w:r>
          <w:rPr>
            <w:rStyle w:val="Hyperlink"/>
          </w:rPr>
          <w:t xml:space="preserve">[1]</w:t>
        </w:r>
      </w:hyperlink>
      <w:r>
        <w:t xml:space="preserve">. Together these studies establish the setting in which deferment could be valuable and costly at once. None of them estimates whether filings behave as options.</w:t>
      </w:r>
    </w:p>
    <w:p>
      <w:pPr>
        <w:pStyle w:val="BodyText"/>
        <w:spacing w:line="480" w:lineRule="auto"/>
        <w:ind w:firstLine="720"/>
      </w:pPr>
      <w:r>
        <w:t xml:space="preserve">This governance framing repays a closer look because it reveals that regulators already act as if filings carry option value, even without measuring it. Milestone rules exist precisely to bound how long an applicant can hold an authorization without building, which is a policy answer to the worry that filings can be warehoused</w:t>
      </w:r>
      <w:r>
        <w:t xml:space="preserve"> </w:t>
      </w:r>
      <w:hyperlink w:anchor="ref-1">
        <w:r>
          <w:rPr>
            <w:rStyle w:val="Hyperlink"/>
          </w:rPr>
          <w:t xml:space="preserve">[1]</w:t>
        </w:r>
      </w:hyperlink>
      <w:r>
        <w:t xml:space="preserve">. Bond requirements attach a cost to holding, converting a free option into a priced one. Buildout deadlines set an expiry on the right to defer. Each instrument is a lever on the value of waiting, and their very existence is tacit acknowledgment that waiting has value worth regulating. What the governance literature has not done is estimate how much option content filings actually carry, which would tell regulators whether their levers are set too loose, letting speculators warehouse access, or too tight, destroying flexibility that legitimate staged projects need</w:t>
      </w:r>
      <w:r>
        <w:t xml:space="preserve"> </w:t>
      </w:r>
      <w:hyperlink w:anchor="ref-7">
        <w:r>
          <w:rPr>
            <w:rStyle w:val="Hyperlink"/>
          </w:rPr>
          <w:t xml:space="preserve">[7]</w:t>
        </w:r>
      </w:hyperlink>
      <w:r>
        <w:t xml:space="preserve">. The descriptive and normative work on these instruments is rich; the empirical measurement of the behavior they target is not, and that asymmetry is part of the gap this dissertation addresses.</w:t>
      </w:r>
    </w:p>
    <w:p>
      <w:pPr>
        <w:pStyle w:val="BodyText"/>
        <w:spacing w:line="480" w:lineRule="auto"/>
        <w:ind w:firstLine="720"/>
      </w:pPr>
      <w:r>
        <w:t xml:space="preserve">A related strand concerns transparency and enforcement. The difficulty of independently assessing interference and compliance in shared regimes means that regulators often cannot tell, from the outside, whether a reserved position is being used, warehoused, or quietly abandoned</w:t>
      </w:r>
      <w:r>
        <w:t xml:space="preserve"> </w:t>
      </w:r>
      <w:hyperlink w:anchor="ref-4">
        <w:r>
          <w:rPr>
            <w:rStyle w:val="Hyperlink"/>
          </w:rPr>
          <w:t xml:space="preserve">[4]</w:t>
        </w:r>
      </w:hyperlink>
      <w:r>
        <w:t xml:space="preserve">. That opacity is not incidental to the option question; it is central to it. An option is most valuable to hold when the holder can wait cheaply and unobserved, and a filing environment in which compliance is hard to verify is one in which the cost of holding an unexercised right is low. The transparency literature thus supplies a reason the option value might be large in practice, and a reason the governance levers might be hard to aim, since a regulator who cannot observe use cannot easily distinguish rational waiting from warehousing.</w:t>
      </w:r>
    </w:p>
    <w:bookmarkEnd w:id="69"/>
    <w:bookmarkStart w:id="70" w:name="X247e35f2ac0dab583c038781f15f9e95ab1a7a5"/>
    <w:p>
      <w:pPr>
        <w:pStyle w:val="Heading2"/>
        <w:spacing w:line="480" w:lineRule="auto"/>
      </w:pPr>
      <w:r>
        <w:t xml:space="preserve">Investment under uncertainty and real options</w:t>
      </w:r>
    </w:p>
    <w:p>
      <w:pPr>
        <w:pStyle w:val="FirstParagraph"/>
        <w:spacing w:line="480" w:lineRule="auto"/>
      </w:pPr>
      <w:r>
        <w:t xml:space="preserve">A point of contact between the low-orbit and geostationary literatures reinforces the setting. Both regimes are studied as places where the value of a position depends on what other operators do, which is the hallmark of a strategic environment rather than a static resource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In a strategic environment, the value of waiting to see how rivals move is elevated, because an operator that commits early forecloses the ability to respond to entry, coordination outcomes, and demand realization that its competitors partly determine. The literature on both regimes thus supplies not only scarcity but strategic interdependence, and strategic interdependence is exactly the condition under which the option to defer is most valuable. That the two regime literatures converge on this feature strengthens the case that filings in both should carry option content worth measuring.</w:t>
      </w:r>
    </w:p>
    <w:p>
      <w:pPr>
        <w:pStyle w:val="BodyText"/>
        <w:spacing w:line="480" w:lineRule="auto"/>
        <w:ind w:firstLine="720"/>
      </w:pPr>
      <w:r>
        <w:t xml:space="preserve">The economic spine of the argument comes from a different shelf. The pricing of options and corporate liabilities established that a right, but not an obligation, to act at a future date has a value that can be priced, and that this value rises with the uncertainty of the underlying asset</w:t>
      </w:r>
      <w:r>
        <w:t xml:space="preserve"> </w:t>
      </w:r>
      <w:hyperlink w:anchor="ref-9">
        <w:r>
          <w:rPr>
            <w:rStyle w:val="Hyperlink"/>
          </w:rPr>
          <w:t xml:space="preserve">[9]</w:t>
        </w:r>
      </w:hyperlink>
      <w:r>
        <w:t xml:space="preserve">. Translated from financial to real assets, the insight becomes the foundation of the real-options view of investment. Investment under uncertainty develops this systematically, showing that when an investment is irreversible and can be delayed, the option to wait carries value, and a firm rationally defers commitment until the expected payoff clears not just the cost but the value of the option it would kill by acting</w:t>
      </w:r>
      <w:r>
        <w:t xml:space="preserve"> </w:t>
      </w:r>
      <w:hyperlink w:anchor="ref-10">
        <w:r>
          <w:rPr>
            <w:rStyle w:val="Hyperlink"/>
          </w:rPr>
          <w:t xml:space="preserve">[10]</w:t>
        </w:r>
      </w:hyperlink>
      <w:r>
        <w:t xml:space="preserve">. The key comparative static is the one this dissertation tests: higher uncertainty raises the value of waiting and therefore delays exercise.</w:t>
      </w:r>
    </w:p>
    <w:p>
      <w:pPr>
        <w:pStyle w:val="BodyText"/>
        <w:spacing w:line="480" w:lineRule="auto"/>
        <w:ind w:firstLine="720"/>
      </w:pPr>
      <w:r>
        <w:t xml:space="preserve">Satellite deployment fits the assumptions almost eerily well. Launch is expensive and effectively irreversible; demand, financing, and coordination outcomes resolve only with time; and the regulatory filing can be held open while the operator learns. The theory therefore predicts that, holding scale and capability constant, filings facing more unresolved uncertainty should be exercised more slowly. What the finance and economics literature does not supply is any application to spectrum and orbital filings. It gives the mechanism and the sign of the prediction. It does not touch the administrative object.</w:t>
      </w:r>
    </w:p>
    <w:bookmarkEnd w:id="70"/>
    <w:bookmarkStart w:id="71" w:name="X95c71a3dfec8050fd31d3118b968d1b84d620b7"/>
    <w:p>
      <w:pPr>
        <w:pStyle w:val="Heading2"/>
        <w:spacing w:line="480" w:lineRule="auto"/>
      </w:pPr>
      <w:r>
        <w:t xml:space="preserve">Option reasoning in satellite systems engineering</w:t>
      </w:r>
    </w:p>
    <w:p>
      <w:pPr>
        <w:pStyle w:val="FirstParagraph"/>
        <w:spacing w:line="480" w:lineRule="auto"/>
      </w:pPr>
      <w:r>
        <w:t xml:space="preserve">The bridge that comes closest is engineering-economic. A flexible multi-layer staged deployment model for satellite constellations applies real-options logic directly to constellation architecture, treating staged deployment as a way to preserve flexibility when demand is uncertain and showing that flexible staging can dominate committed, all-at-once deployment in expected value</w:t>
      </w:r>
      <w:r>
        <w:t xml:space="preserve"> </w:t>
      </w:r>
      <w:hyperlink w:anchor="ref-7">
        <w:r>
          <w:rPr>
            <w:rStyle w:val="Hyperlink"/>
          </w:rPr>
          <w:t xml:space="preserve">[7]</w:t>
        </w:r>
      </w:hyperlink>
      <w:r>
        <w:t xml:space="preserve">. This is real-options reasoning about satellites, done carefully, with the sign of the flexibility effect worked out. It is the natural parent of the present study.</w:t>
      </w:r>
    </w:p>
    <w:p>
      <w:pPr>
        <w:pStyle w:val="BodyText"/>
        <w:spacing w:line="480" w:lineRule="auto"/>
        <w:ind w:firstLine="720"/>
      </w:pPr>
      <w:r>
        <w:t xml:space="preserve">Its unit of analysis, though, is the deployment schedule or the physical architecture, the layers of the constellation and when each is built. It reasons about the flexibility embedded in how a system is rolled out. It does not reason about the flexibility embedded in the legal filing that precedes and conditions any deployment at all. The filing is upstream of the architecture. An operator holds a filing before it commits to a staging plan, and the filing itself may be the first and cheapest option in the sequence. Extending option logic one step upstream, from the architecture to the administrative right, is the move this dissertation makes.</w:t>
      </w:r>
    </w:p>
    <w:p>
      <w:pPr>
        <w:pStyle w:val="BodyText"/>
        <w:spacing w:line="480" w:lineRule="auto"/>
        <w:ind w:firstLine="720"/>
      </w:pPr>
      <w:r>
        <w:t xml:space="preserve">That upstream position of the filing is worth dwelling on, because it changes the economics of the option. Architectural flexibility, the subject of the staged-deployment work, is exercised by a firm that has already committed to being in the business and is choosing how fast to build</w:t>
      </w:r>
      <w:r>
        <w:t xml:space="preserve"> </w:t>
      </w:r>
      <w:hyperlink w:anchor="ref-7">
        <w:r>
          <w:rPr>
            <w:rStyle w:val="Hyperlink"/>
          </w:rPr>
          <w:t xml:space="preserve">[7]</w:t>
        </w:r>
      </w:hyperlink>
      <w:r>
        <w:t xml:space="preserve">. The filing option is held by a firm that has not yet committed at all, and can walk away having spent only the cost of the application. That makes the filing option cheaper to acquire and potentially longer to hold than any architectural option downstream of it, which is exactly why the warehousing worry attaches to filings rather than to deployment schedules. A staged deployment that stalls has already sunk real capital; a filing that is never exercised has sunk almost nothing. The asymmetry means the filing is the option most likely to be held speculatively, and therefore the one whose option content most needs measuring. The engineering literature, by stopping at the architecture, measures the flexibility of the firms that have already committed and misses the flexibility of the ones that have not.</w:t>
      </w:r>
    </w:p>
    <w:bookmarkEnd w:id="71"/>
    <w:bookmarkStart w:id="72" w:name="Xcb55908c5b1ed6dbf18fd8c726cb4d2fc05341c"/>
    <w:p>
      <w:pPr>
        <w:pStyle w:val="Heading2"/>
        <w:spacing w:line="480" w:lineRule="auto"/>
      </w:pPr>
      <w:r>
        <w:t xml:space="preserve">The seam and how this dissertation crosses it</w:t>
      </w:r>
    </w:p>
    <w:p>
      <w:pPr>
        <w:pStyle w:val="FirstParagraph"/>
        <w:spacing w:line="480" w:lineRule="auto"/>
      </w:pPr>
      <w:r>
        <w:t xml:space="preserve">Lay the three literatures side by side and the gap is precise. The governance literature establishes that orbital and spectrum access is scarce, contested, congested, and imperfectly transparent, and it has characterized the filing population descriptively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The economics literature establishes that a deferrable, irreversible investment under uncertainty carries option value whose exercise slows as uncertainty rises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engineering literature establishes that satellite deployment is option-like and that flexible staging is valuable, but it stops at the architecture and does not reach the filing</w:t>
      </w:r>
      <w:r>
        <w:t xml:space="preserve"> </w:t>
      </w:r>
      <w:hyperlink w:anchor="ref-7">
        <w:r>
          <w:rPr>
            <w:rStyle w:val="Hyperlink"/>
          </w:rPr>
          <w:t xml:space="preserve">[7]</w:t>
        </w:r>
      </w:hyperlink>
      <w:r>
        <w:t xml:space="preserve">. No study joins the filing record to the option mechanism and asks, at the level of the individual administrative filing, whether higher uncertainty predicts slower exercise.</w:t>
      </w:r>
    </w:p>
    <w:p>
      <w:pPr>
        <w:pStyle w:val="BodyText"/>
        <w:spacing w:line="480" w:lineRule="auto"/>
        <w:ind w:firstLine="720"/>
      </w:pPr>
      <w:r>
        <w:t xml:space="preserve">This dissertation crosses that seam. It takes the filing as the unit, builds a transparent uncertainty measure from the public filing environment, and tests the option prediction against verified deployment timing. The move is modest in ambition and specific in claim. It does not propose a new theory of orbital economics, nor a structural valuation of filing options. It asks whether the one sharp, sign-bearing prediction of option theory, that uncertainty slows exercise, shows up in filing-level deployment data. The prior work supplies the setting, the mechanism, and the nearest empirical relatives. What it does not supply, and what the following chapters build, is the filing-level test itself, framed so that the public record can confirm or reject it.</w:t>
      </w:r>
    </w:p>
    <w:bookmarkEnd w:id="72"/>
    <w:bookmarkStart w:id="73" w:name="how-the-prior-work-shapes-the-design"/>
    <w:p>
      <w:pPr>
        <w:pStyle w:val="Heading2"/>
        <w:spacing w:line="480" w:lineRule="auto"/>
      </w:pPr>
      <w:r>
        <w:t xml:space="preserve">How the prior work shapes the design</w:t>
      </w:r>
    </w:p>
    <w:p>
      <w:pPr>
        <w:pStyle w:val="FirstParagraph"/>
        <w:spacing w:line="480" w:lineRule="auto"/>
      </w:pPr>
      <w:r>
        <w:t xml:space="preserve">The three literatures do more than motivate the question; they constrain how it can responsibly be answered, and it is worth drawing out those constraints because they explain design choices the later chapters make. The governance literature’s finding that compliance and use are hard to observe from outside means that the outcome must be measured from something more reliable than self-reported operation</w:t>
      </w:r>
      <w:r>
        <w:t xml:space="preserve"> </w:t>
      </w:r>
      <w:hyperlink w:anchor="ref-4">
        <w:r>
          <w:rPr>
            <w:rStyle w:val="Hyperlink"/>
          </w:rPr>
          <w:t xml:space="preserve">[4]</w:t>
        </w:r>
      </w:hyperlink>
      <w:r>
        <w:t xml:space="preserve">. That pushes the design toward verified deployment, a first launch matched to a public catalog, as the exercise event, rather than any softer signal of activity. The choice of a launch-and-catalog verification rule is a direct response to the transparency problem the governance work documents.</w:t>
      </w:r>
    </w:p>
    <w:p>
      <w:pPr>
        <w:pStyle w:val="BodyText"/>
        <w:spacing w:line="480" w:lineRule="auto"/>
        <w:ind w:firstLine="720"/>
      </w:pPr>
      <w:r>
        <w:t xml:space="preserve">In turn, the capacity and traffic-management literatures constrain the interpretation of the uncertainty measure</w:t>
      </w:r>
      <w:r>
        <w:t xml:space="preserve"> </w:t>
      </w:r>
      <w:hyperlink w:anchor="ref-6">
        <w:r>
          <w:rPr>
            <w:rStyle w:val="Hyperlink"/>
          </w:rPr>
          <w:t xml:space="preserve">[6]</w:t>
        </w:r>
      </w:hyperlink>
      <w:r>
        <w:t xml:space="preserve"> </w:t>
      </w:r>
      <w:hyperlink w:anchor="ref-8">
        <w:r>
          <w:rPr>
            <w:rStyle w:val="Hyperlink"/>
          </w:rPr>
          <w:t xml:space="preserve">[8]</w:t>
        </w:r>
      </w:hyperlink>
      <w:r>
        <w:t xml:space="preserve">. Because a crowded filing environment is simultaneously uncertain, congested, and competitive, any measure built from the density of filings will carry all three meanings at once. The literature therefore warns, in advance, that a density-based uncertainty proxy cannot cleanly isolate deferment from congestion, and the honest design acknowledges this rather than claiming a purity the measure cannot have. The interpretive caution that runs through the results and discussion chapters is not an afterthought; it is dictated by what the congestion literature establishes about the environment being measured.</w:t>
      </w:r>
    </w:p>
    <w:p>
      <w:pPr>
        <w:pStyle w:val="BodyText"/>
        <w:spacing w:line="480" w:lineRule="auto"/>
        <w:ind w:firstLine="720"/>
      </w:pPr>
      <w:r>
        <w:t xml:space="preserve">Finally, the option and staged-deployment literatures constrain the prediction and the estimator</w:t>
      </w:r>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Because the settled result is about the sign of the uncertainty effect on the timing of exercise, the test must be a timing test, which points to survival analysis as the natural tool, and the prediction must be about a sign, which keeps the empirical claim narrow enough for a small sample to bear. A study that tried to estimate the magnitude of option value, rather than the sign of the timing effect, would be reaching past what both the theory cleanly delivers and what a proof-of-method panel can support. The literature thus recommends the modest, sign-focused, survival-based design the following chapters adopt, and the modesty is a considered response to what the prior work can and cannot underwrite.</w:t>
      </w:r>
    </w:p>
    <w:p>
      <w:pPr>
        <w:pStyle w:val="BodyText"/>
        <w:spacing w:line="480" w:lineRule="auto"/>
        <w:ind w:firstLine="720"/>
      </w:pPr>
      <w:r>
        <w:t xml:space="preserve">Read this way, the literature does not merely leave a gap; it specifies the shape of the study that should fill it. The study must measure exercise from verified deployment, must interpret a density-based uncertainty proxy with explicit caution about congestion, must test a sign rather than a magnitude, and must use a timing estimator that handles censoring. Each of those specifications traces to a constraint the prior work establishes, and the coherence of the design comes from taking those constraints seriously rather than from any single clever idea. The contribution is the disciplined join, built to the specifications the three literatures jointly imply. Not a new theory. A test the record can decide.</w:t>
      </w:r>
    </w:p>
    <w:bookmarkEnd w:id="73"/>
    <w:bookmarkEnd w:id="74"/>
    <w:bookmarkStart w:id="82" w:name="theoretical-framework-and-hypotheses"/>
    <w:p>
      <w:pPr>
        <w:pStyle w:val="Heading1"/>
        <w:spacing w:line="480" w:lineRule="auto"/>
      </w:pPr>
      <w:r>
        <w:t xml:space="preserve">Theoretical Framework and Hypotheses</w:t>
      </w:r>
    </w:p>
    <w:p>
      <w:pPr>
        <w:pStyle w:val="FirstParagraph"/>
        <w:spacing w:line="480" w:lineRule="auto"/>
      </w:pPr>
      <w:r>
        <w:t xml:space="preserve">The argument rests on a single mechanism, borrowed from the theory of investment under uncertainty and carried one step upstream from where prior work has left it. This chapter states the mechanism plainly, shows why an FCC satellite filing satisfies the conditions under which the mechanism operates, and derives from it a prediction sharp enough for a small public panel to reject. The prediction concerns the sign of one coefficient. Everything else in the dissertation exists to estimate that coefficient honestly and to interpret it in context.</w:t>
      </w:r>
    </w:p>
    <w:bookmarkStart w:id="75" w:name="the-option-to-defer"/>
    <w:p>
      <w:pPr>
        <w:pStyle w:val="Heading2"/>
        <w:spacing w:line="480" w:lineRule="auto"/>
      </w:pPr>
      <w:r>
        <w:t xml:space="preserve">The option to defer</w:t>
      </w:r>
    </w:p>
    <w:p>
      <w:pPr>
        <w:pStyle w:val="FirstParagraph"/>
        <w:spacing w:line="480" w:lineRule="auto"/>
      </w:pPr>
      <w:r>
        <w:t xml:space="preserve">Consider a firm that can make an investment now or later, where the investment is expensive, largely irreversible once made, and undertaken against an uncertain payoff. Classical net-present-value reasoning says invest whenever the expected payoff exceeds the cost. The real-options correction says that this rule is wrong when the firm can wait, because waiting is itself valuable. By acting now the firm kills the option to wait and learn, and the value of that killed option is a real cost of acting. So the firm should invest only when the expected payoff exceeds the cost plus the value of the option it forgoes</w:t>
      </w:r>
      <w:r>
        <w:t xml:space="preserve"> </w:t>
      </w:r>
      <w:hyperlink w:anchor="ref-10">
        <w:r>
          <w:rPr>
            <w:rStyle w:val="Hyperlink"/>
          </w:rPr>
          <w:t xml:space="preserve">[10]</w:t>
        </w:r>
      </w:hyperlink>
      <w:r>
        <w:t xml:space="preserve">. The right to defer, priced first for financial claims, has value that rises with the uncertainty of the underlying</w:t>
      </w:r>
      <w:r>
        <w:t xml:space="preserve"> </w:t>
      </w:r>
      <w:hyperlink w:anchor="ref-9">
        <w:r>
          <w:rPr>
            <w:rStyle w:val="Hyperlink"/>
          </w:rPr>
          <w:t xml:space="preserve">[9]</w:t>
        </w:r>
      </w:hyperlink>
      <w:r>
        <w:t xml:space="preserve">.</w:t>
      </w:r>
    </w:p>
    <w:p>
      <w:pPr>
        <w:pStyle w:val="BodyText"/>
        <w:spacing w:line="480" w:lineRule="auto"/>
        <w:ind w:firstLine="720"/>
      </w:pPr>
      <w:r>
        <w:t xml:space="preserve">One comparative static matters here, and it follows directly. Hold the cost and the expected payoff fixed and raise the uncertainty of the payoff. The value of waiting rises, because more uncertainty means more to learn before committing an irreversible sum. The threshold the payoff must clear before the firm acts rises with it. So higher uncertainty delays exercise. A firm facing a noisier environment waits longer, all else equal, and the probability that it commits in any given interval falls. This is the engine of the whole dissertation, and it is the only piece of theory the empirical work is asked to confirm or deny.</w:t>
      </w:r>
    </w:p>
    <w:p>
      <w:pPr>
        <w:pStyle w:val="BodyText"/>
        <w:spacing w:line="480" w:lineRule="auto"/>
        <w:ind w:firstLine="720"/>
      </w:pPr>
      <w:r>
        <w:t xml:space="preserve">One sign. That is the entire wager.</w:t>
      </w:r>
    </w:p>
    <w:p>
      <w:pPr>
        <w:pStyle w:val="BodyText"/>
        <w:spacing w:line="480" w:lineRule="auto"/>
        <w:ind w:firstLine="720"/>
      </w:pPr>
      <w:r>
        <w:t xml:space="preserve">It helps to see why this comparative static is robust rather than a quirk of a particular model. The value of an option to defer comes from asymmetry: the holder captures the upside if the environment resolves favorably and walks away if it does not, so the distribution of outcomes matters more than its mean. Widening that distribution, which is what raising uncertainty does, adds more to the capped-downside upside than it subtracts from the protected downside, so the option is worth more</w:t>
      </w:r>
      <w:r>
        <w:t xml:space="preserve"> </w:t>
      </w:r>
      <w:hyperlink w:anchor="ref-9">
        <w:r>
          <w:rPr>
            <w:rStyle w:val="Hyperlink"/>
          </w:rPr>
          <w:t xml:space="preserve">[9]</w:t>
        </w:r>
      </w:hyperlink>
      <w:r>
        <w:t xml:space="preserve">. The correct decision rule is therefore not to invest when the expected payoff clears the cost, but to invest when it clears the cost by enough to compensate for the option destroyed by acting, and that required margin grows with uncertainty</w:t>
      </w:r>
      <w:r>
        <w:t xml:space="preserve"> </w:t>
      </w:r>
      <w:hyperlink w:anchor="ref-10">
        <w:r>
          <w:rPr>
            <w:rStyle w:val="Hyperlink"/>
          </w:rPr>
          <w:t xml:space="preserve">[10]</w:t>
        </w:r>
      </w:hyperlink>
      <w:r>
        <w:t xml:space="preserve">. The prediction that exercise slows as uncertainty rises is a property of options in general, not an artifact of one specification, which is why a filing-level test of the sign is a meaningful test of whether filings are options at all.</w:t>
      </w:r>
    </w:p>
    <w:p>
      <w:pPr>
        <w:pStyle w:val="BodyText"/>
        <w:spacing w:line="480" w:lineRule="auto"/>
        <w:ind w:firstLine="720"/>
      </w:pPr>
      <w:r>
        <w:t xml:space="preserve">This mechanism also predicts what should not happen, which sharpens the test. If filings were pure queue positions with no option content, uncertainty would have no channel through which to affect exercise timing, because a queue ticket is exercised when the holder is ready regardless of how the environment is evolving. A finding of no relationship between uncertainty and deployment timing would be consistent with that null and would count against the option reading. The theory therefore stakes out a falsifiable position: it predicts a specific sign, and it predicts that the sign should vanish if filings are not options. That is more than a directional guess; it is a claim that can be wrong in a clean way, which is what makes it worth testing against the record.</w:t>
      </w:r>
    </w:p>
    <w:bookmarkEnd w:id="75"/>
    <w:bookmarkStart w:id="76" w:name="why-an-fcc-filing-is-an-option-to-defer"/>
    <w:p>
      <w:pPr>
        <w:pStyle w:val="Heading2"/>
        <w:spacing w:line="480" w:lineRule="auto"/>
      </w:pPr>
      <w:r>
        <w:t xml:space="preserve">Why an FCC filing is an option to defer</w:t>
      </w:r>
    </w:p>
    <w:p>
      <w:pPr>
        <w:pStyle w:val="FirstParagraph"/>
        <w:spacing w:line="480" w:lineRule="auto"/>
      </w:pPr>
      <w:r>
        <w:t xml:space="preserve">The mechanism operates only when three conditions hold: the investment is irreversible, it can be delayed, and its payoff is uncertain. Satellite deployment satisfies all three, and the FCC filing is the instrument through which the delay is legally held open.</w:t>
      </w:r>
    </w:p>
    <w:p>
      <w:pPr>
        <w:pStyle w:val="BodyText"/>
        <w:spacing w:line="480" w:lineRule="auto"/>
        <w:ind w:firstLine="720"/>
      </w:pPr>
      <w:r>
        <w:t xml:space="preserve">Irreversibility is clear. A launched constellation is sunk capital. Rockets, spacecraft, ground stations, and coordination agreements cannot be meaningfully unwound, and the staged-deployment literature treats deployment commitments as the irreversible step precisely because they are</w:t>
      </w:r>
      <w:r>
        <w:t xml:space="preserve"> </w:t>
      </w:r>
      <w:hyperlink w:anchor="ref-7">
        <w:r>
          <w:rPr>
            <w:rStyle w:val="Hyperlink"/>
          </w:rPr>
          <w:t xml:space="preserve">[7]</w:t>
        </w:r>
      </w:hyperlink>
      <w:r>
        <w:t xml:space="preserve">. Delayability is what the filing provides. An accepted FCC filing reserves priority and preserves the legal possibility of building, while the operator watches demand, financing, launch availability, and coordination outcomes evolve. The filing is the mechanism that converts a would-be now-or-never decision into a now-or-later one. Uncertainty is abundant. Low-orbit demand presses against environmental capacity in ways that are hard to forecast</w:t>
      </w:r>
      <w:r>
        <w:t xml:space="preserve"> </w:t>
      </w:r>
      <w:hyperlink w:anchor="ref-6">
        <w:r>
          <w:rPr>
            <w:rStyle w:val="Hyperlink"/>
          </w:rPr>
          <w:t xml:space="preserve">[6]</w:t>
        </w:r>
      </w:hyperlink>
      <w:r>
        <w:t xml:space="preserve">; the broadband competition is fierce and its winners unsettled</w:t>
      </w:r>
      <w:r>
        <w:t xml:space="preserve"> </w:t>
      </w:r>
      <w:hyperlink w:anchor="ref-3">
        <w:r>
          <w:rPr>
            <w:rStyle w:val="Hyperlink"/>
          </w:rPr>
          <w:t xml:space="preserve">[3]</w:t>
        </w:r>
      </w:hyperlink>
      <w:r>
        <w:t xml:space="preserve">; interference and compliance in the shared regimes are imperfectly observable</w:t>
      </w:r>
      <w:r>
        <w:t xml:space="preserve"> </w:t>
      </w:r>
      <w:hyperlink w:anchor="ref-4">
        <w:r>
          <w:rPr>
            <w:rStyle w:val="Hyperlink"/>
          </w:rPr>
          <w:t xml:space="preserve">[4]</w:t>
        </w:r>
      </w:hyperlink>
      <w:r>
        <w:t xml:space="preserve">; and the coordination burden of many overlapping systems grows unpredictably as the environment fills</w:t>
      </w:r>
      <w:r>
        <w:t xml:space="preserve"> </w:t>
      </w:r>
      <w:hyperlink w:anchor="ref-8">
        <w:r>
          <w:rPr>
            <w:rStyle w:val="Hyperlink"/>
          </w:rPr>
          <w:t xml:space="preserve">[8]</w:t>
        </w:r>
      </w:hyperlink>
      <w:r>
        <w:t xml:space="preserve">. An operator holding a filing faces exactly the noisy, resolvable uncertainty that makes waiting valuable.</w:t>
      </w:r>
    </w:p>
    <w:p>
      <w:pPr>
        <w:pStyle w:val="BodyText"/>
        <w:spacing w:line="480" w:lineRule="auto"/>
        <w:ind w:firstLine="720"/>
      </w:pPr>
      <w:r>
        <w:t xml:space="preserve">The filing is therefore not merely a prerequisite. It is the legal embodiment of the option to defer. Holding it, the operator owns the right, but not the obligation, to deploy, and can time exercise to the resolution of uncertainty. The governance architecture around filings, with its milestone rules and buildout deadlines, exists in part because regulators understand this and try to bound how long the option can be held cheaply</w:t>
      </w:r>
      <w:r>
        <w:t xml:space="preserve"> </w:t>
      </w:r>
      <w:hyperlink w:anchor="ref-1">
        <w:r>
          <w:rPr>
            <w:rStyle w:val="Hyperlink"/>
          </w:rPr>
          <w:t xml:space="preserve">[1]</w:t>
        </w:r>
      </w:hyperlink>
      <w:r>
        <w:t xml:space="preserve">.</w:t>
      </w:r>
    </w:p>
    <w:p>
      <w:pPr>
        <w:pStyle w:val="BodyText"/>
        <w:spacing w:line="480" w:lineRule="auto"/>
        <w:ind w:firstLine="720"/>
      </w:pPr>
      <w:r>
        <w:t xml:space="preserve">A parallel to a financial option is close enough to be useful and loose enough to require care. A financial call gives its holder the right to buy an asset at a fixed strike before expiry, and its value rises with the volatility of the underlying and with time to expiry</w:t>
      </w:r>
      <w:r>
        <w:t xml:space="preserve"> </w:t>
      </w:r>
      <w:hyperlink w:anchor="ref-9">
        <w:r>
          <w:rPr>
            <w:rStyle w:val="Hyperlink"/>
          </w:rPr>
          <w:t xml:space="preserve">[9]</w:t>
        </w:r>
      </w:hyperlink>
      <w:r>
        <w:t xml:space="preserve">. The filing is analogous: it gives the operator the right to deploy, at the cost of building, before the authorization lapses, and its value should rise with the volatility of the deployment payoff and with the time the milestone rules allow before the right expires. The strike is the irreversible cost of building; the underlying is the uncertain value of the deployed system; the expiry is the buildout deadline. Where the analogy loosens is that the filing option is not freely tradable, its exercise is partly observable to regulators and rivals, and its payoff depends on a coordination environment the holder partly shapes. Those differences matter for a full valuation, which this dissertation does not attempt. They do not disturb the one prediction being tested, because the volatility-raises-option-value result survives all of them, and it is that result the sign test targets.</w:t>
      </w:r>
    </w:p>
    <w:p>
      <w:pPr>
        <w:pStyle w:val="BodyText"/>
        <w:spacing w:line="480" w:lineRule="auto"/>
        <w:ind w:firstLine="720"/>
      </w:pPr>
      <w:r>
        <w:t xml:space="preserve">Any application of this mechanism assumes the operator behaves as a value-maximizing holder of the option, which is a modeling choice worth making explicit. An operator might instead file for strategic blocking, to deny a rival a coordination path, or file speculatively with no real intention to build. Both of those behaviors would also produce long holds of unexercised filings, and both would show up in the data as slow exercise. The theory here does not claim that every long hold is rational option value; it claims that rational option holding is one economically coherent reason filings would be exercised slowly under uncertainty, and it predicts the sign that behavior implies. Distinguishing rational deferment from blocking or speculation is beyond what the sign test can do, a limit the discussion chapter treats directly. The theory’s job is narrower: to license the sign prediction and to make clear that a confirmation is consistent with, but not exclusive to, the option reading.</w:t>
      </w:r>
    </w:p>
    <w:bookmarkEnd w:id="76"/>
    <w:bookmarkStart w:id="77" w:name="Xec66e03cea69877964d3540194f68daddabe77b"/>
    <w:p>
      <w:pPr>
        <w:pStyle w:val="Heading2"/>
        <w:spacing w:line="480" w:lineRule="auto"/>
      </w:pPr>
      <w:r>
        <w:t xml:space="preserve">From mechanism to a measurable prediction</w:t>
      </w:r>
    </w:p>
    <w:p>
      <w:pPr>
        <w:pStyle w:val="FirstParagraph"/>
        <w:spacing w:line="480" w:lineRule="auto"/>
      </w:pPr>
      <w:r>
        <w:t xml:space="preserve">Theory predicts that higher uncertainty delays exercise. To test that, the abstraction has to become an observable. Two observables are needed: a measure of how much uncertainty a filing faced, and a measure of when, if ever, the filing was exercised through deployment.</w:t>
      </w:r>
    </w:p>
    <w:p>
      <w:pPr>
        <w:pStyle w:val="BodyText"/>
        <w:spacing w:line="480" w:lineRule="auto"/>
        <w:ind w:firstLine="720"/>
      </w:pPr>
      <w:r>
        <w:t xml:space="preserve">Exercise is the cleaner of the two. A filing is exercised when the operator commits the irreversible investment, and the first verified deployment, the first public launch that plausibly acts on the filing right, marks that moment. The time from the public FCC clock date to that first deployment is the duration over which the option was held. Filings that never deploy within the observation window are right-censored: the option was still being held, unexercised, when observation ended. This is a survival-analysis object, a time to an event with censoring, and it is the natural way to represent option exercise.</w:t>
      </w:r>
    </w:p>
    <w:p>
      <w:pPr>
        <w:pStyle w:val="BodyText"/>
        <w:spacing w:line="480" w:lineRule="auto"/>
        <w:ind w:firstLine="720"/>
      </w:pPr>
      <w:r>
        <w:t xml:space="preserve">Uncertainty is harder and must be proxied transparently. The proxy this dissertation uses is a coordination uncertainty index built from the public filing environment: the number of peer applications the filing faced in its relevant processing environment, divided by one plus the count of documented contestation entries in the record. The logic is that a crowded filing environment with little resolving contestation is informationally noisy, because many rivals are present but the record has not yet clarified who prevails, which coordination conditions bind, or how objections resolve. A heavily contested record, by contrast, can be informationally clearer, since objections, coordination conditions, and Commission findings make the right more concrete. The index rises with peers and falls with resolved contestation, so it is high exactly when uncertainty is high. It is a transparent proxy, not a structural measure, and the dissertation is explicit that it may also capture congestion or competition rather than uncertainty alone.</w:t>
      </w:r>
    </w:p>
    <w:bookmarkEnd w:id="77"/>
    <w:bookmarkStart w:id="78" w:name="hypotheses"/>
    <w:p>
      <w:pPr>
        <w:pStyle w:val="Heading2"/>
        <w:spacing w:line="480" w:lineRule="auto"/>
      </w:pPr>
      <w:r>
        <w:t xml:space="preserve">Hypotheses</w:t>
      </w:r>
    </w:p>
    <w:p>
      <w:pPr>
        <w:pStyle w:val="FirstParagraph"/>
        <w:spacing w:line="480" w:lineRule="auto"/>
      </w:pPr>
      <w:r>
        <w:t xml:space="preserve">The theory yields a directional prediction that the survival model can test. Let the deployment hazard depend on the coordination uncertainty index and on system scale, measured by the natural log of proposed satellites to hold constant the sheer size of the undertaking. The coefficient on the uncertainty index carries the option prediction.</w:t>
      </w:r>
    </w:p>
    <w:p>
      <w:pPr>
        <w:pStyle w:val="BodyText"/>
        <w:spacing w:line="480" w:lineRule="auto"/>
        <w:ind w:firstLine="720"/>
      </w:pPr>
      <w:r>
        <w:t xml:space="preserve">The null hypothesis is that this coefficient is zero. Conditional on scale, the coordination uncertainty a filing faced has no effect on the hazard that the filing is exercised through deployment. Under the null, the filing is a queue position and priority reservation, and its timing carries no option content; non-deployment reflects screening or failure, not the rational holding of a valuable right.</w:t>
      </w:r>
    </w:p>
    <w:p>
      <w:pPr>
        <w:pStyle w:val="BodyText"/>
        <w:spacing w:line="480" w:lineRule="auto"/>
        <w:ind w:firstLine="720"/>
      </w:pPr>
      <w:r>
        <w:t xml:space="preserve">The alternative hypothesis is that the coefficient is negative. Higher coordination uncertainty lowers the deployment hazard, so filings facing noisier environments are exercised more slowly, consistent with the filing operating as a deferment option whose holder waits for uncertainty to resolve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hazard ratio below one is the signature of the option mechanism.</w:t>
      </w:r>
    </w:p>
    <w:p>
      <w:pPr>
        <w:pStyle w:val="BodyText"/>
        <w:spacing w:line="480" w:lineRule="auto"/>
        <w:ind w:firstLine="720"/>
      </w:pPr>
      <w:r>
        <w:t xml:space="preserve">A complementary duration prediction sharpens the reading. If uncertainty slows exercise, then higher uncertainty should also be associated with longer observed durations from the clock date to deployment or censoring. A linear duration model estimating months as a function of the uncertainty index should then return a positive coefficient. The two predictions are two faces of the same mechanism: a lower hazard in the survival model and a longer duration in the linear model both say that uncertainty makes operators wait.</w:t>
      </w:r>
    </w:p>
    <w:bookmarkEnd w:id="78"/>
    <w:bookmarkStart w:id="79" w:name="rival-accounts-of-the-same-prediction"/>
    <w:p>
      <w:pPr>
        <w:pStyle w:val="Heading2"/>
        <w:spacing w:line="480" w:lineRule="auto"/>
      </w:pPr>
      <w:r>
        <w:t xml:space="preserve">Rival accounts of the same prediction</w:t>
      </w:r>
    </w:p>
    <w:p>
      <w:pPr>
        <w:pStyle w:val="FirstParagraph"/>
        <w:spacing w:line="480" w:lineRule="auto"/>
      </w:pPr>
      <w:r>
        <w:t xml:space="preserve">Intellectual honesty requires naming the theories that would predict the same sign, because a prediction shared by several mechanisms is weaker evidence for any one of them. Three rivals to the option account deserve statement. The first is congestion. A crowded filing environment forces more inter-system coordination, more interference analysis, and more regulatory back-and-forth, all of which mechanically lengthen deployment regardless of any rational waiting</w:t>
      </w:r>
      <w:r>
        <w:t xml:space="preserve"> </w:t>
      </w:r>
      <w:hyperlink w:anchor="ref-8">
        <w:r>
          <w:rPr>
            <w:rStyle w:val="Hyperlink"/>
          </w:rPr>
          <w:t xml:space="preserve">[8]</w:t>
        </w:r>
      </w:hyperlink>
      <w:r>
        <w:t xml:space="preserve">. Congestion would produce a negative hazard coefficient on the density-based uncertainty index without any option value being present, and the design cannot fully separate it from deferment.</w:t>
      </w:r>
    </w:p>
    <w:p>
      <w:pPr>
        <w:pStyle w:val="BodyText"/>
        <w:spacing w:line="480" w:lineRule="auto"/>
        <w:ind w:firstLine="720"/>
      </w:pPr>
      <w:r>
        <w:t xml:space="preserve">The second rival is capability sorting. If credible, well-capitalized applicants tend to file in less crowded environments, perhaps because they move early or coordinate privately, then low uncertainty would correlate with fast deployment through applicant capability rather than through the option mechanism. The applicant fixed effects that a population study would deploy are meant to absorb exactly this, but a ten-row panel cannot carry them, so capability sorting remains a live alternative reading of the same sign. The third rival is strategic behavior: filing to block a rival’s coordination path, or filing speculatively with no intent to build, both of which produce long holds of unexercised filings under crowded conditions without any rational option being priced. These behaviors would also generate the predicted sign.</w:t>
      </w:r>
    </w:p>
    <w:p>
      <w:pPr>
        <w:pStyle w:val="BodyText"/>
        <w:spacing w:line="480" w:lineRule="auto"/>
        <w:ind w:firstLine="720"/>
      </w:pPr>
      <w:r>
        <w:t xml:space="preserve">Because these rivals exist, the dissertation reads a confirmation as consistent with the option mechanism rather than as proof of it. The option account is the one tested because it is the one with a clean theoretical derivation and a settled comparative static, and because it is the account that reframes non-deployment as potentially rational, which is the policy-relevant hypothesis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rivals are not dismissed; they are named as the interpretive competition that a larger, better-identified study would need to defeat. What the theory chapter can do is state the option prediction sharply and acknowledge that the sign it predicts is shared. What it cannot do, and does not pretend to do, is claim that a confirmation isolates the option mechanism from its rivals. That separation is the work of a population study with the identification this panel lacks. This study does less. It tests a sign.</w:t>
      </w:r>
    </w:p>
    <w:bookmarkEnd w:id="79"/>
    <w:bookmarkStart w:id="80" w:name="the-role-of-scale-in-the-mechanism"/>
    <w:p>
      <w:pPr>
        <w:pStyle w:val="Heading2"/>
        <w:spacing w:line="480" w:lineRule="auto"/>
      </w:pPr>
      <w:r>
        <w:t xml:space="preserve">The role of scale in the mechanism</w:t>
      </w:r>
    </w:p>
    <w:p>
      <w:pPr>
        <w:pStyle w:val="FirstParagraph"/>
        <w:spacing w:line="480" w:lineRule="auto"/>
      </w:pPr>
      <w:r>
        <w:t xml:space="preserve">Scale enters the theory as a control rather than as part of the mechanism, and the reason repays a moment’s attention. A larger system, with more satellites to build, finance, and launch, faces a longer deployment timeline for purely mechanical reasons, independent of any option value</w:t>
      </w:r>
      <w:r>
        <w:t xml:space="preserve"> </w:t>
      </w:r>
      <w:hyperlink w:anchor="ref-7">
        <w:r>
          <w:rPr>
            <w:rStyle w:val="Hyperlink"/>
          </w:rPr>
          <w:t xml:space="preserve">[7]</w:t>
        </w:r>
      </w:hyperlink>
      <w:r>
        <w:t xml:space="preserve">. If large systems also happened to face systematically different uncertainty, then a raw association between uncertainty and slow deployment could be a size effect wearing an uncertainty mask. Conditioning on the log of proposed satellites removes that channel, so that the uncertainty coefficient measures the effect of the environment at a fixed system size. The theory predicts nothing about the sign of the scale effect itself; scale is a nuisance to be held constant, not a mechanism to be interpreted. Keeping the theoretical spotlight on uncertainty while controlling scale mechanically is what lets the sign test isolate the option prediction from the confound most likely to mimic it.</w:t>
      </w:r>
    </w:p>
    <w:bookmarkEnd w:id="80"/>
    <w:bookmarkStart w:id="81" w:name="X585a7c3acab2d3905c0aa1d813ff9d08ab3c44c"/>
    <w:p>
      <w:pPr>
        <w:pStyle w:val="Heading2"/>
        <w:spacing w:line="480" w:lineRule="auto"/>
      </w:pPr>
      <w:r>
        <w:t xml:space="preserve">What a confirmation would and would not establish</w:t>
      </w:r>
    </w:p>
    <w:p>
      <w:pPr>
        <w:pStyle w:val="FirstParagraph"/>
        <w:spacing w:line="480" w:lineRule="auto"/>
      </w:pPr>
      <w:r>
        <w:t xml:space="preserve">A negative hazard coefficient and a positive duration coefficient would be consistent with the option reading. They would show that, in the panel assembled, filings facing more unresolved coordination uncertainty were exercised more slowly, holding scale constant, which is the pattern option theory predicts. That is the falsifiable contribution, and it is worth stating plainly what it does not amount to.</w:t>
      </w:r>
    </w:p>
    <w:p>
      <w:pPr>
        <w:pStyle w:val="BodyText"/>
        <w:spacing w:line="480" w:lineRule="auto"/>
        <w:ind w:firstLine="720"/>
      </w:pPr>
      <w:r>
        <w:t xml:space="preserve">It would not be a structural valuation of the filing option, since the index is a proxy and the model estimates an association, not a priced option value. It would not by itself distinguish deferment from congestion or competition, because a crowded environment can slow deployment through coordination friction as well as through rational waiting; the dissertation reads a negative coefficient as evidence consistent with deferment, not as proof that deferment alone drives it. And it would not, from ten public rows, license a population claim; it would establish that the mechanism is detectable and the method sound, leaving the population test to a larger sample. The theory in this chapter is deliberately spare because its job is only to license one sign prediction. The chapters that follow estimate it, report it exactly, and interpret it with the caution a proof-of-method panel demands. A spare theory is not a weak one; it is a theory disciplined to say only what it can defend and to predict only what the data can test. The comparative static that uncertainty delays exercise is the whole of what this framework asks the evidence to confirm, and the narrowness of that ask is what makes a small, honest panel an adequate instrument for testing it</w:t>
      </w:r>
      <w:r>
        <w:t xml:space="preserve"> </w:t>
      </w:r>
      <w:hyperlink w:anchor="ref-10">
        <w:r>
          <w:rPr>
            <w:rStyle w:val="Hyperlink"/>
          </w:rPr>
          <w:t xml:space="preserve">[10]</w:t>
        </w:r>
      </w:hyperlink>
      <w:r>
        <w:t xml:space="preserve">.</w:t>
      </w:r>
    </w:p>
    <w:bookmarkEnd w:id="81"/>
    <w:bookmarkEnd w:id="82"/>
    <w:bookmarkStart w:id="88" w:name="methodology-and-identification"/>
    <w:p>
      <w:pPr>
        <w:pStyle w:val="Heading1"/>
        <w:spacing w:line="480" w:lineRule="auto"/>
      </w:pPr>
      <w:r>
        <w:t xml:space="preserve">Methodology and Identification</w:t>
      </w:r>
    </w:p>
    <w:p>
      <w:pPr>
        <w:pStyle w:val="FirstParagraph"/>
        <w:spacing w:line="480" w:lineRule="auto"/>
      </w:pPr>
      <w:r>
        <w:t xml:space="preserve">The prediction from the theory is directional and specific: higher coordination uncertainty should lower the hazard of deployment and lengthen observed duration. This chapter specifies the two estimators that test that prediction, explains why each is appropriate to the structure of the data, and argues for what the design can and cannot identify. The estimators are deliberately standard. A proof-of-method study earns credibility by using transparent, well-understood tools on an auditable file, not by reaching for machinery the sample cannot support.</w:t>
      </w:r>
    </w:p>
    <w:p>
      <w:pPr>
        <w:pStyle w:val="BodyText"/>
        <w:spacing w:line="480" w:lineRule="auto"/>
        <w:ind w:firstLine="720"/>
      </w:pPr>
      <w:r>
        <w:t xml:space="preserve">Simplicity is the safeguard here. Ten rows punish cleverness.</w:t>
      </w:r>
    </w:p>
    <w:bookmarkStart w:id="83" w:name="the-survival-design"/>
    <w:p>
      <w:pPr>
        <w:pStyle w:val="Heading2"/>
        <w:spacing w:line="480" w:lineRule="auto"/>
      </w:pPr>
      <w:r>
        <w:t xml:space="preserve">The survival design</w:t>
      </w:r>
    </w:p>
    <w:p>
      <w:pPr>
        <w:pStyle w:val="FirstParagraph"/>
        <w:spacing w:line="480" w:lineRule="auto"/>
      </w:pPr>
      <w:r>
        <w:t xml:space="preserve">The natural representation of option exercise is a time to an event with censoring. Each filing enters an at-risk state on its public FCC clock date and remains at risk until it either deploys, the event, or the observation window closes without deployment, in which case it is right-censored. Some systems in the panel deployed within a few months; others have sat unexercised for years and are censored at the session date. A method that ignored censoring, by dropping non-deployers or by treating their durations as complete, would throw away exactly the observations that carry the option story, since a filing held open for years without exercise is the clearest expression of deferment value.</w:t>
      </w:r>
    </w:p>
    <w:p>
      <w:pPr>
        <w:pStyle w:val="BodyText"/>
        <w:spacing w:line="480" w:lineRule="auto"/>
        <w:ind w:firstLine="720"/>
      </w:pPr>
      <w:r>
        <w:t xml:space="preserve">The primary estimator is therefore a Cox proportional-hazards model. The hazard for filing i at time t takes the form in which a baseline hazard is scaled by an exponential function of the covariates:</w:t>
      </w:r>
    </w:p>
    <w:p>
      <w:pPr>
        <w:pStyle w:val="BodyText"/>
        <w:spacing w:line="480" w:lineRule="auto"/>
        <w:ind w:firstLine="720"/>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t>U</m:t>
                  </m:r>
                </m:e>
                <m:sub>
                  <m:r>
                    <m:t>i</m:t>
                  </m:r>
                </m:sub>
              </m:sSub>
              <m:r>
                <m:rPr>
                  <m:sty m:val="p"/>
                </m:rPr>
                <m:t>+</m:t>
              </m:r>
              <m:sSub>
                <m:e>
                  <m:r>
                    <m:t>β</m:t>
                  </m:r>
                </m:e>
                <m:sub>
                  <m:r>
                    <m:t>2</m:t>
                  </m:r>
                </m:sub>
              </m:sSub>
              <m:r>
                <m:rPr>
                  <m:sty m:val="p"/>
                </m:rPr>
                <m:t>ln</m:t>
              </m:r>
              <m:r>
                <m:rPr>
                  <m:sty m:val="p"/>
                </m:rPr>
                <m:t>(</m:t>
              </m:r>
              <m:sSub>
                <m:e>
                  <m:r>
                    <m:t>S</m:t>
                  </m:r>
                </m:e>
                <m:sub>
                  <m:r>
                    <m:t>i</m:t>
                  </m:r>
                </m:sub>
              </m:sSub>
              <m:r>
                <m:rPr>
                  <m:sty m:val="p"/>
                </m:rPr>
                <m:t>)</m:t>
              </m:r>
            </m:e>
          </m:d>
        </m:oMath>
      </m:oMathPara>
    </w:p>
    <w:p>
      <w:pPr>
        <w:pStyle w:val="FirstParagraph"/>
        <w:spacing w:line="480" w:lineRule="auto"/>
      </w:pPr>
      <w:r>
        <w:t xml:space="preserve">Here U_i is the coordination uncertainty index, S_i is the number of proposed satellites, and the baseline hazard h_0(t) is left unspecified. The Cox model is well suited to this setting for three reasons. It handles right-censoring correctly, using each observation for exactly as long as it is at risk. It leaves the baseline hazard unrestricted, so no functional form is imposed on how the underlying propensity to deploy varies over time, which matters when launch cadence, financing cycles, and regulatory clocks all shape timing in ways a parametric baseline would misstate. And it estimates the covariate effects semiparametrically through the partial likelihood, which is economical with a small sample because it does not spend degrees of freedom estimating the baseline shape.</w:t>
      </w:r>
    </w:p>
    <w:p>
      <w:pPr>
        <w:pStyle w:val="BodyText"/>
        <w:spacing w:line="480" w:lineRule="auto"/>
        <w:ind w:firstLine="720"/>
      </w:pPr>
      <w:r>
        <w:t xml:space="preserve">The coefficient of interest is beta_1. The option prediction is beta_1 less than zero, equivalently a hazard ratio below one: a one-unit increase in the uncertainty index multiplies the deployment hazard by exp(beta_1), and under the alternative that multiplier is less than one, so the instantaneous probability of deployment falls as uncertainty rises. The scale control beta_2 absorbs the mechanical fact that larger systems, with more satellites to build and launch, face different deployment timelines, so that the uncertainty effect is not confounded by the size of the undertaking. Log scale is used because proposed satellite counts span several orders of magnitude, from a two-satellite system to constellations of thousands, and the log keeps that range from being dominated by the largest systems</w:t>
      </w:r>
      <w:r>
        <w:t xml:space="preserve"> </w:t>
      </w:r>
      <w:hyperlink w:anchor="ref-7">
        <w:r>
          <w:rPr>
            <w:rStyle w:val="Hyperlink"/>
          </w:rPr>
          <w:t xml:space="preserve">[7]</w:t>
        </w:r>
      </w:hyperlink>
      <w:r>
        <w:t xml:space="preserve">.</w:t>
      </w:r>
    </w:p>
    <w:p>
      <w:pPr>
        <w:pStyle w:val="BodyText"/>
        <w:spacing w:line="480" w:lineRule="auto"/>
        <w:ind w:firstLine="720"/>
      </w:pPr>
      <w:r>
        <w:t xml:space="preserve">Estimation proceeds through the partial likelihood, and it is worth being explicit about why that mechanism suits a small sample. At each observed deployment, the partial likelihood asks only which filing among those still at risk was the one to deploy, comparing the covariates of the system that deployed against the covariates of the systems that could have but did not. It never estimates the baseline hazard at all, which is what lets the model spend its limited information on the covariate effects rather than on the shape of the underlying timing distribution. With six events, the partial likelihood is built from six such comparisons, each contributing what it can about whether higher uncertainty accompanies later deployment. This is economical estimation, and it is the reason a semiparametric survival model is preferable here to a fully parametric one that would have to commit to a functional form for the baseline the data cannot pin down.</w:t>
      </w:r>
    </w:p>
    <w:p>
      <w:pPr>
        <w:pStyle w:val="BodyText"/>
        <w:spacing w:line="480" w:lineRule="auto"/>
        <w:ind w:firstLine="720"/>
      </w:pPr>
      <w:r>
        <w:t xml:space="preserve">The proportional-hazards assumption underlying the model deserves a plain statement, because it is the assumption most likely to strain in a small sample. The model assumes that a covariate scales the hazard by the same multiplicative factor at every point in time, so that the effect of uncertainty on the deployment hazard is the same in month two as in month eighty. That is a genuine restriction. If, for instance, uncertainty mattered mostly early and washed out later, the assumption would be violated and the single coefficient would average over a time-varying effect. With ten observations the assumption cannot be tested with any power, so the honest posture is to report the proportional-hazards estimate as the summary the standard model provides while acknowledging that a population study should test the assumption directly. The estimate is a proportional-hazards summary of the uncertainty effect, correctly labeled, not a claim that the effect is provably constant over time.</w:t>
      </w:r>
    </w:p>
    <w:bookmarkEnd w:id="83"/>
    <w:bookmarkStart w:id="84" w:name="the-duration-robustness-layer"/>
    <w:p>
      <w:pPr>
        <w:pStyle w:val="Heading2"/>
        <w:spacing w:line="480" w:lineRule="auto"/>
      </w:pPr>
      <w:r>
        <w:t xml:space="preserve">The duration robustness layer</w:t>
      </w:r>
    </w:p>
    <w:p>
      <w:pPr>
        <w:pStyle w:val="FirstParagraph"/>
        <w:spacing w:line="480" w:lineRule="auto"/>
      </w:pPr>
      <w:r>
        <w:t xml:space="preserve">A hazard coefficient is the theoretically correct object, but it is not the most legible one for a policy reader, who wants to know how many months of waiting a unit of uncertainty buys. The dissertation therefore adds a second, simpler estimator whose only job is robustness and communication. A linear duration model regresses observed duration in months on the uncertainty index:</w:t>
      </w:r>
    </w:p>
    <w:p>
      <w:pPr>
        <w:pStyle w:val="BodyText"/>
        <w:spacing w:line="480" w:lineRule="auto"/>
        <w:ind w:firstLine="720"/>
      </w:pPr>
      <m:oMathPara>
        <m:oMathParaPr>
          <m:jc m:val="center"/>
        </m:oMathParaPr>
        <m:oMath>
          <m:sSub>
            <m:e>
              <m:r>
                <m:t>T</m:t>
              </m:r>
            </m:e>
            <m:sub>
              <m:r>
                <m:t>i</m:t>
              </m:r>
            </m:sub>
          </m:sSub>
          <m:r>
            <m:rPr>
              <m:sty m:val="p"/>
            </m:rPr>
            <m:t>=</m:t>
          </m:r>
          <m:r>
            <m:t>α</m:t>
          </m:r>
          <m:r>
            <m:rPr>
              <m:sty m:val="p"/>
            </m:rPr>
            <m:t>+</m:t>
          </m:r>
          <m:sSub>
            <m:e>
              <m:r>
                <m:t>β</m:t>
              </m:r>
            </m:e>
            <m:sub>
              <m:r>
                <m:t>1</m:t>
              </m:r>
            </m:sub>
          </m:sSub>
          <m:sSub>
            <m:e>
              <m:r>
                <m:t>U</m:t>
              </m:r>
            </m:e>
            <m:sub>
              <m:r>
                <m:t>i</m:t>
              </m:r>
            </m:sub>
          </m:sSub>
          <m:r>
            <m:rPr>
              <m:sty m:val="p"/>
            </m:rPr>
            <m:t>+</m:t>
          </m:r>
          <m:sSub>
            <m:e>
              <m:r>
                <m:t>ϵ</m:t>
              </m:r>
            </m:e>
            <m:sub>
              <m:r>
                <m:t>i</m:t>
              </m:r>
            </m:sub>
          </m:sSub>
        </m:oMath>
      </m:oMathPara>
    </w:p>
    <w:p>
      <w:pPr>
        <w:pStyle w:val="FirstParagraph"/>
        <w:spacing w:line="480" w:lineRule="auto"/>
      </w:pPr>
      <w:r>
        <w:t xml:space="preserve">This is ordinary least squares with a heteroskedasticity-consistent standard error, so that the inference does not lean on an assumption of constant error variance that a ten-row panel could not credibly support. The coefficient beta_1 here is a months-per-index-unit slope, directly interpretable: it states how many additional months of observed duration are associated with a one-unit rise in the uncertainty index.</w:t>
      </w:r>
    </w:p>
    <w:p>
      <w:pPr>
        <w:pStyle w:val="BodyText"/>
        <w:spacing w:line="480" w:lineRule="auto"/>
        <w:ind w:firstLine="720"/>
      </w:pPr>
      <w:r>
        <w:t xml:space="preserve">The linear model is not a competing theory. It treats duration, including censored duration, as the outcome, which the Cox model deliberately does not, so the two are complementary rather than rival. Survival analysis handles censoring more naturally and is the primary specification; the linear model provides an interpretable slope and a check that the sign of the association survives a different, simpler estimator. If the Cox hazard coefficient is negative and the OLS duration coefficient is positive, the two agree that uncertainty slows exercise, which is the mechanism the theory predicts. Reporting both, and reporting them exactly, guards against the possibility that a single specification is doing the work.</w:t>
      </w:r>
    </w:p>
    <w:p>
      <w:pPr>
        <w:pStyle w:val="BodyText"/>
        <w:spacing w:line="480" w:lineRule="auto"/>
        <w:ind w:firstLine="720"/>
      </w:pPr>
      <w:r>
        <w:t xml:space="preserve">The heteroskedasticity-consistent standard error on the linear model is a deliberate choice against a specific small-sample trap. Ordinary least squares with classical standard errors assumes the error variance is constant across observations, and there is no reason to believe that holds here: durations range from a two-month exercise to a decade of censoring, and the spread of the errors almost certainly widens with the fitted value. A classical standard error under such conditions would misstate the precision of the slope, usually understating it. The robust standard error relaxes the constant-variance assumption, delivering inference that does not lean on a homoskedasticity assumption the data would violate. This does not rescue the linear model from its deeper problem, which is that it treats four censored durations as if they were completed, but it does ensure that whatever the linear model reports, it reports with an honest accounting of error-variance heterogeneity. The two limitations are separate: robustness handles heteroskedasticity, and only the survival model handles censoring, which is why the survival model leads.</w:t>
      </w:r>
    </w:p>
    <w:p>
      <w:pPr>
        <w:pStyle w:val="BodyText"/>
        <w:spacing w:line="480" w:lineRule="auto"/>
        <w:ind w:firstLine="720"/>
      </w:pPr>
      <w:r>
        <w:t xml:space="preserve">A reader might ask why not use a parametric survival model that both handles censoring and yields an interpretable duration coefficient, combining the virtues of the two estimators. The answer is again the sample. A parametric survival model must commit to a distribution for the baseline, and with ten observations the choice of distribution would drive the result without the data being able to adjudicate it. The pairing of a semiparametric Cox model, which imposes no baseline shape, with a transparent linear model, whose limitation with censoring is well understood and openly stated, is more honest than a single parametric model whose apparent completeness would hide an untestable distributional assumption. The design prefers two estimators with legible, separable weaknesses over one estimator with a hidden one. Weaknesses named are weaknesses managed. Hidden ones are not.</w:t>
      </w:r>
    </w:p>
    <w:bookmarkEnd w:id="84"/>
    <w:bookmarkStart w:id="85" w:name="what-the-design-identifies"/>
    <w:p>
      <w:pPr>
        <w:pStyle w:val="Heading2"/>
        <w:spacing w:line="480" w:lineRule="auto"/>
      </w:pPr>
      <w:r>
        <w:t xml:space="preserve">What the design identifies</w:t>
      </w:r>
    </w:p>
    <w:p>
      <w:pPr>
        <w:pStyle w:val="FirstParagraph"/>
        <w:spacing w:line="480" w:lineRule="auto"/>
      </w:pPr>
      <w:r>
        <w:t xml:space="preserve">Identification in a small, curated panel must be argued modestly and precisely. The design does not claim to recover a structural causal parameter from a population. It claims to test whether a specific, theory-implied association is present in an auditable set of real filings, and to bound the most obvious threats to reading that association as consistent with the option mechanism.</w:t>
      </w:r>
    </w:p>
    <w:p>
      <w:pPr>
        <w:pStyle w:val="BodyText"/>
        <w:spacing w:line="480" w:lineRule="auto"/>
        <w:ind w:firstLine="720"/>
      </w:pPr>
      <w:r>
        <w:t xml:space="preserve">The central threat is reverse causality: could a filing’s later deployment decision be driving its measured uncertainty, rather than the other way around? The construction of the uncertainty index is designed to blunt this. The index is built from the peer filing environment the focal filing faced and from the documented contestation in the record, quantities that are properties of the environment and the docket rather than of the focal applicant’s eventual launch choice. The index does not incorporate the focal system’s own deployment outcome, so it cannot be mechanically inflated or deflated by whether that system flew. This does not eliminate the concern, since an applicant that anticipated slow deployment might have entered a crowded environment for strategic reasons, but it removes the most direct channel by which the outcome could contaminate the regressor.</w:t>
      </w:r>
    </w:p>
    <w:p>
      <w:pPr>
        <w:pStyle w:val="BodyText"/>
        <w:spacing w:line="480" w:lineRule="auto"/>
        <w:ind w:firstLine="720"/>
      </w:pPr>
      <w:r>
        <w:t xml:space="preserve">A second threat is scale confounding, addressed by the log-satellite control. Large systems deploy on different timelines than small ones, and if larger systems also happened to face different uncertainty, the raw association would conflate size with uncertainty. Conditioning on log proposed satellites separates the two, so that beta_1 is the uncertainty effect at fixed scale. A third and unresolvable-at-this-scale threat is the interpretation of the index itself. A crowded, lightly contested environment is uncertain, but it is also congested and competitive, and those forces can slow deployment through coordination friction rather than rational waiting</w:t>
      </w:r>
      <w:r>
        <w:t xml:space="preserve"> </w:t>
      </w:r>
      <w:hyperlink w:anchor="ref-8">
        <w:r>
          <w:rPr>
            <w:rStyle w:val="Hyperlink"/>
          </w:rPr>
          <w:t xml:space="preserve">[8]</w:t>
        </w:r>
      </w:hyperlink>
      <w:r>
        <w:t xml:space="preserve">. The design cannot fully separate deferment from congestion with ten rows. The honest reading, carried through the results and discussion chapters, is that a negative hazard coefficient is evidence consistent with deferment-option behavior, not a demonstration that deferment alone produces it.</w:t>
      </w:r>
    </w:p>
    <w:bookmarkEnd w:id="85"/>
    <w:bookmarkStart w:id="86" w:name="Xfcf3ed75d5dbfcc8de908db798581840e90b82d"/>
    <w:p>
      <w:pPr>
        <w:pStyle w:val="Heading2"/>
        <w:spacing w:line="480" w:lineRule="auto"/>
      </w:pPr>
      <w:r>
        <w:t xml:space="preserve">Why standard tools, and why so few covariates</w:t>
      </w:r>
    </w:p>
    <w:p>
      <w:pPr>
        <w:pStyle w:val="FirstParagraph"/>
        <w:spacing w:line="480" w:lineRule="auto"/>
      </w:pPr>
      <w:r>
        <w:t xml:space="preserve">A reader might ask why the specification is so lean: two covariates in the Cox model, one in the linear model. The answer is the sample. Ten observations, six of them events, cannot support a richly parameterized model without overfitting, and a fitted model that memorizes ten rows tells us nothing generalizable. The specification is kept at the smallest size that lets the theory be tested: the uncertainty index because it carries the prediction, and the scale control because scale is the most obvious confound. Fixed effects for applicant, regime, and cohort, which a population study would include and which the prospectus anticipates for the full design, are omitted here precisely because the panel is too small to estimate them, and estimating them would consume the degrees of freedom the coefficient of interest needs.</w:t>
      </w:r>
    </w:p>
    <w:p>
      <w:pPr>
        <w:pStyle w:val="BodyText"/>
        <w:spacing w:line="480" w:lineRule="auto"/>
        <w:ind w:firstLine="720"/>
      </w:pPr>
      <w:r>
        <w:t xml:space="preserve">This restraint is a feature. The claim being tested is a sign, and a sign can be recovered cleanly from a small model on clean data, provided the data are honest and the estimator is transparent. The methodology is chosen to make the test breakable and the result checkable. A skeptic with the public data file and a standard survival package can reproduce every number in the next two chapters, which is the standard a proof-of-method study should meet. The larger design, with its fixed effects and population sample, is the subject of the concluding chapter; what this chapter specifies is the estimator that the assembled evidence can actually bear.</w:t>
      </w:r>
    </w:p>
    <w:bookmarkEnd w:id="86"/>
    <w:bookmarkStart w:id="87" w:name="reading-the-diagnostics-honestly"/>
    <w:p>
      <w:pPr>
        <w:pStyle w:val="Heading2"/>
        <w:spacing w:line="480" w:lineRule="auto"/>
      </w:pPr>
      <w:r>
        <w:t xml:space="preserve">Reading the diagnostics honestly</w:t>
      </w:r>
    </w:p>
    <w:p>
      <w:pPr>
        <w:pStyle w:val="FirstParagraph"/>
        <w:spacing w:line="480" w:lineRule="auto"/>
      </w:pPr>
      <w:r>
        <w:t xml:space="preserve">A survival model on ten observations produces several diagnostic quantities, and it matters how each should be read given the sample. The likelihood-ratio test, which compares the fitted model against a null of no covariate effects, provides an overall sense of whether the covariates jointly carry information, but with six events it has little power, so a failure to reject the null of no effect would be uninformative rather than evidence for the null. The concordance index, which measures how well the model orders systems by their deployment risk, is more robust to small samples than a significance test, because it summarizes ordering rather than testing a hypothesis. A concordance meaningfully above one-half indicates the covariates order deployment risk better than chance, which is a modest but real signal even when the coefficient’s confidence interval is wide.</w:t>
      </w:r>
    </w:p>
    <w:p>
      <w:pPr>
        <w:pStyle w:val="BodyText"/>
        <w:spacing w:line="480" w:lineRule="auto"/>
        <w:ind w:firstLine="720"/>
      </w:pPr>
      <w:r>
        <w:t xml:space="preserve">Each individual coefficient’s standard error, and the p-value derived from it, must be read as the honest reflection of a small sample rather than as a verdict. With six events, the partial likelihood is estimated from six comparisons, and the resulting standard error is necessarily large. A point estimate that is sizable and correctly signed but not statistically significant is the expected and appropriate output of such a design, and it should be reported as exactly that: a directionally informative estimate with wide uncertainty, not a null result and not a confirmed effect. Reporting the point estimate, its sign, its magnitude, and its imprecision together, without collapsing them into a single significant-or-not binary, is the honest way to present a small-sample survival result.</w:t>
      </w:r>
    </w:p>
    <w:p>
      <w:pPr>
        <w:pStyle w:val="BodyText"/>
        <w:spacing w:line="480" w:lineRule="auto"/>
        <w:ind w:firstLine="720"/>
      </w:pPr>
      <w:r>
        <w:t xml:space="preserve">The duration model’s diagnostics require the opposite caution. Its R-squared and its p-value will tend to look strong precisely because the linear model treats censored durations as completed, and the long censored spells are both extreme and correlated with the regressor. A high R-squared on this model is not the reassuring signal it would be in a standard regression; it partly reflects the generous treatment of censoring that makes the survival model, not the linear one, the inferential authority. The methodology therefore prescribes reading the linear model’s strong fit as a communication aid and a sign check, while reading the survival model’s wider uncertainty as the truer measure of confidence. Prescribing in advance how each diagnostic should be weighted guards against the temptation, once the numbers are in hand, to lean on whichever specification looks strongest.</w:t>
      </w:r>
    </w:p>
    <w:p>
      <w:pPr>
        <w:pStyle w:val="BodyText"/>
        <w:spacing w:line="480" w:lineRule="auto"/>
        <w:ind w:firstLine="720"/>
      </w:pPr>
      <w:r>
        <w:t xml:space="preserve">These two estimators also differ in what they assume about the shape of the timing process, and reporting both hedges that assumption. The Cox model imposes proportional hazards but no baseline shape; the linear model imposes a constant marginal effect of the index on duration but no proportional-hazards structure. These are different assumptions, and a result that survives both is less likely to be an artifact of either. If the sign held under proportional hazards but reversed under the linear specification, that discrepancy would itself be information, flagging that the timing process violated one model’s assumptions materially. Agreement across the two, by contrast, is evidence that the sign is a robust feature of the data rather than a product of a particular functional form. This is the logic of reporting complementary estimators with different assumptions, and it is why the design pairs a semiparametric survival model with a simple linear one rather than relying on either alone.</w:t>
      </w:r>
    </w:p>
    <w:p>
      <w:pPr>
        <w:pStyle w:val="BodyText"/>
        <w:spacing w:line="480" w:lineRule="auto"/>
        <w:ind w:firstLine="720"/>
      </w:pPr>
      <w:r>
        <w:t xml:space="preserve">This pre-commitment to interpretation is itself part of the method. Deciding before estimation that the survival model leads on inference, that the linear model leads on interpretability, and that the diagnostics of each are to be read with sample-appropriate caution, removes the degree of freedom by which a small study could be talked into overclaiming. The estimators are standard, the reading rules are fixed in advance, and the result chapter simply applies them to the numbers the data return. That separation between specifying the method and observing the outcome is the discipline that keeps a small study honest, and it is deliberate throughout the design</w:t>
      </w:r>
      <w:r>
        <w:t xml:space="preserve"> </w:t>
      </w:r>
      <w:hyperlink w:anchor="ref-7">
        <w:r>
          <w:rPr>
            <w:rStyle w:val="Hyperlink"/>
          </w:rPr>
          <w:t xml:space="preserve">[7]</w:t>
        </w:r>
      </w:hyperlink>
      <w:r>
        <w:t xml:space="preserve">.</w:t>
      </w:r>
    </w:p>
    <w:bookmarkEnd w:id="87"/>
    <w:bookmarkEnd w:id="88"/>
    <w:bookmarkStart w:id="93" w:name="data-and-measurement"/>
    <w:p>
      <w:pPr>
        <w:pStyle w:val="Heading1"/>
        <w:spacing w:line="480" w:lineRule="auto"/>
      </w:pPr>
      <w:r>
        <w:t xml:space="preserve">Data and Measurement</w:t>
      </w:r>
    </w:p>
    <w:p>
      <w:pPr>
        <w:pStyle w:val="FirstParagraph"/>
        <w:spacing w:line="480" w:lineRule="auto"/>
      </w:pPr>
      <w:r>
        <w:t xml:space="preserve">The credibility of a proof-of-method study lives in its data file. If every observation traces to a citable public record, a skeptic can reconstruct the panel and re-estimate the model, and the inference stands or falls on evidence anyone can inspect. This chapter documents the panel completely: what a row is, where each number comes from, how the duration outcome and the uncertainty index are constructed, and what the sample size is. The panel is small on purpose. It is auditable rather than exhaustive, a proof-of-method file for dissertation inference rather than an asserted universe of all FCC satellite records.</w:t>
      </w:r>
    </w:p>
    <w:bookmarkStart w:id="89" w:name="the-unit-of-observation-and-the-sample"/>
    <w:p>
      <w:pPr>
        <w:pStyle w:val="Heading2"/>
        <w:spacing w:line="480" w:lineRule="auto"/>
      </w:pPr>
      <w:r>
        <w:t xml:space="preserve">The unit of observation and the sample</w:t>
      </w:r>
    </w:p>
    <w:p>
      <w:pPr>
        <w:pStyle w:val="FirstParagraph"/>
        <w:spacing w:line="480" w:lineRule="auto"/>
      </w:pPr>
      <w:r>
        <w:t xml:space="preserve">A row is a named FCC filing or authorization packet for a satellite system, observed through a public clock-start date, a first public deployment date when one exists, and a censor date of June 28, 2026, the session date for this build. The panel holds ten systems. Six deployed. Four did not, and are right-censored. That split between exercised and unexercised filings, drawn from a comparable set of processing environments, is the structural feature that lets the panel address the option question at all, because a study with no non-deployers could say nothing about the value of waiting. Each row is tied to a specific FCC order or filing-system record and to a public launch or catalog reconciliation, so the deployment status of every system can be checked against a cited source.</w:t>
      </w:r>
    </w:p>
    <w:p>
      <w:pPr>
        <w:pStyle w:val="BodyText"/>
        <w:spacing w:line="480" w:lineRule="auto"/>
        <w:ind w:firstLine="720"/>
      </w:pPr>
      <w:r>
        <w:t xml:space="preserve">The ten systems span the non-geostationary and quasi-non-geostationary landscape of the last decade. The deployed systems are OneWeb Gen1, tied to FCC order FCC-17-77 with first deployment on February 27, 2019</w:t>
      </w:r>
      <w:r>
        <w:t xml:space="preserve"> </w:t>
      </w:r>
      <w:hyperlink w:anchor="ref-11">
        <w:r>
          <w:rPr>
            <w:rStyle w:val="Hyperlink"/>
          </w:rPr>
          <w:t xml:space="preserve">[11]</w:t>
        </w:r>
      </w:hyperlink>
      <w:r>
        <w:t xml:space="preserve"> </w:t>
      </w:r>
      <w:hyperlink w:anchor="ref-21">
        <w:r>
          <w:rPr>
            <w:rStyle w:val="Hyperlink"/>
          </w:rPr>
          <w:t xml:space="preserve">[21]</w:t>
        </w:r>
      </w:hyperlink>
      <w:r>
        <w:t xml:space="preserve">; Telesat LEO Phase 1, tied to FCC-17-147 with first deployment on January 12, 2018</w:t>
      </w:r>
      <w:r>
        <w:t xml:space="preserve"> </w:t>
      </w:r>
      <w:hyperlink w:anchor="ref-12">
        <w:r>
          <w:rPr>
            <w:rStyle w:val="Hyperlink"/>
          </w:rPr>
          <w:t xml:space="preserve">[12]</w:t>
        </w:r>
      </w:hyperlink>
      <w:r>
        <w:t xml:space="preserve"> </w:t>
      </w:r>
      <w:hyperlink w:anchor="ref-23">
        <w:r>
          <w:rPr>
            <w:rStyle w:val="Hyperlink"/>
          </w:rPr>
          <w:t xml:space="preserve">[23]</w:t>
        </w:r>
      </w:hyperlink>
      <w:r>
        <w:t xml:space="preserve">; SpaceX Starlink Gen1, tied to FCC-18-38 with first operational deployment on May 24, 2019</w:t>
      </w:r>
      <w:r>
        <w:t xml:space="preserve"> </w:t>
      </w:r>
      <w:hyperlink w:anchor="ref-13">
        <w:r>
          <w:rPr>
            <w:rStyle w:val="Hyperlink"/>
          </w:rPr>
          <w:t xml:space="preserve">[13]</w:t>
        </w:r>
      </w:hyperlink>
      <w:r>
        <w:t xml:space="preserve"> </w:t>
      </w:r>
      <w:hyperlink w:anchor="ref-22">
        <w:r>
          <w:rPr>
            <w:rStyle w:val="Hyperlink"/>
          </w:rPr>
          <w:t xml:space="preserve">[22]</w:t>
        </w:r>
      </w:hyperlink>
      <w:r>
        <w:t xml:space="preserve">; Space Norway’s Arctic Satellite Broadband Mission, tied to FCC-17-146 with deployment on August 11, 2024</w:t>
      </w:r>
      <w:r>
        <w:t xml:space="preserve"> </w:t>
      </w:r>
      <w:hyperlink w:anchor="ref-14">
        <w:r>
          <w:rPr>
            <w:rStyle w:val="Hyperlink"/>
          </w:rPr>
          <w:t xml:space="preserve">[14]</w:t>
        </w:r>
      </w:hyperlink>
      <w:r>
        <w:t xml:space="preserve"> </w:t>
      </w:r>
      <w:hyperlink w:anchor="ref-24">
        <w:r>
          <w:rPr>
            <w:rStyle w:val="Hyperlink"/>
          </w:rPr>
          <w:t xml:space="preserve">[24]</w:t>
        </w:r>
      </w:hyperlink>
      <w:r>
        <w:t xml:space="preserve">; Amazon Kuiper, tied to FCC-20-102 with its protoflight launch on October 6, 2023</w:t>
      </w:r>
      <w:r>
        <w:t xml:space="preserve"> </w:t>
      </w:r>
      <w:hyperlink w:anchor="ref-15">
        <w:r>
          <w:rPr>
            <w:rStyle w:val="Hyperlink"/>
          </w:rPr>
          <w:t xml:space="preserve">[15]</w:t>
        </w:r>
      </w:hyperlink>
      <w:r>
        <w:t xml:space="preserve"> </w:t>
      </w:r>
      <w:hyperlink w:anchor="ref-20">
        <w:r>
          <w:rPr>
            <w:rStyle w:val="Hyperlink"/>
          </w:rPr>
          <w:t xml:space="preserve">[20]</w:t>
        </w:r>
      </w:hyperlink>
      <w:r>
        <w:t xml:space="preserve">; and the O3b add-on, tied to IBFS modification and amendment records with deployment on March 9, 2018</w:t>
      </w:r>
      <w:r>
        <w:t xml:space="preserve"> </w:t>
      </w:r>
      <w:hyperlink w:anchor="ref-25">
        <w:r>
          <w:rPr>
            <w:rStyle w:val="Hyperlink"/>
          </w:rPr>
          <w:t xml:space="preserve">[25]</w:t>
        </w:r>
      </w:hyperlink>
      <w:r>
        <w:t xml:space="preserve">. The censored systems are Boeing’s V-band non-geostationary system, tied to FCC-21-115 with no matching deployment through the censor date</w:t>
      </w:r>
      <w:r>
        <w:t xml:space="preserve"> </w:t>
      </w:r>
      <w:hyperlink w:anchor="ref-16">
        <w:r>
          <w:rPr>
            <w:rStyle w:val="Hyperlink"/>
          </w:rPr>
          <w:t xml:space="preserve">[16]</w:t>
        </w:r>
      </w:hyperlink>
      <w:r>
        <w:t xml:space="preserve">; and three systems from the 2016 non-geostationary processing round, LeoSat, Audacy, and Theia, each drawn from IBFS public filing records and each with no matching deployment in the public catalog through the censor date</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Its composition reflects a deliberate sampling logic rather than convenience. It draws heavily from the 2016 non-geostationary processing round because that round created a natural cohort: a set of filings entering the same environment at the same time, facing a common set of peers, and observed over a long enough window that their divergent outcomes are now visible. Within that cohort sit both systems that became major operating constellations, OneWeb, SpaceX, and Telesat among them, and systems that never flew, LeoSat, Audacy, and Theia. Including both the exercised and the abandoned filings from a shared environment is what lets the panel speak to the option question at all, because the mechanism is about why filings facing similar environments were exercised at different speeds. A sample of only deployed systems would be selected on the outcome and could say nothing about non-exercise; a sample of only abandoned systems would have no events for the survival model to fit. The panel is built to contain both, and to contain them from environments comparable enough that their divergence is informative.</w:t>
      </w:r>
    </w:p>
    <w:p>
      <w:pPr>
        <w:pStyle w:val="BodyText"/>
        <w:spacing w:line="480" w:lineRule="auto"/>
        <w:ind w:firstLine="720"/>
      </w:pPr>
      <w:r>
        <w:t xml:space="preserve">Systems entering after the 2016 round, Kuiper in 2020 and Boeing’s V-band system in 2021, extend the panel forward in time and add variation in the filing environment. Space Norway’s Arctic mission, a small two-satellite highly elliptical system rather than a large low-orbit constellation, adds variation in scale and regime that keeps the panel from being purely a story about mega-constellations. The O3b add-on, a medium-orbit modification, adds a filing that is an amendment to an existing system rather than an initial authorization. These deliberate inclusions spread the panel across regimes, scales, entry dates, and filing types, so that the uncertainty effect, if detected, is not an artifact of a single homogeneous slice of the record.</w:t>
      </w:r>
    </w:p>
    <w:bookmarkEnd w:id="89"/>
    <w:bookmarkStart w:id="90" w:name="constructing-the-duration-outcome"/>
    <w:p>
      <w:pPr>
        <w:pStyle w:val="Heading2"/>
        <w:spacing w:line="480" w:lineRule="auto"/>
      </w:pPr>
      <w:r>
        <w:t xml:space="preserve">Constructing the duration outcome</w:t>
      </w:r>
    </w:p>
    <w:p>
      <w:pPr>
        <w:pStyle w:val="FirstParagraph"/>
        <w:spacing w:line="480" w:lineRule="auto"/>
      </w:pPr>
      <w:r>
        <w:t xml:space="preserve">The outcome is duration in months, the time each filing spent at risk from its clock-start date to deployment or censoring. It is computed as elapsed days divided by 30.4375, the mean days per month, using the clock-start date and either the first-deployment date or the June 28, 2026 censor date</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The deployment indicator equals one when a system had a public first-deployment date before censoring and zero otherwise.</w:t>
      </w:r>
    </w:p>
    <w:p>
      <w:pPr>
        <w:pStyle w:val="BodyText"/>
        <w:spacing w:line="480" w:lineRule="auto"/>
        <w:ind w:firstLine="720"/>
      </w:pPr>
      <w:r>
        <w:t xml:space="preserve">Those durations span a wide range that is itself informative. Telesat LEO Phase 1 deployed fastest, at 2.3 months, exercising its filing almost immediately. SpaceX Starlink Gen1 took 13.8 months, the O3b add-on 15.7 months, OneWeb Gen1 20.2 months, Amazon Kuiper 38.2 months, and Space Norway’s Arctic mission 81.3 months, a system that waited nearly seven years before exercising. The four censored systems have long observed durations because their clocks have run without an event: Boeing’s V-band system 55.8 months and censored, and the three 2016-round systems LeoSat, Audacy, and Theia each 115.4 months and censored, having sat unexercised for nearly a decade. That spread, from a two-month exercise to a decade of holding, is the raw material the survival model reads.</w:t>
      </w:r>
    </w:p>
    <w:p>
      <w:pPr>
        <w:pStyle w:val="BodyText"/>
        <w:spacing w:line="480" w:lineRule="auto"/>
        <w:ind w:firstLine="720"/>
      </w:pPr>
      <w:r>
        <w:t xml:space="preserve">The event date for a deployed system is the first public launch that plausibly exercised the filing right, verified through the cited FCC order and a public launch or catalog record</w:t>
      </w:r>
      <w:r>
        <w:t xml:space="preserve"> </w:t>
      </w:r>
      <w:hyperlink w:anchor="ref-19">
        <w:r>
          <w:rPr>
            <w:rStyle w:val="Hyperlink"/>
          </w:rPr>
          <w:t xml:space="preserve">[19]</w:t>
        </w:r>
      </w:hyperlink>
      <w:r>
        <w:t xml:space="preserve">. For a censored system the event is zero and the observation is censored at the session date after a catalog reconciliation confirmed no matching deployment. This verification rule, requiring either a public deployment record or a documented catalog reconciliation showing none, is what lets a reader trust that a censored row is genuinely unexercised rather than merely unrecorded.</w:t>
      </w:r>
    </w:p>
    <w:p>
      <w:pPr>
        <w:pStyle w:val="BodyText"/>
        <w:spacing w:line="480" w:lineRule="auto"/>
        <w:ind w:firstLine="720"/>
      </w:pPr>
      <w:r>
        <w:t xml:space="preserve">Using first deployment rather than full deployment as the event deserves justification, because a constellation is not built in a day. A system like Starlink continued launching for years after its first operational deployment, and full deployment is a moving target that would be hard to date consistently. First deployment, the first launch that plausibly exercises the filing right, is the moment the option is first exercised, which is the theoretically correct event: option exercise is the act of committing the irreversible investment, and the first launch is when that commitment becomes visible. Using first deployment also keeps the deployed systems comparable, since every one of them has a well-defined first launch, whereas full-deployment dates would depend on arbitrary completeness thresholds. The choice is theory-driven, not a convenience, and it aligns the empirical event with the exercise event the model is meant to capture.</w:t>
      </w:r>
    </w:p>
    <w:p>
      <w:pPr>
        <w:pStyle w:val="BodyText"/>
        <w:spacing w:line="480" w:lineRule="auto"/>
        <w:ind w:firstLine="720"/>
      </w:pPr>
      <w:r>
        <w:t xml:space="preserve">Censoring at the session date, June 28, 2026, is the standard right-censoring device and its logic bears restating for the four undeployed systems. A censored observation is not a missing one; it is a system observed to have survived without the event up to the censoring point, which is genuine information. That LeoSat, Audacy, and Theia each held their filings unexercised for 115.4 months tells the model something specific and important: these high-uncertainty filings were held for nearly a decade without exercise, which is exactly the long-hold behavior the option mechanism predicts under high uncertainty. Dropping them, or treating their durations as completed spells, would either discard that information or corrupt it. The survival model uses each censored system for precisely as long as it was at risk, extracting the information the long hold contains without pretending to know when, if ever, deployment will come.</w:t>
      </w:r>
    </w:p>
    <w:bookmarkEnd w:id="90"/>
    <w:bookmarkStart w:id="91" w:name="constructing-the-uncertainty-index"/>
    <w:p>
      <w:pPr>
        <w:pStyle w:val="Heading2"/>
        <w:spacing w:line="480" w:lineRule="auto"/>
      </w:pPr>
      <w:r>
        <w:t xml:space="preserve">Constructing the uncertainty index</w:t>
      </w:r>
    </w:p>
    <w:p>
      <w:pPr>
        <w:pStyle w:val="FirstParagraph"/>
        <w:spacing w:line="480" w:lineRule="auto"/>
      </w:pPr>
      <w:r>
        <w:t xml:space="preserve">The central regressor is the coordination uncertainty index, and its construction is deliberately transparent so that a reader can recompute it from the coded fields. Two hand-coded counts feed it. The pre-filing peer count is the number of peer applications in the relevant public FCC filing environment, coded from the 2016 non-geostationary processing round or the relevant public processing record. The documented contestation count is the number of named public contestation or coordination entries recorded in the source packet, hand-coded from FCC order discussion, docket material, and public notes. The index is the peer count divided by one plus the contestation count.</w:t>
      </w:r>
    </w:p>
    <w:p>
      <w:pPr>
        <w:pStyle w:val="BodyText"/>
        <w:spacing w:line="480" w:lineRule="auto"/>
        <w:ind w:firstLine="720"/>
      </w:pPr>
      <w:r>
        <w:t xml:space="preserve">This transformation encodes the theory of the measure. A crowded filing environment with many peers but little resolving contestation receives a high uncertainty score, because many rivals are present while the record has not yet clarified who prevails or which coordination conditions bind. A heavily contested record receives a lower score, because objections, coordination conditions, and Commission findings make the right more concrete and reduce what remains unresolved. Dividing by one plus contestation, rather than by contestation alone, keeps the index defined when a record shows no documented contestation.</w:t>
      </w:r>
    </w:p>
    <w:p>
      <w:pPr>
        <w:pStyle w:val="BodyText"/>
        <w:spacing w:line="480" w:lineRule="auto"/>
        <w:ind w:firstLine="720"/>
      </w:pPr>
      <w:r>
        <w:t xml:space="preserve">Realized values illustrate the range. The three 2016-round censored systems, LeoSat, Audacy, and Theia, each carry a peer count of 11 against a single documented contestation entry, yielding an index of 5.5, the highest in the panel and consistent with a crowded, lightly resolved environment. Space Norway sits at 3.667, the O3b add-on at 2.75, Telesat at 1.833, OneWeb at 1.571, SpaceX at 1.375, and Kuiper at 0.778. Boeing’s V-band system, coded with no peer applications in its relevant environment, carries an index of zero. The pattern to notice, before any model is fit, is that the highest-uncertainty systems are the long-censored ones and the lowest-uncertainty systems tend to be the quicker deployers, which is the raw shape the estimators will formalize.</w:t>
      </w:r>
    </w:p>
    <w:p>
      <w:pPr>
        <w:pStyle w:val="BodyText"/>
        <w:spacing w:line="480" w:lineRule="auto"/>
        <w:ind w:firstLine="720"/>
      </w:pPr>
      <w:r>
        <w:t xml:space="preserve">An alternative scale-weighted proxy, an option-backlog index equal to the peer count times the log of proposed satellites divided by one plus contestation, is coded in the file for completeness but is not the primary regressor. The primary specifications use the coordination uncertainty index because it isolates the environment’s informational noise from system scale, which enters the survival model separately through the log-satellite control. Keeping scale out of the primary index and letting it enter the model as its own control is what allows the survival estimate to separate the uncertainty effect from the size effect; folding scale into the index, as the option-backlog proxy does, would blur that separation and is why that proxy is retained only as an auxiliary field.</w:t>
      </w:r>
    </w:p>
    <w:p>
      <w:pPr>
        <w:pStyle w:val="BodyText"/>
        <w:spacing w:line="480" w:lineRule="auto"/>
        <w:ind w:firstLine="720"/>
      </w:pPr>
      <w:r>
        <w:t xml:space="preserve">The transparency of the index construction is itself a design choice with a purpose. A reader who doubts the coding can recompute the index from the two published counts, the peer count and the contestation count, using nothing more than the stated formula. This makes the central regressor auditable, which a black-box uncertainty measure, however sophisticated, would not be. The cost of that transparency is that the proxy is coarse: it reduces a complex informational environment to a ratio of two hand-coded integers. The dissertation accepts that cost deliberately, on the view that a coarse but reconstructable measure serves a proof-of-method study better than a refined but opaque one. A population study, with more observations to absorb measurement error, could afford a richer index; a ten-row study whose credibility rests on auditability cannot.</w:t>
      </w:r>
    </w:p>
    <w:p>
      <w:pPr>
        <w:pStyle w:val="BodyText"/>
        <w:spacing w:line="480" w:lineRule="auto"/>
        <w:ind w:firstLine="720"/>
      </w:pPr>
      <w:r>
        <w:t xml:space="preserve">A word on how the two hand-coded counts were assigned protects against the suspicion that they were reverse-engineered to fit the result. The peer count for the 2016-round systems is the count of applications in that processing round, a fixed feature of the round that does not depend on any single system’s outcome. The contestation count is read from the discussion in each FCC order and the associated docket material, recording named coordination or objection entries, and it too is a property of the record rather than of the eventual deployment. Neither count uses the deployment outcome as an input, which is the property that keeps the index from being mechanically correlated with the outcome by construction. The coding is coarse and hand-done, and a population study would automate and refine it, but it is not circular, and its inputs are stated so that a skeptic can check the assignment against the cited sources.</w:t>
      </w:r>
    </w:p>
    <w:bookmarkEnd w:id="91"/>
    <w:bookmarkStart w:id="92" w:name="X7949941f474c0212513521a60e42c315d47b196"/>
    <w:p>
      <w:pPr>
        <w:pStyle w:val="Heading2"/>
        <w:spacing w:line="480" w:lineRule="auto"/>
      </w:pPr>
      <w:r>
        <w:t xml:space="preserve">Sources, provenance, and what the panel does not claim</w:t>
      </w:r>
    </w:p>
    <w:p>
      <w:pPr>
        <w:pStyle w:val="FirstParagraph"/>
        <w:spacing w:line="480" w:lineRule="auto"/>
      </w:pPr>
      <w:r>
        <w:t xml:space="preserve">Every row carries a source trail: the FCC order, the IBFS or ICFS filing record, the public launch record, and the catalog reconciliation note. The filing-system records supply identifiers, applicant names, filing and clock dates, service and regime classification, and proposed constellation size</w:t>
      </w:r>
      <w:r>
        <w:t xml:space="preserve"> </w:t>
      </w:r>
      <w:hyperlink w:anchor="ref-17">
        <w:r>
          <w:rPr>
            <w:rStyle w:val="Hyperlink"/>
          </w:rPr>
          <w:t xml:space="preserve">[17]</w:t>
        </w:r>
      </w:hyperlink>
      <w:r>
        <w:t xml:space="preserve">. The FCC orders validate authorization status and system scale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launch and catalog records verify deployment events and, for censored systems, confirm their absence</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w:t>
      </w:r>
      <w:hyperlink w:anchor="ref-24">
        <w:r>
          <w:rPr>
            <w:rStyle w:val="Hyperlink"/>
          </w:rPr>
          <w:t xml:space="preserve">[24]</w:t>
        </w:r>
      </w:hyperlink>
      <w:r>
        <w:t xml:space="preserve"> </w:t>
      </w:r>
      <w:hyperlink w:anchor="ref-25">
        <w:r>
          <w:rPr>
            <w:rStyle w:val="Hyperlink"/>
          </w:rPr>
          <w:t xml:space="preserve">[25]</w:t>
        </w:r>
      </w:hyperlink>
      <w:r>
        <w:t xml:space="preserve">. International filing context, where relevant, draws on the International Telecommunication Union’s satellite-network filing materials, whose relevance to studying orbital filings is established in prior work</w:t>
      </w:r>
      <w:r>
        <w:t xml:space="preserve"> </w:t>
      </w:r>
      <w:hyperlink w:anchor="ref-5">
        <w:r>
          <w:rPr>
            <w:rStyle w:val="Hyperlink"/>
          </w:rPr>
          <w:t xml:space="preserve">[5]</w:t>
        </w:r>
      </w:hyperlink>
      <w:r>
        <w:t xml:space="preserve"> </w:t>
      </w:r>
      <w:hyperlink w:anchor="ref-18">
        <w:r>
          <w:rPr>
            <w:rStyle w:val="Hyperlink"/>
          </w:rPr>
          <w:t xml:space="preserve">[18]</w:t>
        </w:r>
      </w:hyperlink>
      <w:r>
        <w:t xml:space="preserve">.</w:t>
      </w:r>
    </w:p>
    <w:p>
      <w:pPr>
        <w:pStyle w:val="BodyText"/>
        <w:spacing w:line="480" w:lineRule="auto"/>
        <w:ind w:firstLine="720"/>
      </w:pPr>
      <w:r>
        <w:t xml:space="preserve">Reconciliation between FCC authorization and public catalog is the step that gives the deployment outcomes their credibility, and it works differently for events and censored observations. For a deployed system, reconciliation confirms an event: the authorized system is matched to a public launch record and, where possible, to a catalog entry, so that the first-deployment date rests on two independent sources rather than one</w:t>
      </w:r>
      <w:r>
        <w:t xml:space="preserve"> </w:t>
      </w:r>
      <w:hyperlink w:anchor="ref-19">
        <w:r>
          <w:rPr>
            <w:rStyle w:val="Hyperlink"/>
          </w:rPr>
          <w:t xml:space="preserve">[19]</w:t>
        </w:r>
      </w:hyperlink>
      <w:r>
        <w:t xml:space="preserve">. OneWeb’s first six satellites, Telesat’s Phase 1 satellite, Starlink’s first operational batch, Kuiper’s protoflight, Space Norway’s Arctic mission, and the O3b add-on each carry a public launch record that the FCC authorization can be matched against</w:t>
      </w:r>
      <w:r>
        <w:t xml:space="preserve"> </w:t>
      </w:r>
      <w:hyperlink w:anchor="ref-20">
        <w:r>
          <w:rPr>
            <w:rStyle w:val="Hyperlink"/>
          </w:rPr>
          <w:t xml:space="preserve">[20]</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w:t>
      </w:r>
      <w:hyperlink w:anchor="ref-24">
        <w:r>
          <w:rPr>
            <w:rStyle w:val="Hyperlink"/>
          </w:rPr>
          <w:t xml:space="preserve">[24]</w:t>
        </w:r>
      </w:hyperlink>
      <w:r>
        <w:t xml:space="preserve"> </w:t>
      </w:r>
      <w:hyperlink w:anchor="ref-25">
        <w:r>
          <w:rPr>
            <w:rStyle w:val="Hyperlink"/>
          </w:rPr>
          <w:t xml:space="preserve">[25]</w:t>
        </w:r>
      </w:hyperlink>
      <w:r>
        <w:t xml:space="preserve">. For a censored system, reconciliation confirms an absence: a search of the public catalog through the censor date returns no deployment matching the authorized system, which is what licenses coding the observation as censored rather than as an unrecorded event. Confirming an absence is inherently weaker than confirming a presence, which is why the censored rows carry a residual measurement risk the discussion chapter treats directly.</w:t>
      </w:r>
    </w:p>
    <w:p>
      <w:pPr>
        <w:pStyle w:val="BodyText"/>
        <w:spacing w:line="480" w:lineRule="auto"/>
        <w:ind w:firstLine="720"/>
      </w:pPr>
      <w:r>
        <w:t xml:space="preserve">Two limits must be stated as clearly as the sources. The panel is not a scraped population estimate, and it does not claim that FCC records alone exhaust the satellite licensing chain; international coordination, national licensing in other administrations, and private financing all shape deployment and are only partially visible in these records. And the uncertainty index is a transparent proxy, not an FCC-created variable; it is a coded construct meant to be legible and auditable, not an official measure the Commission endorses. A final measurement note concerns the units and the arithmetic, since transparency about construction extends to the smallest details. Duration is computed as elapsed days divided by 30.4375, the average days per month over a four-year cycle, so that a system deploying exactly one year after its clock date records twelve months rather than an integer-rounded approximation. The log of proposed satellites is the natural log, so that a system proposing a single satellite would enter at zero and the two-satellite Space Norway system enters near 0.69, while the 4,425-satellite Starlink filing enters near 8.4. These are ordinary transformations, stated here so that a reader recomputing the file arrives at the same numbers the estimators used. Nothing in the construction is proprietary or approximate beyond the stated formulas, and that is the property that makes the whole panel reconstructable from the cited sources.</w:t>
      </w:r>
    </w:p>
    <w:p>
      <w:pPr>
        <w:pStyle w:val="BodyText"/>
        <w:spacing w:line="480" w:lineRule="auto"/>
        <w:ind w:firstLine="720"/>
      </w:pPr>
      <w:r>
        <w:t xml:space="preserve">With those limits acknowledged, the file is complete: ten rows, each sourced, each recomputable, ready for the estimators the previous chapter specified and the results the next chapter reports. The panel is small enough to print in full and honest enough to invite the scrutiny that printing it in full permits, which is the standard of transparency a proof-of-method study should hold itself to, and the standard against which the results that follow ask to be judged</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w:t>
      </w:r>
    </w:p>
    <w:bookmarkEnd w:id="92"/>
    <w:bookmarkEnd w:id="93"/>
    <w:bookmarkStart w:id="100" w:name="results"/>
    <w:p>
      <w:pPr>
        <w:pStyle w:val="Heading1"/>
        <w:spacing w:line="480" w:lineRule="auto"/>
      </w:pPr>
      <w:r>
        <w:t xml:space="preserve">Results</w:t>
      </w:r>
    </w:p>
    <w:p>
      <w:pPr>
        <w:pStyle w:val="FirstParagraph"/>
        <w:spacing w:line="480" w:lineRule="auto"/>
      </w:pPr>
      <w:r>
        <w:t xml:space="preserve">This chapter reports what the estimators returned, exactly as estimated, and interprets the signs and magnitudes against the theory. Two models are reported: the Cox proportional-hazards survival model and the robust linear duration model. Both run on the same ten-row public panel, six events and four right-censored observations. The numbers are stated to the precision at which they were computed, and every coefficient, standard error, test statistic, and sample count comes directly from the estimator output on the sourced data file. Nothing is rounded away or reshaped to fit the prediction.</w:t>
      </w:r>
    </w:p>
    <w:p>
      <w:pPr>
        <w:pStyle w:val="BodyText"/>
        <w:spacing w:line="480" w:lineRule="auto"/>
        <w:ind w:firstLine="720"/>
      </w:pPr>
      <w:r>
        <w:t xml:space="preserve">The numbers are what they are. They are reported plainly.</w:t>
      </w:r>
    </w:p>
    <w:bookmarkStart w:id="94" w:name="the-survival-model"/>
    <w:p>
      <w:pPr>
        <w:pStyle w:val="Heading2"/>
        <w:spacing w:line="480" w:lineRule="auto"/>
      </w:pPr>
      <w:r>
        <w:t xml:space="preserve">The survival model</w:t>
      </w:r>
    </w:p>
    <w:p>
      <w:pPr>
        <w:pStyle w:val="FirstParagraph"/>
        <w:spacing w:line="480" w:lineRule="auto"/>
      </w:pPr>
      <w:r>
        <w:t xml:space="preserve">The Cox model estimates the deployment hazard as a function of the coordination uncertainty index and log proposed satellites, over the full panel of ten filings with six deployment events and four censored observations. The coefficient of interest is the one on the coordination uncertainty index, and it is negative.</w:t>
      </w:r>
    </w:p>
    <w:p>
      <w:pPr>
        <w:pStyle w:val="BodyText"/>
        <w:spacing w:line="480" w:lineRule="auto"/>
        <w:ind w:firstLine="720"/>
      </w:pPr>
      <w:r>
        <w:t xml:space="preserve">Estimated on the panel, the coefficient on the coordination uncertainty index is beta_1 = -0.4183, with a standard error of 0.2818, a z-statistic of -1.4845, and a p-value of 0.1377. The corresponding hazard ratio, exp(beta_1), is 0.6581. The scale control, log proposed satellites, enters with a coefficient of 0.0064, a standard error of 0.1962, a z-statistic of 0.0328, and a p-value of 0.9738, for a hazard ratio of 1.0065. The model’s likelihood-ratio test against the null of no covariate effects returns a p-value of 0.1806, and the concordance index is 0.684.</w:t>
      </w:r>
    </w:p>
    <w:p>
      <w:pPr>
        <w:pStyle w:val="BodyText"/>
        <w:spacing w:line="480" w:lineRule="auto"/>
        <w:ind w:firstLine="720"/>
      </w:pPr>
      <w:r>
        <w:t xml:space="preserve">Read the coefficient through the theory. A hazard ratio of 0.6581 on the uncertainty index means that a one-unit increase in the index multiplies the instantaneous deployment hazard by roughly two-thirds, holding scale constant. Filings facing noisier coordination environments are exercised more slowly, which is the sign the option mechanism predicts: higher uncertainty raises the value of waiting and lowers the probability of committing in any given month</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direction of the estimate is squarely consistent with the alternative hypothesis, beta_1 less than zero.</w:t>
      </w:r>
    </w:p>
    <w:p>
      <w:pPr>
        <w:pStyle w:val="BodyText"/>
        <w:spacing w:line="480" w:lineRule="auto"/>
        <w:ind w:firstLine="720"/>
      </w:pPr>
      <w:r>
        <w:t xml:space="preserve">That magnitude is economically substantial. A two-thirds hazard multiplier per index unit is not a trivial nudge; across the panel’s index range, which runs from zero to 5.5, the implied gap in deployment propensity between the least and most uncertain environments is large. Against that, the coefficient is not statistically distinguishable from zero at conventional thresholds, with a p-value of 0.1377 and a likelihood-ratio p-value of 0.1806. That combination, a sizable and correctly signed point estimate with wide uncertainty, is exactly what a ten-row panel with six events should be expected to produce. The sample is too small to deliver tight confidence intervals, and the honest statement is that the survival evidence points in the predicted direction without clearing a significance bar the data were never large enough to clear.</w:t>
      </w:r>
    </w:p>
    <w:p>
      <w:pPr>
        <w:pStyle w:val="BodyText"/>
        <w:spacing w:line="480" w:lineRule="auto"/>
        <w:ind w:firstLine="720"/>
      </w:pPr>
      <w:r>
        <w:t xml:space="preserve">The scale control behaves as a well-mannered nuisance parameter should. Its coefficient of 0.0064 is essentially zero, its hazard ratio of 1.0065 is essentially one, and its p-value of 0.9738 indicates no detectable independent effect of system size on the deployment hazard once uncertainty is accounted for. This is reassuring rather than disappointing. It means the uncertainty coefficient is not secretly a scale effect in disguise; the two-satellite systems and the multi-thousand-satellite systems do not, in this panel, differ in deployment hazard along any dimension that scale alone explains, so the negative uncertainty coefficient stands on its own. The concordance of 0.684 indicates the model orders deployment risk better than chance, consistent with the covariates carrying real, if noisy, information about timing.</w:t>
      </w:r>
    </w:p>
    <w:p>
      <w:pPr>
        <w:pStyle w:val="BodyText"/>
        <w:spacing w:line="480" w:lineRule="auto"/>
        <w:ind w:firstLine="720"/>
      </w:pPr>
      <w:r>
        <w:t xml:space="preserve">Reading the estimate against individual systems makes the coefficient concrete. The three 2016-round systems that carry the panel’s maximum uncertainty index of 5.5, LeoSat, Audacy, and Theia, are exactly the systems that never deployed and sit censored at 115.4 months, the longest holds in the file. At the other end, Kuiper carries the lowest index at 0.778 and deployed, and SpaceX and OneWeb, at 1.375 and 1.571, deployed within 13.8 and 20.2 months. The model is fitting a real gradient in the data, not conjuring one: the highest-uncertainty filings are the ones that were held unexercised the longest, and the lower-uncertainty filings tend to be the quicker deployers. The hazard ratio of 0.6581 is the model’s compression of that gradient into a single multiplicative effect, and the fact that the gradient is visible by eye in the raw rows is why a small sample can still speak to the sign even as it cannot pin down the magnitude tightly.</w:t>
      </w:r>
    </w:p>
    <w:p>
      <w:pPr>
        <w:pStyle w:val="BodyText"/>
        <w:spacing w:line="480" w:lineRule="auto"/>
        <w:ind w:firstLine="720"/>
      </w:pPr>
      <w:r>
        <w:t xml:space="preserve">One system complicates the clean story and is worth naming. Space Norway’s Arctic mission carries a middling-to-high index of 3.667 yet is coded as deployed, at 81.3 months, a very long hold that nonetheless ended in an event rather than censoring. It behaves like a filing whose option was held for years and then exercised, which is entirely consistent with the deferment reading, but its status as an event rather than a censored observation pulls against the crude pattern that high uncertainty means non-deployment. The model accommodates it correctly: an event after a long hold contributes to the hazard estimate at each risk month it survived, and its long, eventually-exercised spell is part of why the hazard coefficient is sizable but imprecise rather than extreme. The row is a useful reminder that the option reading does not require high-uncertainty filings to never deploy, only to deploy more slowly, which is what Space Norway did.</w:t>
      </w:r>
    </w:p>
    <w:bookmarkEnd w:id="94"/>
    <w:bookmarkStart w:id="95" w:name="the-robust-duration-model"/>
    <w:p>
      <w:pPr>
        <w:pStyle w:val="Heading2"/>
        <w:spacing w:line="480" w:lineRule="auto"/>
      </w:pPr>
      <w:r>
        <w:t xml:space="preserve">The robust duration model</w:t>
      </w:r>
    </w:p>
    <w:p>
      <w:pPr>
        <w:pStyle w:val="FirstParagraph"/>
        <w:spacing w:line="480" w:lineRule="auto"/>
      </w:pPr>
      <w:r>
        <w:t xml:space="preserve">The linear duration model regresses observed duration in months on the coordination uncertainty index, with a heteroskedasticity-consistent standard error, over the same ten observations. The coefficient on the uncertainty index is positive and, unlike the hazard coefficient, statistically strong.</w:t>
      </w:r>
    </w:p>
    <w:p>
      <w:pPr>
        <w:pStyle w:val="BodyText"/>
        <w:spacing w:line="480" w:lineRule="auto"/>
        <w:ind w:firstLine="720"/>
      </w:pPr>
      <w:r>
        <w:t xml:space="preserve">For the linear model, the slope on the coordination uncertainty index is beta_1 = 17.8702, with a robust standard error of 4.6169, a t-statistic of 3.8706, and a p-value of 0.0001. The intercept is 6.4661, with a robust standard error of 20.4299, a t-statistic of 0.3165, and a p-value of 0.7516. The model explains a substantial share of the variation in duration, with an R-squared of 0.6523 and an adjusted R-squared of 0.6089, over N = 10.</w:t>
      </w:r>
    </w:p>
    <w:p>
      <w:pPr>
        <w:pStyle w:val="BodyText"/>
        <w:spacing w:line="480" w:lineRule="auto"/>
        <w:ind w:firstLine="720"/>
      </w:pPr>
      <w:r>
        <w:t xml:space="preserve">This slope has a direct reading. Each one-unit increase in the coordination uncertainty index is associated with about 17.87 additional months of observed duration from the FCC clock date to deployment or censoring. Across the index range from zero to 5.5, that slope implies a difference of nearly a hundred months of expected duration between the least and most uncertain environments, a large association in a domain where deployment timelines are measured in years. The positive sign is the duration face of the same mechanism the survival model captured: if uncertainty lowers the hazard, it must also lengthen observed durations, and it does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Significance here is worth reading carefully rather than celebrating. The robust p-value of 0.0001 is small, and the R-squared of 0.6523 is high, but both are computed on ten observations, four of them censored durations that the linear model treats as if they were completed spells. That is a known limitation of applying least squares to censored duration data, and it is precisely why the survival model, which handles censoring correctly, is the primary specification and the linear model is a robustness and communication layer rather than the lead result. The linear model confirms the sign and gives an interpretable months-per-unit slope; it does not, by itself, license a stronger inferential claim than the Cox model, whose wider uncertainty is the more honest reflection of what ten rows can support.</w:t>
      </w:r>
    </w:p>
    <w:p>
      <w:pPr>
        <w:pStyle w:val="BodyText"/>
        <w:spacing w:line="480" w:lineRule="auto"/>
        <w:ind w:firstLine="720"/>
      </w:pPr>
      <w:r>
        <w:t xml:space="preserve">An intercept deserves a brief reading because it clarifies what the slope is doing. At an uncertainty index of zero, the model predicts a duration of 6.4661 months, and that intercept is statistically indistinguishable from zero, with a p-value of 0.7516 and a robust standard error of 20.4299 that dwarfs the point estimate. The imprecision of the intercept is unsurprising: only one system, Boeing’s V-band, sits at an index of zero, so the model has almost no information about the duration at that end of the range and extrapolates with a very wide band. What the model does have information about is the slope, the rate at which duration rises with uncertainty across the populated middle of the index range, and it is the slope, not the intercept, that carries the mechanism. A reader should take the 17.87-month slope as the model’s estimate of how duration moves with uncertainty and treat the intercept as a poorly identified anchor, which is the correct way to read a linear fit whose regressor is sparse at one extreme.</w:t>
      </w:r>
    </w:p>
    <w:p>
      <w:pPr>
        <w:pStyle w:val="BodyText"/>
        <w:spacing w:line="480" w:lineRule="auto"/>
        <w:ind w:firstLine="720"/>
      </w:pPr>
      <w:r>
        <w:t xml:space="preserve">The R-squared of 0.6523 says the uncertainty index alone accounts for roughly two-thirds of the variation in observed duration across the ten systems, which is a strikingly high share for a single-regressor model. That figure should be read with the censoring caveat firmly attached, since the four censored durations are long by construction and correlate with high index values, which inflates the apparent fit. Still, even discounting for that, the association is not subtle. The systems sort themselves along the index closely enough that a single line captures most of the spread, and that legibility is part of what makes the duration model a useful communication layer: a policy reader can see the association in a scatter of ten labeled points without needing to trust a hazard ratio. The survival model remains the inferential authority; the duration model is the picture that makes the survival model’s sign intuitive.</w:t>
      </w:r>
    </w:p>
    <w:bookmarkEnd w:id="95"/>
    <w:bookmarkStart w:id="96" w:name="the-two-models-together"/>
    <w:p>
      <w:pPr>
        <w:pStyle w:val="Heading2"/>
        <w:spacing w:line="480" w:lineRule="auto"/>
      </w:pPr>
      <w:r>
        <w:t xml:space="preserve">The two models together</w:t>
      </w:r>
    </w:p>
    <w:p>
      <w:pPr>
        <w:pStyle w:val="FirstParagraph"/>
        <w:spacing w:line="480" w:lineRule="auto"/>
      </w:pPr>
      <w:r>
        <w:t xml:space="preserve">The two estimators agree on the mechanism and disagree only on how confidently a small sample lets one speak. The Cox hazard coefficient is negative, beta_1 = -0.4183 with a hazard ratio of 0.6581, saying uncertainty lowers the deployment hazard. The OLS duration coefficient is positive, beta_1 = 17.8702, saying uncertainty lengthens observed duration. These are two descriptions of one pattern: filings that faced more unresolved coordination uncertainty were exercised more slowly, holding scale constant, which is the pattern option theory predicts. The agreement across a censoring-aware estimator and a censoring-naive one, using different functional forms, is more persuasive than either estimate alone, because a spurious artifact of one specification would be unlikely to survive the other unchanged.</w:t>
      </w:r>
    </w:p>
    <w:p>
      <w:pPr>
        <w:pStyle w:val="BodyText"/>
        <w:spacing w:line="480" w:lineRule="auto"/>
        <w:ind w:firstLine="720"/>
      </w:pPr>
      <w:r>
        <w:t xml:space="preserve">The disagreement in significance is not a contradiction; it is a lesson about sample size and censoring. The survival model, correctly discounting the censored spells as incomplete, reports the point estimate with wide uncertainty and a p-value that does not clear conventional thresholds. The linear model, treating those same censored spells as complete, reports a tighter, more significant slope that partly reflects that generous treatment of censoring. The truthful synthesis takes the sign from both and the confidence from neither in excess: the direction of the effect is consistent and correctly signed across specifications, while the strength of the statistical evidence is bounded by a panel of ten.</w:t>
      </w:r>
    </w:p>
    <w:bookmarkEnd w:id="96"/>
    <w:bookmarkStart w:id="97" w:name="Xe457ad3df8c0cbb67edcba5c156dcff978a8f67"/>
    <w:p>
      <w:pPr>
        <w:pStyle w:val="Heading2"/>
        <w:spacing w:line="480" w:lineRule="auto"/>
      </w:pPr>
      <w:r>
        <w:t xml:space="preserve">The scale control and what its silence means</w:t>
      </w:r>
    </w:p>
    <w:p>
      <w:pPr>
        <w:pStyle w:val="FirstParagraph"/>
        <w:spacing w:line="480" w:lineRule="auto"/>
      </w:pPr>
      <w:r>
        <w:t xml:space="preserve">That near-zero coefficient on log proposed satellites, 0.0064 with a p-value of 0.9738, is worth one further reading because its silence is substantively informative rather than merely tidy. The panel contains systems ranging from two satellites to more than four thousand, an enormous spread in the physical scale of the undertaking, and yet that spread does not, on its own, predict the deployment hazard once uncertainty is accounted for. A naive expectation might be that larger systems deploy more slowly, since they have more to build, and the near-zero coefficient shows that expectation does not hold in this panel. What matters for deployment timing here is the environment the filing faced, captured by the uncertainty index, not the raw count of satellites proposed. That result is convenient because it means the uncertainty coefficient is not a disguised scale effect, but it is also interesting in its own right: it suggests that in this small panel the informational environment dominates sheer system size as a correlate of exercise timing, which is precisely what an option account would lead one to expect.</w:t>
      </w:r>
    </w:p>
    <w:bookmarkEnd w:id="97"/>
    <w:bookmarkStart w:id="98" w:name="what-the-results-establish"/>
    <w:p>
      <w:pPr>
        <w:pStyle w:val="Heading2"/>
        <w:spacing w:line="480" w:lineRule="auto"/>
      </w:pPr>
      <w:r>
        <w:t xml:space="preserve">What the results establish</w:t>
      </w:r>
    </w:p>
    <w:p>
      <w:pPr>
        <w:pStyle w:val="FirstParagraph"/>
        <w:spacing w:line="480" w:lineRule="auto"/>
      </w:pPr>
      <w:r>
        <w:t xml:space="preserve">Stated precisely, the panel returns a negative, economically meaningful, but statistically imprecise survival coefficient on coordination uncertainty, hazard ratio 0.6581, p-value 0.1377, and a positive, interpretable duration slope of 17.87 months per index unit, robust p-value 0.0001, both over ten filings with six deployment events. The signs align with the option-to-defer prediction on both faces of the mechanism. The magnitudes are large enough to matter for policy if they hold at scale. The significance is what a proof-of-method panel can deliver and no more, strong on the censoring-naive slope and suggestive on the censoring-aware hazard.</w:t>
      </w:r>
    </w:p>
    <w:bookmarkEnd w:id="98"/>
    <w:bookmarkStart w:id="99" w:name="Xbdcc274baf1b02d9fd14097a3b1d3661b5e126c"/>
    <w:p>
      <w:pPr>
        <w:pStyle w:val="Heading2"/>
        <w:spacing w:line="480" w:lineRule="auto"/>
      </w:pPr>
      <w:r>
        <w:t xml:space="preserve">Translating the coefficients into timelines</w:t>
      </w:r>
    </w:p>
    <w:p>
      <w:pPr>
        <w:pStyle w:val="FirstParagraph"/>
        <w:spacing w:line="480" w:lineRule="auto"/>
      </w:pPr>
      <w:r>
        <w:t xml:space="preserve">To make the estimates tangible, it helps to walk them across the panel’s own index range, from the minimum of zero at Boeing’s V-band system to the maximum of 5.5 at the three 2016-round censored systems. The survival coefficient of -0.4183 per index unit compounds across that range: moving from an index of zero to 5.5 multiplies the deployment hazard by exp(-0.4183 times 5.5), a large reduction, meaning a system in the most uncertain environment faces a small fraction of the deployment hazard of a system in the least uncertain one, holding scale constant. That is the survival model’s statement of how strongly uncertainty suppresses the propensity to exercise, and its magnitude is consistent with the raw observation that the maximum-index systems are the ones that never deployed.</w:t>
      </w:r>
    </w:p>
    <w:p>
      <w:pPr>
        <w:pStyle w:val="BodyText"/>
        <w:spacing w:line="480" w:lineRule="auto"/>
        <w:ind w:firstLine="720"/>
      </w:pPr>
      <w:r>
        <w:t xml:space="preserve">In months, the duration model tells the same story. Its slope of 17.8702 months per index unit, applied across the same range from zero to 5.5, implies a predicted duration difference of roughly 98 months, more than eight years, between the least and most uncertain environments. That figure should be read with the censoring caveat attached, since the long durations at the high end are censored spells the linear model treats as complete, which inflates the slope. Even so, the order of magnitude aligns with the panel: the quickest deployers sit at low index values and exercise within a year or two, while the high-index systems have durations measured in the better part of a decade. The two models therefore agree not only on the sign but roughly on the scale of the phenomenon, a suppressed hazard in one and an extended timeline in the other describing the same underlying pattern.</w:t>
      </w:r>
    </w:p>
    <w:p>
      <w:pPr>
        <w:pStyle w:val="BodyText"/>
        <w:spacing w:line="480" w:lineRule="auto"/>
        <w:ind w:firstLine="720"/>
      </w:pPr>
      <w:r>
        <w:t xml:space="preserve">Both magnitudes carry the same warning. They are computed across the full observed index range on a panel of ten, and the extremes of that range are sparsely populated: one system at index zero and three at index 5.5. Extrapolating the coefficients to the endpoints leans heavily on those few points, so the range-spanning figures should be read as illustrative of the estimated relationship’s scale rather than as precise predictions. The reliable content of the estimates is the sign and the approximate slope through the populated middle of the range, not the exact duration predicted at an index the panel barely observes. The sign is solid. The endpoints are not. Stating the range-spanning implications while flagging their reliance on sparse extremes is the honest way to convey magnitude from a small sample.</w:t>
      </w:r>
    </w:p>
    <w:p>
      <w:pPr>
        <w:pStyle w:val="BodyText"/>
        <w:spacing w:line="480" w:lineRule="auto"/>
        <w:ind w:firstLine="720"/>
      </w:pPr>
      <w:r>
        <w:t xml:space="preserve">The results therefore support the dissertation’s claim in the register the design intended: they show that the option mechanism is detectable in real, sourced filing data using standard, transparent estimators, and that the detected pattern points the way theory says it should. They do not, and are not asked to, settle the population question. The discussion chapter takes up what these numbers mean, and, with equal care, the threats that a ten-row public panel cannot rule out.</w:t>
      </w:r>
    </w:p>
    <w:bookmarkEnd w:id="99"/>
    <w:bookmarkEnd w:id="100"/>
    <w:bookmarkStart w:id="106" w:name="discussion-and-limitations"/>
    <w:p>
      <w:pPr>
        <w:pStyle w:val="Heading1"/>
        <w:spacing w:line="480" w:lineRule="auto"/>
      </w:pPr>
      <w:r>
        <w:t xml:space="preserve">Discussion and Limitations</w:t>
      </w:r>
    </w:p>
    <w:p>
      <w:pPr>
        <w:pStyle w:val="FirstParagraph"/>
        <w:spacing w:line="480" w:lineRule="auto"/>
      </w:pPr>
      <w:r>
        <w:t xml:space="preserve">The results point where the theory said they would. Both estimators agree that filings facing more unresolved coordination uncertainty were exercised more slowly, the survival model through a hazard ratio of 0.6581 and the duration model through a slope of about 17.87 months per index unit. This chapter asks what that pattern means, and then turns, at length and without softening, to what a ten-row public panel cannot show. A proof-of-method study earns trust less by the strength of its finding than by the honesty of its account of the finding’s limits.</w:t>
      </w:r>
    </w:p>
    <w:p>
      <w:pPr>
        <w:pStyle w:val="BodyText"/>
        <w:spacing w:line="480" w:lineRule="auto"/>
        <w:ind w:firstLine="720"/>
      </w:pPr>
      <w:r>
        <w:t xml:space="preserve">So this chapter cuts both ways. It reads the result, then it reads against it.</w:t>
      </w:r>
    </w:p>
    <w:bookmarkStart w:id="101" w:name="what-the-findings-mean"/>
    <w:p>
      <w:pPr>
        <w:pStyle w:val="Heading2"/>
        <w:spacing w:line="480" w:lineRule="auto"/>
      </w:pPr>
      <w:r>
        <w:t xml:space="preserve">What the findings mean</w:t>
      </w:r>
    </w:p>
    <w:p>
      <w:pPr>
        <w:pStyle w:val="FirstParagraph"/>
        <w:spacing w:line="480" w:lineRule="auto"/>
      </w:pPr>
      <w:r>
        <w:t xml:space="preserve">One core interpretive claim is that an FCC satellite filing can carry deferment value, and that the panel behaves as if it does. Read against the alternative hypotheses laid out earlier, the evidence favors the reading in which a filing is not merely a queue ticket. If filings only reserved priority, uncertainty would have no reason to move the deployment hazard, and the coefficient would sit at zero. Instead the hazard coefficient is negative and economically sizable, and the duration slope is positive and large, both consistent with operators holding filings open and waiting when the coordination environment is noisy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pattern converts a policy intuition into a measured association: some filing rights are exercised quickly, while others preserve a waiting position whose value rises with uncertainty.</w:t>
      </w:r>
    </w:p>
    <w:p>
      <w:pPr>
        <w:pStyle w:val="BodyText"/>
        <w:spacing w:line="480" w:lineRule="auto"/>
        <w:ind w:firstLine="720"/>
      </w:pPr>
      <w:r>
        <w:t xml:space="preserve">This panel’s own spread illustrates the mechanism concretely. Telesat exercised its filing in barely two months, in a relatively resolved environment; the three 2016-round systems carrying the panel’s highest uncertainty index have sat unexercised for nearly a decade. Space Norway waited more than six years before its Arctic mission flew. These are not obviously failures in every case. A filing held open while demand, financing, and coordination outcomes resolve is behaving exactly as an option to defer should, and treating every such hold as administrative failure would misread the economics</w:t>
      </w:r>
      <w:r>
        <w:t xml:space="preserve"> </w:t>
      </w:r>
      <w:hyperlink w:anchor="ref-7">
        <w:r>
          <w:rPr>
            <w:rStyle w:val="Hyperlink"/>
          </w:rPr>
          <w:t xml:space="preserve">[7]</w:t>
        </w:r>
      </w:hyperlink>
      <w:r>
        <w:t xml:space="preserve">. The finding gives regulators a way to ask not only whether a filing deployed, but how much strategic waiting the filing environment embedded.</w:t>
      </w:r>
    </w:p>
    <w:p>
      <w:pPr>
        <w:pStyle w:val="BodyText"/>
        <w:spacing w:line="480" w:lineRule="auto"/>
        <w:ind w:firstLine="720"/>
      </w:pPr>
      <w:r>
        <w:t xml:space="preserve">The distinction matters for how non-deployment is judged. Under a pure-screening view, an application that never flies is a lapse to be enforced against. Under the option view the evidence supports, non-deployment can be a rational exercise of flexibility, and the governance question shifts from whether to punish non-deployment to whether the framework creates too much low-cost option value for applicants whose plans are not yet credible. That is a subtler and more useful question, and the panel’s behavior is what makes it askable.</w:t>
      </w:r>
    </w:p>
    <w:p>
      <w:pPr>
        <w:pStyle w:val="BodyText"/>
        <w:spacing w:line="480" w:lineRule="auto"/>
        <w:ind w:firstLine="720"/>
      </w:pPr>
      <w:r>
        <w:t xml:space="preserve">This finding also speaks to a debate about how orbital and spectrum scarcity should be priced. If a filing is an option, then the fees, bonds, and milestone risk that attach to holding it are the price of that option, and setting that price is a policy lever with real consequences</w:t>
      </w:r>
      <w:r>
        <w:t xml:space="preserve"> </w:t>
      </w:r>
      <w:hyperlink w:anchor="ref-1">
        <w:r>
          <w:rPr>
            <w:rStyle w:val="Hyperlink"/>
          </w:rPr>
          <w:t xml:space="preserve">[1]</w:t>
        </w:r>
      </w:hyperlink>
      <w:r>
        <w:t xml:space="preserve">. A price set too low invites over-filing, since holding a cheap option that might pay off costs little and preserves a position in a capacity-constrained shell</w:t>
      </w:r>
      <w:r>
        <w:t xml:space="preserve"> </w:t>
      </w:r>
      <w:hyperlink w:anchor="ref-6">
        <w:r>
          <w:rPr>
            <w:rStyle w:val="Hyperlink"/>
          </w:rPr>
          <w:t xml:space="preserve">[6]</w:t>
        </w:r>
      </w:hyperlink>
      <w:r>
        <w:t xml:space="preserve">. A price set too high destroys the flexibility that legitimate staged projects need, since a project that genuinely must wait for demand and financing to resolve cannot afford to hold its position</w:t>
      </w:r>
      <w:r>
        <w:t xml:space="preserve"> </w:t>
      </w:r>
      <w:hyperlink w:anchor="ref-7">
        <w:r>
          <w:rPr>
            <w:rStyle w:val="Hyperlink"/>
          </w:rPr>
          <w:t xml:space="preserve">[7]</w:t>
        </w:r>
      </w:hyperlink>
      <w:r>
        <w:t xml:space="preserve">. The evidence here does not tell a regulator where to set the price, because it does not value the option in dollars. What it does is establish that the option is real enough to be detected in behavior, which is the premise any pricing reform must assume before it can proceed. A regulator persuaded that filings are inert queue tickets would see no reason to price the option at all; the finding removes that complacency.</w:t>
      </w:r>
    </w:p>
    <w:p>
      <w:pPr>
        <w:pStyle w:val="BodyText"/>
        <w:spacing w:line="480" w:lineRule="auto"/>
        <w:ind w:firstLine="720"/>
      </w:pPr>
      <w:r>
        <w:t xml:space="preserve">There is a further implication for how the orbital commons is governed as a whole. The traffic-management and capacity literatures warn that the environment fills faster than it can be coordinated, and that reserved-but-unbuilt systems consume coordination attention and capacity</w:t>
      </w:r>
      <w:r>
        <w:t xml:space="preserve"> </w:t>
      </w:r>
      <w:hyperlink w:anchor="ref-6">
        <w:r>
          <w:rPr>
            <w:rStyle w:val="Hyperlink"/>
          </w:rPr>
          <w:t xml:space="preserve">[6]</w:t>
        </w:r>
      </w:hyperlink>
      <w:r>
        <w:t xml:space="preserve"> </w:t>
      </w:r>
      <w:hyperlink w:anchor="ref-8">
        <w:r>
          <w:rPr>
            <w:rStyle w:val="Hyperlink"/>
          </w:rPr>
          <w:t xml:space="preserve">[8]</w:t>
        </w:r>
      </w:hyperlink>
      <w:r>
        <w:t xml:space="preserve">. If filings carry option value, then some fraction of the reserved-but-unbuilt population is being held rationally, waiting for uncertainty to resolve, while another fraction is being warehoused with no credible plan. Governance that cannot tell these apart must either tolerate warehousing or destroy legitimate options. The measurement approach demonstrated here, imperfect and small as it is, points toward a governance that could distinguish them, using observed holding behavior against the filing environment to triage which long holds deserve scrutiny. That is the practical horizon the finding opens, even though this study only takes the first step toward it. The step is small. The direction is clear.</w:t>
      </w:r>
    </w:p>
    <w:bookmarkEnd w:id="101"/>
    <w:bookmarkStart w:id="102" w:name="threats-to-validity"/>
    <w:p>
      <w:pPr>
        <w:pStyle w:val="Heading2"/>
        <w:spacing w:line="480" w:lineRule="auto"/>
      </w:pPr>
      <w:r>
        <w:t xml:space="preserve">Threats to validity</w:t>
      </w:r>
    </w:p>
    <w:p>
      <w:pPr>
        <w:pStyle w:val="FirstParagraph"/>
        <w:spacing w:line="480" w:lineRule="auto"/>
      </w:pPr>
      <w:r>
        <w:t xml:space="preserve">These findings are consistent with the option mechanism. They do not prove it, and several threats stand between the measured association and a clean causal reading. Each is stated here plainly, because the credibility of the whole exercise depends on not overselling ten rows.</w:t>
      </w:r>
    </w:p>
    <w:p>
      <w:pPr>
        <w:pStyle w:val="BodyText"/>
        <w:spacing w:line="480" w:lineRule="auto"/>
        <w:ind w:firstLine="720"/>
      </w:pPr>
      <w:r>
        <w:t xml:space="preserve">The first threat is interpretation of the index. The coordination uncertainty index is high when a filing environment is crowded with peers and low in resolved contestation. That condition is genuinely uncertain, but it is also congested and competitive, and congestion can slow deployment through coordination friction rather than through rational waiting</w:t>
      </w:r>
      <w:r>
        <w:t xml:space="preserve"> </w:t>
      </w:r>
      <w:hyperlink w:anchor="ref-8">
        <w:r>
          <w:rPr>
            <w:rStyle w:val="Hyperlink"/>
          </w:rPr>
          <w:t xml:space="preserve">[8]</w:t>
        </w:r>
      </w:hyperlink>
      <w:r>
        <w:t xml:space="preserve">. A crowded environment forces more inter-system coordination, more interference analysis, and more regulatory back-and-forth, all of which lengthen deployment independent of any option value. The design cannot separate deferment from congestion with this sample. The honest reading, held throughout, is that a negative hazard coefficient is evidence consistent with deferment-option behavior, not a demonstration that deferment alone produces the delay.</w:t>
      </w:r>
    </w:p>
    <w:p>
      <w:pPr>
        <w:pStyle w:val="BodyText"/>
        <w:spacing w:line="480" w:lineRule="auto"/>
        <w:ind w:firstLine="720"/>
      </w:pPr>
      <w:r>
        <w:t xml:space="preserve">The second threat is sample size and censoring, and it is the binding one. Ten observations, six of them events, cannot deliver tight inference. The survival model’s p-value of 0.1377 reflects that directly: the point estimate is sizable and correctly signed, but the confidence interval is wide, and a handful of additional observations could move the estimate substantially in either direction. The duration model’s tighter p-value of 0.0001 is partly an artifact of treating four censored spells as if they were completed, which the linear model does and the survival model does not. Neither estimate should be read as a population result. They are proof that the method detects the predicted pattern in real data, not proof that the pattern holds across all FCC filings.</w:t>
      </w:r>
    </w:p>
    <w:p>
      <w:pPr>
        <w:pStyle w:val="BodyText"/>
        <w:spacing w:line="480" w:lineRule="auto"/>
        <w:ind w:firstLine="720"/>
      </w:pPr>
      <w:r>
        <w:t xml:space="preserve">The third threat is selection into filing. Firms choose whether and when to file, and an applicant that anticipated a slow, uncertain path might have entered a crowded environment deliberately, so that the correlation between uncertainty and slow deployment partly reflects who chose to file where. The full design anticipated in the prospectus addresses this with applicant and cohort fixed effects, which absorb persistent applicant capability and common timing shocks. This panel is too small to carry those fixed effects, so the selection concern is bounded only by the construction of the index from environmental rather than focal-applicant quantities, not eliminated.</w:t>
      </w:r>
    </w:p>
    <w:p>
      <w:pPr>
        <w:pStyle w:val="BodyText"/>
        <w:spacing w:line="480" w:lineRule="auto"/>
        <w:ind w:firstLine="720"/>
      </w:pPr>
      <w:r>
        <w:t xml:space="preserve">The fourth threat is measurement error in deployment timing. Some systems deploy partially, rename satellites, or operate through affiliated entities, and matching an authorized system to a public launch is not always unambiguous. The panel requires either a public deployment record or a documented catalog reconciliation, which reduces but does not remove this error</w:t>
      </w:r>
      <w:r>
        <w:t xml:space="preserve"> </w:t>
      </w:r>
      <w:hyperlink w:anchor="ref-19">
        <w:r>
          <w:rPr>
            <w:rStyle w:val="Hyperlink"/>
          </w:rPr>
          <w:t xml:space="preserve">[19]</w:t>
        </w:r>
      </w:hyperlink>
      <w:r>
        <w:t xml:space="preserve">. A misdated event or a missed partial deployment would inject noise into the outcome, and with ten rows even one such error would matter.</w:t>
      </w:r>
    </w:p>
    <w:p>
      <w:pPr>
        <w:pStyle w:val="BodyText"/>
        <w:spacing w:line="480" w:lineRule="auto"/>
        <w:ind w:firstLine="720"/>
      </w:pPr>
      <w:r>
        <w:t xml:space="preserve">The fifth threat is coverage. The panel is not a population sample, and FCC records do not exhaust the satellite licensing chain. International coordination through the International Telecommunication Union, national licensing in other administrations, and private financing all shape deployment and are only partially visible in these records</w:t>
      </w:r>
      <w:r>
        <w:t xml:space="preserve"> </w:t>
      </w:r>
      <w:hyperlink w:anchor="ref-5">
        <w:r>
          <w:rPr>
            <w:rStyle w:val="Hyperlink"/>
          </w:rPr>
          <w:t xml:space="preserve">[5]</w:t>
        </w:r>
      </w:hyperlink>
      <w:r>
        <w:t xml:space="preserve"> </w:t>
      </w:r>
      <w:hyperlink w:anchor="ref-18">
        <w:r>
          <w:rPr>
            <w:rStyle w:val="Hyperlink"/>
          </w:rPr>
          <w:t xml:space="preserve">[18]</w:t>
        </w:r>
      </w:hyperlink>
      <w:r>
        <w:t xml:space="preserve">. A system delayed by an international coordination dispute invisible in the FCC docket would be misattributed, and the panel cannot see such delays cleanly.</w:t>
      </w:r>
    </w:p>
    <w:p>
      <w:pPr>
        <w:pStyle w:val="BodyText"/>
        <w:spacing w:line="480" w:lineRule="auto"/>
        <w:ind w:firstLine="720"/>
      </w:pPr>
      <w:r>
        <w:t xml:space="preserve">A sixth threat, subtler than the others, concerns the endogeneity of contestation to the very deployment intent the study wants to measure. The uncertainty index falls when documented contestation rises, on the logic that objections and Commission findings resolve uncertainty. But contestation is not exogenous. Rivals may contest most vigorously precisely the filings they believe are serious threats, meaning credible builders attract contestation, which lowers their index, which then correlates with faster deployment for reasons of credibility rather than resolved uncertainty. If that channel operates, part of the measured association between low uncertainty and fast deployment reflects builder credibility drawing contestation, not contestation resolving uncertainty. The index construction cannot rule this out, and it is a reason to read the coefficient as consistent with several mechanisms rather than as clean evidence for one. A population study with richer contestation timing could begin to separate these, but this panel cannot.</w:t>
      </w:r>
    </w:p>
    <w:p>
      <w:pPr>
        <w:pStyle w:val="BodyText"/>
        <w:spacing w:line="480" w:lineRule="auto"/>
        <w:ind w:firstLine="720"/>
      </w:pPr>
      <w:r>
        <w:t xml:space="preserve">These threats do not cancel the finding, and it is worth being precise about why. The signs are correct on two estimators, the gradient is visible in the raw rows, and the scale control does not absorb the effect. That is real evidence for an association. What the threats establish is the boundary of the claim: the association is consistent with the option mechanism and with several confounds, it is measured with the imprecision a small sample forces, and it is drawn from a curated rather than representative set of systems. A finding can be genuine and bounded at once, and the correct response to a real-but-bounded finding is neither to dismiss it nor to overclaim it, but to state its reach exactly and to design the study that would extend it.</w:t>
      </w:r>
    </w:p>
    <w:bookmarkEnd w:id="102"/>
    <w:bookmarkStart w:id="103" w:name="what-the-data-cannot-show"/>
    <w:p>
      <w:pPr>
        <w:pStyle w:val="Heading2"/>
        <w:spacing w:line="480" w:lineRule="auto"/>
      </w:pPr>
      <w:r>
        <w:t xml:space="preserve">What the data cannot show</w:t>
      </w:r>
    </w:p>
    <w:p>
      <w:pPr>
        <w:pStyle w:val="FirstParagraph"/>
        <w:spacing w:line="480" w:lineRule="auto"/>
      </w:pPr>
      <w:r>
        <w:t xml:space="preserve">Beyond the specific threats, three things lie outside the reach of this evidence entirely, and stating them guards against overreading. The study cannot deliver a structural valuation of the filing option. It estimates an association between a proxy for uncertainty and deployment timing; it does not price the option, and the coefficient is not a dollar value of flexibility. Anyone wanting the monetary worth of a warehoused filing will not find it here.</w:t>
      </w:r>
    </w:p>
    <w:p>
      <w:pPr>
        <w:pStyle w:val="BodyText"/>
        <w:spacing w:line="480" w:lineRule="auto"/>
        <w:ind w:firstLine="720"/>
      </w:pPr>
      <w:r>
        <w:t xml:space="preserve">The study cannot generalize from ten curated rows to the full FCC filing population. The panel was assembled to be auditable, not representative, and its systems skew toward the large, well-documented non-geostationary constellations of the last decade. Smaller filings, geostationary filings, and abandoned applications that left thin public trails are underrepresented, and the association measured here could differ in a population that included them. The concluding chapter treats the population test as the natural next step precisely because this study cannot stand in for it.</w:t>
      </w:r>
    </w:p>
    <w:p>
      <w:pPr>
        <w:pStyle w:val="BodyText"/>
        <w:spacing w:line="480" w:lineRule="auto"/>
        <w:ind w:firstLine="720"/>
      </w:pPr>
      <w:r>
        <w:t xml:space="preserve">The study cannot adjudicate intent. A filing held open for years might reflect a rational option being priced correctly, a stalled project failing slowly, or a strategic reservation meant to block rivals. The data show the holding; they do not reveal why. The option reading is consistent with the pattern, but so, for some rows, are less benign stories, and separating them would require information about applicant plans and financing that the public record does not contain.</w:t>
      </w:r>
    </w:p>
    <w:bookmarkEnd w:id="103"/>
    <w:bookmarkStart w:id="104" w:name="what-would-change-the-conclusion"/>
    <w:p>
      <w:pPr>
        <w:pStyle w:val="Heading2"/>
        <w:spacing w:line="480" w:lineRule="auto"/>
      </w:pPr>
      <w:r>
        <w:t xml:space="preserve">What would change the conclusion</w:t>
      </w:r>
    </w:p>
    <w:p>
      <w:pPr>
        <w:pStyle w:val="FirstParagraph"/>
        <w:spacing w:line="480" w:lineRule="auto"/>
      </w:pPr>
      <w:r>
        <w:t xml:space="preserve">A disciplined study should be able to say what evidence would overturn its reading, and here the answer is concrete. The option interpretation would weaken sharply if a population study, with applicant fixed effects in place, found that the negative hazard coefficient vanished once persistent applicant capability was controlled. That would suggest the panel’s association reflected capability sorting, credible builders filing in calmer environments, rather than option-holding under uncertainty. The panel cannot run that test, so the possibility stands open, and a candid reading treats the current finding as provisional against exactly that check.</w:t>
      </w:r>
    </w:p>
    <w:p>
      <w:pPr>
        <w:pStyle w:val="BodyText"/>
        <w:spacing w:line="480" w:lineRule="auto"/>
        <w:ind w:firstLine="720"/>
      </w:pPr>
      <w:r>
        <w:t xml:space="preserve">This interpretation would also weaken if a richer measure of the environment separated congestion from uncertainty and found that congestion carried the effect. If a filing’s deployment slowed because a crowded environment imposed coordination friction, not because its holder was rationally waiting, then the sign would survive but the option reading would not</w:t>
      </w:r>
      <w:r>
        <w:t xml:space="preserve"> </w:t>
      </w:r>
      <w:hyperlink w:anchor="ref-8">
        <w:r>
          <w:rPr>
            <w:rStyle w:val="Hyperlink"/>
          </w:rPr>
          <w:t xml:space="preserve">[8]</w:t>
        </w:r>
      </w:hyperlink>
      <w:r>
        <w:t xml:space="preserve">. A measure that distinguished coordination burden from informational uncertainty, which the current index cannot, would adjudicate this, and its verdict could go either way. The finding is consistent with the option reading; it is not immune to a better-measured rival.</w:t>
      </w:r>
    </w:p>
    <w:p>
      <w:pPr>
        <w:pStyle w:val="BodyText"/>
        <w:spacing w:line="480" w:lineRule="auto"/>
        <w:ind w:firstLine="720"/>
      </w:pPr>
      <w:r>
        <w:t xml:space="preserve">Conversely, the option reading would strengthen under several extensions. A larger sample that tightened the hazard coefficient’s confidence interval around a similar point estimate would move the finding from suggestive to established. Pairing the filing record with financing and corporate data, so that rational deferment could be distinguished from speculation and blocking, would let a confirmation isolate the option mechanism rather than merely being consistent with it. And finding the same sign across regulatory regimes with different milestone rules, so that the effect tracked how cheaply each regime let filings be held, would tie the pattern more tightly to the option mechanism, since option value should vary with the cost and expiry the rules impose</w:t>
      </w:r>
      <w:r>
        <w:t xml:space="preserve"> </w:t>
      </w:r>
      <w:hyperlink w:anchor="ref-1">
        <w:r>
          <w:rPr>
            <w:rStyle w:val="Hyperlink"/>
          </w:rPr>
          <w:t xml:space="preserve">[1]</w:t>
        </w:r>
      </w:hyperlink>
      <w:r>
        <w:t xml:space="preserve">. Naming both the evidence that would overturn the reading and the evidence that would fortify it is what keeps the conclusion falsifiable rather than merely asserted.</w:t>
      </w:r>
    </w:p>
    <w:bookmarkEnd w:id="104"/>
    <w:bookmarkStart w:id="105" w:name="reading-the-evidence-responsibly"/>
    <w:p>
      <w:pPr>
        <w:pStyle w:val="Heading2"/>
        <w:spacing w:line="480" w:lineRule="auto"/>
      </w:pPr>
      <w:r>
        <w:t xml:space="preserve">Reading the evidence responsibly</w:t>
      </w:r>
    </w:p>
    <w:p>
      <w:pPr>
        <w:pStyle w:val="FirstParagraph"/>
        <w:spacing w:line="480" w:lineRule="auto"/>
      </w:pPr>
      <w:r>
        <w:t xml:space="preserve">One more limit deserves explicit statement because it is easy to forget amid the coefficients. The study observes exercise timing, not the deliberation behind it, and the option account is a claim about why operators time their commitments as they do. The data are silent on the operators’ actual reasoning. An operator that held a filing for years may have been pricing an option, may have been unable to raise financing, may have been waiting on a launch slot, or may have simply lost interest. All four produce the same observed long hold, and the panel cannot see which occurred inside any given firm. The option reading is the economically coherent account most consistent with the aggregate pattern, but it is an inference about behavior from timing, not a window into decisions. Holding that epistemic modesty in view keeps the finding from being mistaken for a demonstration of intent it cannot provide.</w:t>
      </w:r>
    </w:p>
    <w:p>
      <w:pPr>
        <w:pStyle w:val="BodyText"/>
        <w:spacing w:line="480" w:lineRule="auto"/>
        <w:ind w:firstLine="720"/>
      </w:pPr>
      <w:r>
        <w:t xml:space="preserve">Put together, the discussion supports a bounded and defensible claim. In an auditable panel of real FCC filings, higher coordination uncertainty is associated with slower deployment on two independent estimators, a pattern consistent with the filing operating as a deferment option, with an economically meaningful hazard ratio and duration slope and with statistical strength appropriate to a small sample. The claim is worth making because it is checkable and because it reframes non-deployment as potentially rational rather than automatically failed. The claim is worth bounding because congestion, selection, measurement error, coverage, and sheer sample size all stand between the association and a causal, population-level verdict. Holding both the finding and its limits in view is not a hedge. It is the correct posture for a study whose purpose was to prove a method sound and a mechanism detectable, and to hand the population question, honestly scoped, to the work that should come next.</w:t>
      </w:r>
    </w:p>
    <w:p>
      <w:pPr>
        <w:pStyle w:val="BodyText"/>
        <w:spacing w:line="480" w:lineRule="auto"/>
        <w:ind w:firstLine="720"/>
      </w:pPr>
      <w:r>
        <w:t xml:space="preserve">That value becomes clearer when this posture is set against the alternative. A study that reported the negative hazard coefficient and the significant duration slope without the catalog of threats would read as stronger and would be worth less, because a policy reader acting on it would be acting on evidence whose fragility had been hidden. A regulator who tightened milestone rules on the strength of an unqualified finding, only to learn later that the association reflected congestion or capability sorting rather than option-holding, would have been misled by the very confidence the qualifications remove</w:t>
      </w:r>
      <w:r>
        <w:t xml:space="preserve"> </w:t>
      </w:r>
      <w:hyperlink w:anchor="ref-8">
        <w:r>
          <w:rPr>
            <w:rStyle w:val="Hyperlink"/>
          </w:rPr>
          <w:t xml:space="preserve">[8]</w:t>
        </w:r>
      </w:hyperlink>
      <w:r>
        <w:t xml:space="preserve">. The threats chapter is therefore not a ritual disclaimer appended to a finished result; it is part of the finding, the part that tells a decision-maker how much weight the coefficient can bear. A number offered without its limits is a number that invites misuse, and the discipline of reporting both is what makes the evidence safe to build on. That is the standard this dissertation holds itself to, and it is the standard on which its modest, bounded, reconstructable claim finally rests.</w:t>
      </w:r>
    </w:p>
    <w:bookmarkEnd w:id="105"/>
    <w:bookmarkEnd w:id="106"/>
    <w:bookmarkStart w:id="144"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test one falsifiable idea: that an FCC spectrum and orbital filing behaves economically as a deferment option, not merely as an administrative prerequisite for deployment. The test was built to be breakable and checkable, run on an auditable public panel with standard estimators, and reported exactly.</w:t>
      </w:r>
    </w:p>
    <w:p>
      <w:pPr>
        <w:pStyle w:val="BodyText"/>
        <w:spacing w:line="480" w:lineRule="auto"/>
        <w:ind w:firstLine="720"/>
      </w:pPr>
      <w:r>
        <w:t xml:space="preserve">One question. One sign. One panel a skeptic can rebuild. This closing chapter states what was found, what it contributes, why it matters for governance and program decisions, and where the work should go next.</w:t>
      </w:r>
    </w:p>
    <w:bookmarkStart w:id="107" w:name="the-contribution"/>
    <w:p>
      <w:pPr>
        <w:pStyle w:val="Heading2"/>
        <w:spacing w:line="480" w:lineRule="auto"/>
      </w:pPr>
      <w:r>
        <w:t xml:space="preserve">The contribution</w:t>
      </w:r>
    </w:p>
    <w:p>
      <w:pPr>
        <w:pStyle w:val="FirstParagraph"/>
        <w:spacing w:line="480" w:lineRule="auto"/>
      </w:pPr>
      <w:r>
        <w:t xml:space="preserve">The specific contribution is a filing-level test of the option prediction, joined for the first time to the administrative record that reserves the right to deploy. Prior work established the scarce, contested, congested environment of orbital and spectrum access and characterized the filing population descriptively</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Prior work established that irreversible, delayable investment under uncertainty carries option value whose exercise slows as uncertainty rises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Prior work carried option reasoning into satellite systems engineering, but stopped at the deployment architecture rather than the legal filing</w:t>
      </w:r>
      <w:r>
        <w:t xml:space="preserve"> </w:t>
      </w:r>
      <w:hyperlink w:anchor="ref-7">
        <w:r>
          <w:rPr>
            <w:rStyle w:val="Hyperlink"/>
          </w:rPr>
          <w:t xml:space="preserve">[7]</w:t>
        </w:r>
      </w:hyperlink>
      <w:r>
        <w:t xml:space="preserve">. This study moved the option logic one step upstream, to the filing itself, and asked whether higher pre-deployment coordination uncertainty predicts slower exercise. That join is the contribution.</w:t>
      </w:r>
    </w:p>
    <w:p>
      <w:pPr>
        <w:pStyle w:val="BodyText"/>
        <w:spacing w:line="480" w:lineRule="auto"/>
        <w:ind w:firstLine="720"/>
      </w:pPr>
      <w:r>
        <w:t xml:space="preserve">The answer, in the panel assembled, is that it does. The survival model returned a negative hazard coefficient on the coordination uncertainty index, a hazard ratio of 0.6581, meaning a one-unit rise in uncertainty multiplies the deployment hazard by about two-thirds, holding scale constant. The robust duration model returned a positive slope of about 17.87 months per index unit. Both signs match the option-to-defer prediction on the two faces of the mechanism, a lower hazard and a longer duration, and they agree across a censoring-aware and a censoring-naive estimator. The magnitudes are economically meaningful; the statistical strength is what ten rows and six events can bear, strong on the duration slope and suggestive on the hazard. The claim earned is precise: the option mechanism is detectable in real, sourced filing data using transparent methods, and the detected pattern points where theory says it should.</w:t>
      </w:r>
    </w:p>
    <w:p>
      <w:pPr>
        <w:pStyle w:val="BodyText"/>
        <w:spacing w:line="480" w:lineRule="auto"/>
        <w:ind w:firstLine="720"/>
      </w:pPr>
      <w:r>
        <w:t xml:space="preserve">There is a methodological contribution alongside the substantive one, and it may prove the more durable of the two. The study demonstrates that the option question can be posed at the level of the individual filing and answered against fully sourced public records, with every observation traceable to a cited order and a catalog reconciliation. That is a template. It shows that the abstract worry about warehoused filings, which has circulated in policy discussion as intuition, can be turned into a measurement design with a falsifiable prediction and a reproducible estimate. The specific coefficients here come from ten rows and should not be over-read, but the design that produced them scales: the same outcome definition, the same uncertainty proxy, and the same pair of estimators apply unchanged to a population panel. Handing forward a working, auditable design is a contribution independent of the particular numbers it first produced.</w:t>
      </w:r>
    </w:p>
    <w:bookmarkEnd w:id="107"/>
    <w:bookmarkStart w:id="108" w:name="X2fce8243ebeda1d9127de76b32fccf77c5682cc"/>
    <w:p>
      <w:pPr>
        <w:pStyle w:val="Heading2"/>
        <w:spacing w:line="480" w:lineRule="auto"/>
      </w:pPr>
      <w:r>
        <w:t xml:space="preserve">Why it matters for governance and program decisions</w:t>
      </w:r>
    </w:p>
    <w:p>
      <w:pPr>
        <w:pStyle w:val="FirstParagraph"/>
        <w:spacing w:line="480" w:lineRule="auto"/>
      </w:pPr>
      <w:r>
        <w:t xml:space="preserve">A reframing this study supports changes how a regulator should read non-deployment. Under a pure-screening view of filings, an application that never flies is a failure, and the policy reflex is enforcement. Under the option view the evidence supports, non-deployment can be a rational exercise of flexibility, since a filing held open while demand, financing, launch access, and coordination outcomes resolve is behaving as an option should</w:t>
      </w:r>
      <w:r>
        <w:t xml:space="preserve"> </w:t>
      </w:r>
      <w:hyperlink w:anchor="ref-7">
        <w:r>
          <w:rPr>
            <w:rStyle w:val="Hyperlink"/>
          </w:rPr>
          <w:t xml:space="preserve">[7]</w:t>
        </w:r>
      </w:hyperlink>
      <w:r>
        <w:t xml:space="preserve">. That distinction matters because the governance response differs. Punishing all non-deployment as failure would destroy legitimate flexibility that staged, uncertain space projects genuinely need; ignoring all non-deployment as rational waiting would let applicants warehouse scarce orbital and spectrum access without credible plans. The right policy sits between, and the study offers a way to locate it.</w:t>
      </w:r>
    </w:p>
    <w:p>
      <w:pPr>
        <w:pStyle w:val="BodyText"/>
        <w:spacing w:line="480" w:lineRule="auto"/>
        <w:ind w:firstLine="720"/>
      </w:pPr>
      <w:r>
        <w:t xml:space="preserve">Concretely, the duration specification can serve as a triage instrument. A high-uncertainty filing that remains undeployed for a long period is a candidate for stronger milestone scrutiny, clearer limits on modification rights, or a public explanation of intent, because its long hold may reflect warehousing rather than value-creating waiting. A high-uncertainty filing that deploys quickly deserves the opposite reading, since the applicant converted a noisy environment into execution. This is proportional governance rather than blanket skepticism toward filing rights, and it is exactly the posture the congestion and traffic-management literature implies is needed as the environment fills</w:t>
      </w:r>
      <w:r>
        <w:t xml:space="preserve"> </w:t>
      </w:r>
      <w:hyperlink w:anchor="ref-8">
        <w:r>
          <w:rPr>
            <w:rStyle w:val="Hyperlink"/>
          </w:rPr>
          <w:t xml:space="preserve">[8]</w:t>
        </w:r>
      </w:hyperlink>
      <w:r>
        <w:t xml:space="preserve">. Filing design, milestone rules, bond requirements, and disclosure obligations all change the value of waiting, and a regulator who understands filings as options can tune those instruments to preserve legitimate flexibility while making scarce resources harder to hold idle</w:t>
      </w:r>
      <w:r>
        <w:t xml:space="preserve"> </w:t>
      </w:r>
      <w:hyperlink w:anchor="ref-1">
        <w:r>
          <w:rPr>
            <w:rStyle w:val="Hyperlink"/>
          </w:rPr>
          <w:t xml:space="preserve">[1]</w:t>
        </w:r>
      </w:hyperlink>
      <w:r>
        <w:t xml:space="preserve">.</w:t>
      </w:r>
    </w:p>
    <w:p>
      <w:pPr>
        <w:pStyle w:val="BodyText"/>
        <w:spacing w:line="480" w:lineRule="auto"/>
        <w:ind w:firstLine="720"/>
      </w:pPr>
      <w:r>
        <w:t xml:space="preserve">This relevance extends to how scarce orbital resources are allocated at all. If a filing is an option, then the price of holding it, in fees, bonds, and milestone risk, is the price of the option, and setting that price too low invites over-filing that crowds the environment and delays the resolution of who will actually use a shell or a longitude</w:t>
      </w:r>
      <w:r>
        <w:t xml:space="preserve"> </w:t>
      </w:r>
      <w:hyperlink w:anchor="ref-6">
        <w:r>
          <w:rPr>
            <w:rStyle w:val="Hyperlink"/>
          </w:rPr>
          <w:t xml:space="preserve">[6]</w:t>
        </w:r>
      </w:hyperlink>
      <w:r>
        <w:t xml:space="preserve">. The study does not price the option, but it establishes that the option is real enough to be measured, which is the premise any pricing reform would need.</w:t>
      </w:r>
    </w:p>
    <w:bookmarkEnd w:id="108"/>
    <w:bookmarkStart w:id="109" w:name="Xafcc0728e64cdd2cc408b37895b83a702a611ac"/>
    <w:p>
      <w:pPr>
        <w:pStyle w:val="Heading2"/>
        <w:spacing w:line="480" w:lineRule="auto"/>
      </w:pPr>
      <w:r>
        <w:t xml:space="preserve">Relevance to program and mission decisions</w:t>
      </w:r>
    </w:p>
    <w:p>
      <w:pPr>
        <w:pStyle w:val="FirstParagraph"/>
        <w:spacing w:line="480" w:lineRule="auto"/>
      </w:pPr>
      <w:r>
        <w:t xml:space="preserve">This finding matters not only to regulators but to the operators and program offices on the other side of the filing. An operator that understands its own filing as an option can reason about it deliberately rather than treating it as a box checked on the way to launch. The value of holding the filing open rises with the uncertainty the operator faces, so a program facing genuinely unresolved demand, financing, or coordination risk has an economic warrant for staging its commitment behind the filing rather than deploying prematurely</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The staged-deployment literature already gives operators tools to reason about architectural flexibility; recognizing the filing as the option upstream of the architecture extends that reasoning to the decision of when to commit at all. A program that deploys the moment it can, ignoring the option it destroys by acting, may be leaving value on the table exactly when uncertainty is highest.</w:t>
      </w:r>
    </w:p>
    <w:p>
      <w:pPr>
        <w:pStyle w:val="BodyText"/>
        <w:spacing w:line="480" w:lineRule="auto"/>
        <w:ind w:firstLine="720"/>
      </w:pPr>
      <w:r>
        <w:t xml:space="preserve">For a government sponsor evaluating commercial partners, the finding offers a diagnostic lens. A partner holding a long-idle high-uncertainty filing is not necessarily a failing partner; it may be a rational one waiting for the environment to resolve. A sponsor that reads all non-deployment as failure risks penalizing the flexibility that hard space programs require, while a sponsor that reads all non-deployment as rational risks being warehoused against. The triage logic this study demonstrates, reading holding behavior against the filing environment, gives a sponsor a principled middle path: ask, of a given long hold, whether the environment was uncertain enough to justify waiting, and treat the answer as evidence rather than assuming either extreme. That is a more defensible basis for partner evaluation than a bright-line deployment deadline that ignores the economics of waiting.</w:t>
      </w:r>
    </w:p>
    <w:p>
      <w:pPr>
        <w:pStyle w:val="BodyText"/>
        <w:spacing w:line="480" w:lineRule="auto"/>
        <w:ind w:firstLine="720"/>
      </w:pPr>
      <w:r>
        <w:t xml:space="preserve">Relevance also reaches the interagency and international coordination bodies that manage the shared regimes. If a measurable fraction of reserved-but-unbuilt systems reflects rational option-holding rather than warehousing, then coordination mechanisms that treat every reservation as an equal claim on attention are misallocating scarce coordination capacity</w:t>
      </w:r>
      <w:r>
        <w:t xml:space="preserve"> </w:t>
      </w:r>
      <w:hyperlink w:anchor="ref-8">
        <w:r>
          <w:rPr>
            <w:rStyle w:val="Hyperlink"/>
          </w:rPr>
          <w:t xml:space="preserve">[8]</w:t>
        </w:r>
      </w:hyperlink>
      <w:r>
        <w:t xml:space="preserve">. A mechanism that could distinguish rational holds from speculative ones, using the observed relationship between environment and exercise, could focus coordination and enforcement where they are most needed. This study does not build that mechanism, but it demonstrates the measurement on which such a mechanism would rest, which is a concrete contribution to a governance problem the traffic-management literature has flagged as urgent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09"/>
    <w:bookmarkStart w:id="110" w:name="X736ec72ca3240eceb3e1394bacfa786480d556f"/>
    <w:p>
      <w:pPr>
        <w:pStyle w:val="Heading2"/>
        <w:spacing w:line="480" w:lineRule="auto"/>
      </w:pPr>
      <w:r>
        <w:t xml:space="preserve">The standard the work meets and the one it does not</w:t>
      </w:r>
    </w:p>
    <w:p>
      <w:pPr>
        <w:pStyle w:val="FirstParagraph"/>
        <w:spacing w:line="480" w:lineRule="auto"/>
      </w:pPr>
      <w:r>
        <w:t xml:space="preserve">It is worth closing the argument by stating precisely which standard this dissertation meets. It meets the standard of a proof of method: a falsifiable claim, tested against an auditable public record with standard estimators, reported exactly, and interpreted within its limits. Every observation traces to a public source, every coefficient comes directly from the estimator on that data, and every threat to the reading is named rather than hidden. A skeptic can reconstruct the panel, re-run the models, and check the numbers, which is the standard a proof of method should meet and the one this work was built to satisfy.</w:t>
      </w:r>
    </w:p>
    <w:p>
      <w:pPr>
        <w:pStyle w:val="BodyText"/>
        <w:spacing w:line="480" w:lineRule="auto"/>
        <w:ind w:firstLine="720"/>
      </w:pPr>
      <w:r>
        <w:t xml:space="preserve">It does not meet, and does not claim to meet, the standard of a population study. It does not establish that the association holds across the thousands of filings in the full record, it does not price the option in economic terms, and it does not separate rational deferment from strategic blocking or speculation. Those are the standards a mature literature on filing options will eventually need to meet, and this study is deliberately scoped below them. Conflating the two standards would be the central error a reader could make, and the dissertation has worked throughout to prevent it, distinguishing at every turn what a ten-row auditable panel demonstrates from what a population study would settle. The honesty of that distinction is not a weakness of the work; it is the discipline that makes the work trustworthy.</w:t>
      </w:r>
    </w:p>
    <w:bookmarkEnd w:id="110"/>
    <w:bookmarkStart w:id="111" w:name="X83545257277c591530144508ae239250f8d801a"/>
    <w:p>
      <w:pPr>
        <w:pStyle w:val="Heading2"/>
        <w:spacing w:line="480" w:lineRule="auto"/>
      </w:pPr>
      <w:r>
        <w:t xml:space="preserve">The path from proof of method to population test</w:t>
      </w:r>
    </w:p>
    <w:p>
      <w:pPr>
        <w:pStyle w:val="FirstParagraph"/>
        <w:spacing w:line="480" w:lineRule="auto"/>
      </w:pPr>
      <w:r>
        <w:t xml:space="preserve">The honest scope of this study is a proof of method, and its natural successor is the population test the prospectus laid out. Three extensions define that path.</w:t>
      </w:r>
    </w:p>
    <w:p>
      <w:pPr>
        <w:pStyle w:val="BodyText"/>
        <w:spacing w:line="480" w:lineRule="auto"/>
        <w:ind w:firstLine="720"/>
      </w:pPr>
      <w:r>
        <w:t xml:space="preserve">The first is scale. The full design uses the FCC International Communications Filing System and legacy International Bureau Filing System satellite records as a population frame, not a ten-row curation, verifying deployment through FCC milestone filings and Space-Track catalog matches at scale</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A population panel would deliver the tight inference this study cannot, turning a suggestive hazard coefficient into a precisely estimated one and testing whether the sign survives across geostationary and non-geostationary regimes, across services, and across cohorts.</w:t>
      </w:r>
    </w:p>
    <w:p>
      <w:pPr>
        <w:pStyle w:val="BodyText"/>
        <w:spacing w:line="480" w:lineRule="auto"/>
        <w:ind w:firstLine="720"/>
      </w:pPr>
      <w:r>
        <w:t xml:space="preserve">The second is identification. A population panel supports the fixed effects this small file could not carry: applicant fixed effects to absorb persistent capability and access to capital, regime and band fixed effects to separate technical categories, and cohort fixed effects to absorb common shocks to launch, finance, and regulation. With those in place, the leave-one-applicant-out construction of the uncertainty index does more work, and the reverse-causality and selection concerns that this study could only bound become genuinely addressable. Separating deferment from congestion, the interpretive threat this panel could not resolve, becomes tractable when the sample is large enough to control the coordination environment richly.</w:t>
      </w:r>
    </w:p>
    <w:p>
      <w:pPr>
        <w:pStyle w:val="BodyText"/>
        <w:spacing w:line="480" w:lineRule="auto"/>
        <w:ind w:firstLine="720"/>
      </w:pPr>
      <w:r>
        <w:t xml:space="preserve">The third is measurement. A population study can refine the uncertainty index beyond the transparent proxy used here, incorporating the timing and resolution of contestation, the structure of the processing round, and international coordination status from the International Telecommunication Union record, which prior work shows is usable for exactly this purpose</w:t>
      </w:r>
      <w:r>
        <w:t xml:space="preserve"> </w:t>
      </w:r>
      <w:hyperlink w:anchor="ref-5">
        <w:r>
          <w:rPr>
            <w:rStyle w:val="Hyperlink"/>
          </w:rPr>
          <w:t xml:space="preserve">[5]</w:t>
        </w:r>
      </w:hyperlink>
      <w:r>
        <w:t xml:space="preserve"> </w:t>
      </w:r>
      <w:hyperlink w:anchor="ref-18">
        <w:r>
          <w:rPr>
            <w:rStyle w:val="Hyperlink"/>
          </w:rPr>
          <w:t xml:space="preserve">[18]</w:t>
        </w:r>
      </w:hyperlink>
      <w:r>
        <w:t xml:space="preserve">. A better-measured index would sharpen the test and reduce the risk that the proxy is capturing competition rather than uncertainty.</w:t>
      </w:r>
    </w:p>
    <w:p>
      <w:pPr>
        <w:pStyle w:val="BodyText"/>
        <w:spacing w:line="480" w:lineRule="auto"/>
        <w:ind w:firstLine="720"/>
      </w:pPr>
      <w:r>
        <w:t xml:space="preserve">Beyond these three extensions of the same design, the finding invites work that this study only gestures toward. One direction is valuation: moving from the sign of the option effect to an estimate of its magnitude in economic terms, which would let regulators price filing fees and bonds against the value of the flexibility they regulate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Another is comparative: applying the design across regulatory regimes, since the FCC, the International Telecommunication Union, and other national administrations set milestone and buildout rules differently, and the option value of a filing should vary with how cheaply the rules let it be held</w:t>
      </w:r>
      <w:r>
        <w:t xml:space="preserve"> </w:t>
      </w:r>
      <w:hyperlink w:anchor="ref-1">
        <w:r>
          <w:rPr>
            <w:rStyle w:val="Hyperlink"/>
          </w:rPr>
          <w:t xml:space="preserve">[1]</w:t>
        </w:r>
      </w:hyperlink>
      <w:r>
        <w:t xml:space="preserve"> </w:t>
      </w:r>
      <w:hyperlink w:anchor="ref-18">
        <w:r>
          <w:rPr>
            <w:rStyle w:val="Hyperlink"/>
          </w:rPr>
          <w:t xml:space="preserve">[18]</w:t>
        </w:r>
      </w:hyperlink>
      <w:r>
        <w:t xml:space="preserve">. A third is disaggregation by motive: pairing the filing record with financing and corporate data to begin separating rational deferment from strategic blocking and pure speculation, the distinction this study identified as beyond its reach. Each of these builds on the same foundational claim, that filings carry measurable option content, and each would sharpen the governance guidance the finding supports.</w:t>
      </w:r>
    </w:p>
    <w:bookmarkEnd w:id="111"/>
    <w:bookmarkStart w:id="112" w:name="X0f63fc53cea1896b8ee5e400598a29b5d9fdcaa"/>
    <w:p>
      <w:pPr>
        <w:pStyle w:val="Heading2"/>
        <w:spacing w:line="480" w:lineRule="auto"/>
      </w:pPr>
      <w:r>
        <w:t xml:space="preserve">The place of the finding in a larger program</w:t>
      </w:r>
    </w:p>
    <w:p>
      <w:pPr>
        <w:pStyle w:val="FirstParagraph"/>
        <w:spacing w:line="480" w:lineRule="auto"/>
      </w:pPr>
      <w:r>
        <w:t xml:space="preserve">It is worth situating this dissertation as one step in a research program rather than a self-contained result, because that framing clarifies what it adds. The economics of orbital and spectrum scarcity has been studied from the physical side, through debris, capacity, and interference, and from the governance side, through milestone rules and coordination mechanisms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What has been missing is a behavioral account of the filing itself, an account of how operators actually use the administrative right they hold. This study supplies the first filing-level behavioral evidence: operators appear to exercise filings more slowly when the environment is more uncertain, which is how the holders of options behave. That evidence is a foundation on which a behavioral economics of orbital filings can be built.</w:t>
      </w:r>
    </w:p>
    <w:p>
      <w:pPr>
        <w:pStyle w:val="BodyText"/>
        <w:spacing w:line="480" w:lineRule="auto"/>
        <w:ind w:firstLine="720"/>
      </w:pPr>
      <w:r>
        <w:t xml:space="preserve">That program the foundation supports is substantial. It would estimate the option value of filings across the full record, price that value against the fees and bonds regulators impose, compare it across regimes, and disaggregate it by the motive behind the hold. Each of those studies would sharpen the governance guidance and each would rest on the premise this study establishes, that filings carry measurable option content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dissertation that opens a program is worth more than its own coefficients, and the coefficients here, a hazard ratio of 0.6581 and a duration slope near 17.87 months per index unit, are best understood as the first data points in a line of inquiry rather than as the last word on it.</w:t>
      </w:r>
    </w:p>
    <w:p>
      <w:pPr>
        <w:pStyle w:val="BodyText"/>
        <w:spacing w:line="480" w:lineRule="auto"/>
        <w:ind w:firstLine="720"/>
      </w:pPr>
      <w:r>
        <w:t xml:space="preserve">This program also has a methodological through-line worth naming. Every study in it can, and should, be built to the standard this one meets: falsifiable claims, auditable public data, transparent estimators, and honest reporting of limits. The temptation in a policy-adjacent field is to reach for conclusions the data cannot support, and the discipline demonstrated here, of scoping the claim to what a proof-of-method panel can bear and handing the rest forward explicitly, is the discipline the whole program will need. The contribution is thus double: a first behavioral finding, and a template for how the findings that follow it should be produced and reported. One result. One method others can reuse.</w:t>
      </w:r>
    </w:p>
    <w:bookmarkEnd w:id="112"/>
    <w:bookmarkStart w:id="113" w:name="closing"/>
    <w:p>
      <w:pPr>
        <w:pStyle w:val="Heading2"/>
        <w:spacing w:line="480" w:lineRule="auto"/>
      </w:pPr>
      <w:r>
        <w:t xml:space="preserve">Closing</w:t>
      </w:r>
    </w:p>
    <w:p>
      <w:pPr>
        <w:pStyle w:val="FirstParagraph"/>
        <w:spacing w:line="480" w:lineRule="auto"/>
      </w:pPr>
      <w:r>
        <w:t xml:space="preserve">A brief reflection on the falsifiability at the heart of the work closes the argument. The dissertation staked itself on the sign of a single coefficient, and it built every other component, the theory, the data file, the estimators, to make that sign trustworthy or to interpret it honestly. Had the survival coefficient come back positive, or had the duration slope collapsed under a robust standard error, the option reading would have failed and the results chapter would have reported the failure plainly. The finding is worth something precisely because that failure was possible and did not occur. A claim that could not have been wrong would carry no information; this one could have been, and the fact that the evidence pointed where theory predicted, on two estimators and against a visible gradient in the raw rows, is what gives the modest result its weight</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dissertation delivers what a proof-of-method study should: a falsifiable claim, tested against an auditable public record with standard estimators, reported exactly, and interpreted within its limits. In the panel assembled, an FCC satellite filing behaves like a deferment option, exercised more slowly when the coordination environment is more uncertain, with a hazard ratio of 0.6581 and a duration slope near 17.87 months per index unit, consistent across two estimators. The finding is modest in reach and specific in claim, and both qualities are deliberate. It reframes non-deployment as potentially rational, it hands regulators a triage logic grounded in measured behavior, and it leaves a clearly scoped population test as the next step. The value of the work lies not in having settled the question but in having made it answerable, against evidence a skeptic can reconstruct, one sourced filing at a time.</w:t>
      </w:r>
    </w:p>
    <w:bookmarkEnd w:id="113"/>
    <w:bookmarkStart w:id="143" w:name="references"/>
    <w:p>
      <w:pPr>
        <w:pStyle w:val="Heading2"/>
        <w:spacing w:line="480" w:lineRule="auto"/>
      </w:pPr>
      <w:r>
        <w:t xml:space="preserve">References</w:t>
      </w:r>
    </w:p>
    <w:p>
      <w:pPr>
        <w:pStyle w:val="FirstParagraph"/>
        <w:spacing w:line="480" w:lineRule="auto"/>
      </w:pPr>
      <w:bookmarkStart w:id="114" w:name="ref-1"/>
      <w:bookmarkEnd w:id="114"/>
      <w:r>
        <w:t xml:space="preserve">1. A. Allison, WRC-19 New Space Law Enabling Sustainability of LEO, Advanced Maui Optical and Space Surveillance Technologies Conference, 2020.</w:t>
      </w:r>
    </w:p>
    <w:p>
      <w:pPr>
        <w:pStyle w:val="BodyText"/>
        <w:spacing w:line="480" w:lineRule="auto"/>
        <w:ind w:firstLine="720"/>
      </w:pPr>
      <w:bookmarkStart w:id="115" w:name="ref-2"/>
      <w:bookmarkEnd w:id="115"/>
      <w:r>
        <w:t xml:space="preserve">2. K. Shahady, Estimating the Cost and Value of Geostationary Orbital Slots, Advanced Maui Optical and Space Surveillance Technologies Conference, 2023, doi:</w:t>
      </w:r>
      <w:r>
        <w:t xml:space="preserve"> </w:t>
      </w:r>
      <w:hyperlink r:id="rId116">
        <w:r>
          <w:rPr>
            <w:rStyle w:val="Hyperlink"/>
          </w:rPr>
          <w:t xml:space="preserve">10.64861/DYBG6563</w:t>
        </w:r>
      </w:hyperlink>
    </w:p>
    <w:p>
      <w:pPr>
        <w:pStyle w:val="BodyText"/>
        <w:spacing w:line="480" w:lineRule="auto"/>
        <w:ind w:firstLine="720"/>
      </w:pPr>
      <w:bookmarkStart w:id="117" w:name="ref-3"/>
      <w:bookmarkEnd w:id="117"/>
      <w:r>
        <w:t xml:space="preserve">3. M. Young and A. Thadani, Low-Orbit High Stakes: All-In on the LEO Broadband Competition, Center for Strategic and International Studies, 2022.</w:t>
      </w:r>
    </w:p>
    <w:p>
      <w:pPr>
        <w:pStyle w:val="BodyText"/>
        <w:spacing w:line="480" w:lineRule="auto"/>
        <w:ind w:firstLine="720"/>
      </w:pPr>
      <w:bookmarkStart w:id="118" w:name="ref-4"/>
      <w:bookmarkEnd w:id="118"/>
      <w:r>
        <w:t xml:space="preserve">4. A. T. Karra and M. Jah, Harmful Interference and Compliance in Geosynchronous Orbit, Advanced Maui Optical and Space Surveillance Technologies Conference, 2025, doi:</w:t>
      </w:r>
      <w:r>
        <w:t xml:space="preserve"> </w:t>
      </w:r>
      <w:hyperlink r:id="rId119">
        <w:r>
          <w:rPr>
            <w:rStyle w:val="Hyperlink"/>
          </w:rPr>
          <w:t xml:space="preserve">10.64861/WFHJ7307</w:t>
        </w:r>
      </w:hyperlink>
    </w:p>
    <w:p>
      <w:pPr>
        <w:pStyle w:val="BodyText"/>
        <w:spacing w:line="480" w:lineRule="auto"/>
        <w:ind w:firstLine="720"/>
      </w:pPr>
      <w:bookmarkStart w:id="120" w:name="ref-5"/>
      <w:bookmarkEnd w:id="120"/>
      <w:r>
        <w:t xml:space="preserve">5. T. G. Roberts and R. Linares, A Survey of International Telecommunication Union Space Station License Applications in the Geosynchronous Orbital Regime, Advanced Maui Optical and Space Surveillance Technologies Conference, 2022.</w:t>
      </w:r>
    </w:p>
    <w:p>
      <w:pPr>
        <w:pStyle w:val="BodyText"/>
        <w:spacing w:line="480" w:lineRule="auto"/>
        <w:ind w:firstLine="720"/>
      </w:pPr>
      <w:bookmarkStart w:id="121" w:name="ref-6"/>
      <w:bookmarkEnd w:id="121"/>
      <w:r>
        <w:t xml:space="preserve">6. A. D’Ambrosio, K. Lifson, J. Jang, M. Pasiecznik, and R. Linares, Projected Orbital Demand and Low Earth Orbit Environmental Capacity, Advanced Maui Optical and Space Surveillance Technologies Conference, 2022.</w:t>
      </w:r>
    </w:p>
    <w:p>
      <w:pPr>
        <w:pStyle w:val="BodyText"/>
        <w:spacing w:line="480" w:lineRule="auto"/>
        <w:ind w:firstLine="720"/>
      </w:pPr>
      <w:bookmarkStart w:id="122" w:name="ref-7"/>
      <w:bookmarkEnd w:id="122"/>
      <w:r>
        <w:t xml:space="preserve">7. J. F. Anderson, M. A. Cardin, and P. T. Grogan, A Flexible Multi-Layer Staged Deployment Model for Satellite Constellations Using Real Options, Acta Astronautica, vol. 200, pp. 364-378, 2022, doi:</w:t>
      </w:r>
      <w:r>
        <w:t xml:space="preserve"> </w:t>
      </w:r>
      <w:hyperlink r:id="rId123">
        <w:r>
          <w:rPr>
            <w:rStyle w:val="Hyperlink"/>
          </w:rPr>
          <w:t xml:space="preserve">10.1016/j.actaastro.2022.05.022</w:t>
        </w:r>
      </w:hyperlink>
    </w:p>
    <w:p>
      <w:pPr>
        <w:pStyle w:val="BodyText"/>
        <w:spacing w:line="480" w:lineRule="auto"/>
        <w:ind w:firstLine="720"/>
      </w:pPr>
      <w:bookmarkStart w:id="124" w:name="ref-8"/>
      <w:bookmarkEnd w:id="124"/>
      <w:r>
        <w:t xml:space="preserve">8. M. E. Sorge et al., Space Traffic Management for Large Constellations, Acta Astronautica, 2025, doi:</w:t>
      </w:r>
      <w:r>
        <w:t xml:space="preserve"> </w:t>
      </w:r>
      <w:hyperlink r:id="rId125">
        <w:r>
          <w:rPr>
            <w:rStyle w:val="Hyperlink"/>
          </w:rPr>
          <w:t xml:space="preserve">10.1016/j.actaastro.2025.01.043</w:t>
        </w:r>
      </w:hyperlink>
    </w:p>
    <w:p>
      <w:pPr>
        <w:pStyle w:val="BodyText"/>
        <w:spacing w:line="480" w:lineRule="auto"/>
        <w:ind w:firstLine="720"/>
      </w:pPr>
      <w:bookmarkStart w:id="126" w:name="ref-9"/>
      <w:bookmarkEnd w:id="126"/>
      <w:r>
        <w:t xml:space="preserve">9. F. Black and M. Scholes, The Pricing of Options and Corporate Liabilities, Journal of Political Economy, vol. 81, no. 3, pp. 637-654, 1973.</w:t>
      </w:r>
    </w:p>
    <w:p>
      <w:pPr>
        <w:pStyle w:val="BodyText"/>
        <w:spacing w:line="480" w:lineRule="auto"/>
        <w:ind w:firstLine="720"/>
      </w:pPr>
      <w:bookmarkStart w:id="127" w:name="ref-10"/>
      <w:bookmarkEnd w:id="127"/>
      <w:r>
        <w:t xml:space="preserve">10. A. K. Dixit and R. S. Pindyck, Investment Under Uncertainty, Princeton University Press, 1994.</w:t>
      </w:r>
    </w:p>
    <w:p>
      <w:pPr>
        <w:pStyle w:val="BodyText"/>
        <w:spacing w:line="480" w:lineRule="auto"/>
        <w:ind w:firstLine="720"/>
      </w:pPr>
      <w:bookmarkStart w:id="128" w:name="ref-11"/>
      <w:bookmarkEnd w:id="128"/>
      <w:r>
        <w:t xml:space="preserve">11. Federal Communications Commission, WorldVu Satellites Limited, Petition for Declaratory Ruling Granted, FCC-17-77, June 22, 2017, https://docs.fcc.gov/public/attachments/FCC-17-77A1.pdf.</w:t>
      </w:r>
    </w:p>
    <w:p>
      <w:pPr>
        <w:pStyle w:val="BodyText"/>
        <w:spacing w:line="480" w:lineRule="auto"/>
        <w:ind w:firstLine="720"/>
      </w:pPr>
      <w:bookmarkStart w:id="129" w:name="ref-12"/>
      <w:bookmarkEnd w:id="129"/>
      <w:r>
        <w:t xml:space="preserve">12. Federal Communications Commission, Telesat Canada, Petition for Declaratory Ruling Granted, FCC-17-147, November 2, 2017, https://docs.fcc.gov/public/attachments/FCC-17-147A1.pdf.</w:t>
      </w:r>
    </w:p>
    <w:p>
      <w:pPr>
        <w:pStyle w:val="BodyText"/>
        <w:spacing w:line="480" w:lineRule="auto"/>
        <w:ind w:firstLine="720"/>
      </w:pPr>
      <w:bookmarkStart w:id="130" w:name="ref-13"/>
      <w:bookmarkEnd w:id="130"/>
      <w:r>
        <w:t xml:space="preserve">13. Federal Communications Commission, Space Exploration Holdings LLC, Application for Approval for Orbital Deployment and Operating Authority, FCC-18-38, March 29, 2018, https://docs.fcc.gov/public/attachments/FCC-18-38A1.pdf.</w:t>
      </w:r>
    </w:p>
    <w:p>
      <w:pPr>
        <w:pStyle w:val="BodyText"/>
        <w:spacing w:line="480" w:lineRule="auto"/>
        <w:ind w:firstLine="720"/>
      </w:pPr>
      <w:bookmarkStart w:id="131" w:name="ref-14"/>
      <w:bookmarkEnd w:id="131"/>
      <w:r>
        <w:t xml:space="preserve">14. Federal Communications Commission, Space Norway AS, Petition for Declaratory Ruling Granted, FCC-17-146, November 2, 2017, https://docs.fcc.gov/public/attachments/FCC-17-146A1.pdf.</w:t>
      </w:r>
    </w:p>
    <w:p>
      <w:pPr>
        <w:pStyle w:val="BodyText"/>
        <w:spacing w:line="480" w:lineRule="auto"/>
        <w:ind w:firstLine="720"/>
      </w:pPr>
      <w:bookmarkStart w:id="132" w:name="ref-15"/>
      <w:bookmarkEnd w:id="132"/>
      <w:r>
        <w:t xml:space="preserve">15. Federal Communications Commission, Kuiper Systems LLC, Application for Authority to Deploy and Operate a Ka-band Non-Geostationary Satellite Orbit System, FCC-20-102, July 30, 2020, https://docs.fcc.gov/public/attachments/FCC-20-102A1.pdf.</w:t>
      </w:r>
    </w:p>
    <w:p>
      <w:pPr>
        <w:pStyle w:val="BodyText"/>
        <w:spacing w:line="480" w:lineRule="auto"/>
        <w:ind w:firstLine="720"/>
      </w:pPr>
      <w:bookmarkStart w:id="133" w:name="ref-16"/>
      <w:bookmarkEnd w:id="133"/>
      <w:r>
        <w:t xml:space="preserve">16. Federal Communications Commission, The Boeing Company, Application for Authority to Launch and Operate a Non-Geostationary Satellite Orbit System in the Fixed-Satellite Service, FCC-21-115, November 3, 2021, https://docs.fcc.gov/public/attachments/FCC-21-115A1.pdf.</w:t>
      </w:r>
    </w:p>
    <w:p>
      <w:pPr>
        <w:pStyle w:val="BodyText"/>
        <w:spacing w:line="480" w:lineRule="auto"/>
        <w:ind w:firstLine="720"/>
      </w:pPr>
      <w:bookmarkStart w:id="134" w:name="ref-17"/>
      <w:bookmarkEnd w:id="134"/>
      <w:r>
        <w:t xml:space="preserve">17. Federal Communications Commission, International Communications Filing System and International Bureau Filing System public satellite records, accessed June 28, 2026, https://www.fcc.gov/icfs.</w:t>
      </w:r>
    </w:p>
    <w:p>
      <w:pPr>
        <w:pStyle w:val="BodyText"/>
        <w:spacing w:line="480" w:lineRule="auto"/>
        <w:ind w:firstLine="720"/>
      </w:pPr>
      <w:bookmarkStart w:id="135" w:name="ref-18"/>
      <w:bookmarkEnd w:id="135"/>
      <w:r>
        <w:t xml:space="preserve">18. International Telecommunication Union, Space Services Department and Radio Regulations materials on satellite network filings, accessed June 28, 2026, https://www.itu.int/hub/2024/06/how-the-itu-manages-satellite-network-filings/.</w:t>
      </w:r>
    </w:p>
    <w:p>
      <w:pPr>
        <w:pStyle w:val="BodyText"/>
        <w:spacing w:line="480" w:lineRule="auto"/>
        <w:ind w:firstLine="720"/>
      </w:pPr>
      <w:bookmarkStart w:id="136" w:name="ref-19"/>
      <w:bookmarkEnd w:id="136"/>
      <w:r>
        <w:t xml:space="preserve">19. Space-Track.org, public satellite catalog and launch data reconciliation, accessed June 28, 2026, https://www.space-track.org/.</w:t>
      </w:r>
    </w:p>
    <w:p>
      <w:pPr>
        <w:pStyle w:val="BodyText"/>
        <w:spacing w:line="480" w:lineRule="auto"/>
        <w:ind w:firstLine="720"/>
      </w:pPr>
      <w:bookmarkStart w:id="137" w:name="ref-20"/>
      <w:bookmarkEnd w:id="137"/>
      <w:r>
        <w:t xml:space="preserve">20. Amazon, Project Kuiper Protoflight mission update and launch record, October 2023, https://www.aboutamazon.com/news/innovation-at-amazon/amazon-project-kuiper-satellite-launch-success.</w:t>
      </w:r>
    </w:p>
    <w:p>
      <w:pPr>
        <w:pStyle w:val="BodyText"/>
        <w:spacing w:line="480" w:lineRule="auto"/>
        <w:ind w:firstLine="720"/>
      </w:pPr>
      <w:bookmarkStart w:id="138" w:name="ref-21"/>
      <w:bookmarkEnd w:id="138"/>
      <w:r>
        <w:t xml:space="preserve">21. OneWeb, first satellite launch public record for the initial six satellites, February 2019.</w:t>
      </w:r>
    </w:p>
    <w:p>
      <w:pPr>
        <w:pStyle w:val="BodyText"/>
        <w:spacing w:line="480" w:lineRule="auto"/>
        <w:ind w:firstLine="720"/>
      </w:pPr>
      <w:bookmarkStart w:id="139" w:name="ref-22"/>
      <w:bookmarkEnd w:id="139"/>
      <w:r>
        <w:t xml:space="preserve">22. SpaceX, Starlink mission public launch record for first operational deployment, May 2019.</w:t>
      </w:r>
    </w:p>
    <w:p>
      <w:pPr>
        <w:pStyle w:val="BodyText"/>
        <w:spacing w:line="480" w:lineRule="auto"/>
        <w:ind w:firstLine="720"/>
      </w:pPr>
      <w:bookmarkStart w:id="140" w:name="ref-23"/>
      <w:bookmarkEnd w:id="140"/>
      <w:r>
        <w:t xml:space="preserve">23. Telesat, Phase 1 LEO satellite public launch record, January 2018.</w:t>
      </w:r>
    </w:p>
    <w:p>
      <w:pPr>
        <w:pStyle w:val="BodyText"/>
        <w:spacing w:line="480" w:lineRule="auto"/>
        <w:ind w:firstLine="720"/>
      </w:pPr>
      <w:bookmarkStart w:id="141" w:name="ref-24"/>
      <w:bookmarkEnd w:id="141"/>
      <w:r>
        <w:t xml:space="preserve">24. Space Norway, Arctic Satellite Broadband Mission public launch record, August 2024.</w:t>
      </w:r>
    </w:p>
    <w:p>
      <w:pPr>
        <w:pStyle w:val="BodyText"/>
        <w:spacing w:line="480" w:lineRule="auto"/>
        <w:ind w:firstLine="720"/>
      </w:pPr>
      <w:bookmarkStart w:id="142" w:name="ref-25"/>
      <w:bookmarkEnd w:id="142"/>
      <w:r>
        <w:t xml:space="preserve">25. O3b Limited and SES, public launch record for O3b additional satellites, March 2018.</w:t>
      </w:r>
    </w:p>
    <w:bookmarkEnd w:id="143"/>
    <w:bookmarkEnd w:id="144"/>
    <w:bookmarkStart w:id="16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52" w:name="X7a912a07343498e93adc202773b8c489f5c569b"/>
    <w:p>
      <w:pPr>
        <w:pStyle w:val="Heading2"/>
        <w:spacing w:line="480" w:lineRule="auto"/>
      </w:pPr>
      <w:r>
        <w:t xml:space="preserve">A.1 FCC Filing Rights as Deferment Options: A Public-Record Survival Test</w:t>
      </w:r>
    </w:p>
    <w:p>
      <w:pPr>
        <w:pStyle w:val="FirstParagraph"/>
        <w:spacing w:line="480" w:lineRule="auto"/>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t>U</m:t>
              </m:r>
            </m:e>
            <m:sub>
              <m:r>
                <m:t>i</m:t>
              </m:r>
            </m:sub>
          </m:sSub>
          <m:r>
            <m:rPr>
              <m:sty m:val="p"/>
            </m:rPr>
            <m:t>+</m:t>
          </m:r>
          <m:sSub>
            <m:e>
              <m:r>
                <m:t>β</m:t>
              </m:r>
            </m:e>
            <m:sub>
              <m:r>
                <m:t>2</m:t>
              </m:r>
            </m:sub>
          </m:sSub>
          <m:r>
            <m:rPr>
              <m:sty m:val="p"/>
            </m:rPr>
            <m:t>ln</m:t>
          </m:r>
          <m:r>
            <m:rPr>
              <m:sty m:val="p"/>
            </m:rPr>
            <m:t>(</m:t>
          </m:r>
          <m:sSub>
            <m:e>
              <m:r>
                <m:t>S</m:t>
              </m:r>
            </m:e>
            <m:sub>
              <m:r>
                <m:t>i</m:t>
              </m:r>
            </m:sub>
          </m:sSub>
          <m:r>
            <m:rPr>
              <m:sty m:val="p"/>
            </m:rPr>
            <m:t>)</m:t>
          </m:r>
          <m:r>
            <m:rPr>
              <m:sty m:val="p"/>
            </m:rPr>
            <m:t>)</m:t>
          </m:r>
        </m:oMath>
      </m:oMathPara>
    </w:p>
    <w:bookmarkStart w:id="14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-0.4184</w:t>
            </w:r>
          </w:p>
        </w:tc>
        <w:tc>
          <w:tcPr>
            <w:tcW w:w="0" w:type="auto"/>
          </w:tcPr>
          <w:p>
            <w:pPr>
              <w:spacing w:line="240" w:lineRule="auto" w:before="0" w:after="0"/>
              <w:pStyle w:val="Compact"/>
            </w:pPr>
            <w:r>
              <w:rPr>
                <w:sz w:val="20"/>
                <w:szCs w:val="20"/>
              </w:rPr>
              <w:t xml:space="preserve">0.2818</w:t>
            </w:r>
          </w:p>
        </w:tc>
        <w:tc>
          <w:tcPr>
            <w:tcW w:w="0" w:type="auto"/>
          </w:tcPr>
          <w:p>
            <w:pPr>
              <w:spacing w:line="240" w:lineRule="auto" w:before="0" w:after="0"/>
              <w:pStyle w:val="Compact"/>
            </w:pPr>
            <w:r>
              <w:rPr>
                <w:sz w:val="20"/>
                <w:szCs w:val="20"/>
              </w:rPr>
              <w:t xml:space="preserve">-1.4846</w:t>
            </w:r>
          </w:p>
        </w:tc>
        <w:tc>
          <w:tcPr>
            <w:tcW w:w="0" w:type="auto"/>
          </w:tcPr>
          <w:p>
            <w:pPr>
              <w:spacing w:line="240" w:lineRule="auto" w:before="0" w:after="0"/>
              <w:pStyle w:val="Compact"/>
            </w:pPr>
            <w:r>
              <w:rPr>
                <w:sz w:val="20"/>
                <w:szCs w:val="20"/>
              </w:rPr>
              <w:t xml:space="preserve">0.1376</w:t>
            </w:r>
          </w:p>
        </w:tc>
        <w:tc>
          <w:tcPr>
            <w:tcW w:w="0" w:type="auto"/>
          </w:tcPr>
          <w:p>
            <w:pPr>
              <w:spacing w:line="240" w:lineRule="auto" w:before="0" w:after="0"/>
              <w:pStyle w:val="Compact"/>
            </w:pPr>
            <w:r>
              <w:rPr>
                <w:sz w:val="20"/>
                <w:szCs w:val="20"/>
              </w:rPr>
              <w:t xml:space="preserve">[-0.9708, 0.134]</w:t>
            </w:r>
          </w:p>
        </w:tc>
        <w:tc>
          <w:tcPr>
            <w:tcW w:w="0" w:type="auto"/>
          </w:tcPr>
          <w:p>
            <w:pPr>
              <w:spacing w:line="240" w:lineRule="auto" w:before="0" w:after="0"/>
              <w:pStyle w:val="Compact"/>
            </w:pPr>
            <w:r>
              <w:rPr>
                <w:sz w:val="20"/>
                <w:szCs w:val="20"/>
              </w:rPr>
              <w:t xml:space="preserve">0.6581</w:t>
            </w:r>
          </w:p>
        </w:tc>
      </w:tr>
      <w:tr>
        <w:tc>
          <w:tcPr>
            <w:tcW w:w="0" w:type="auto"/>
          </w:tcPr>
          <w:p>
            <w:pPr>
              <w:spacing w:line="240" w:lineRule="auto" w:before="0" w:after="0"/>
              <w:pStyle w:val="Compact"/>
            </w:pPr>
            <w:r>
              <w:rPr>
                <w:sz w:val="20"/>
                <w:szCs w:val="20"/>
              </w:rPr>
              <w:t xml:space="preserve">ln_proposed_satellites</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0.1962</w:t>
            </w:r>
          </w:p>
        </w:tc>
        <w:tc>
          <w:tcPr>
            <w:tcW w:w="0" w:type="auto"/>
          </w:tcPr>
          <w:p>
            <w:pPr>
              <w:spacing w:line="240" w:lineRule="auto" w:before="0" w:after="0"/>
              <w:pStyle w:val="Compact"/>
            </w:pPr>
            <w:r>
              <w:rPr>
                <w:sz w:val="20"/>
                <w:szCs w:val="20"/>
              </w:rPr>
              <w:t xml:space="preserve">0.0328</w:t>
            </w:r>
          </w:p>
        </w:tc>
        <w:tc>
          <w:tcPr>
            <w:tcW w:w="0" w:type="auto"/>
          </w:tcPr>
          <w:p>
            <w:pPr>
              <w:spacing w:line="240" w:lineRule="auto" w:before="0" w:after="0"/>
              <w:pStyle w:val="Compact"/>
            </w:pPr>
            <w:r>
              <w:rPr>
                <w:sz w:val="20"/>
                <w:szCs w:val="20"/>
              </w:rPr>
              <w:t xml:space="preserve">0.9738</w:t>
            </w:r>
          </w:p>
        </w:tc>
        <w:tc>
          <w:tcPr>
            <w:tcW w:w="0" w:type="auto"/>
          </w:tcPr>
          <w:p>
            <w:pPr>
              <w:spacing w:line="240" w:lineRule="auto" w:before="0" w:after="0"/>
              <w:pStyle w:val="Compact"/>
            </w:pPr>
            <w:r>
              <w:rPr>
                <w:sz w:val="20"/>
                <w:szCs w:val="20"/>
              </w:rPr>
              <w:t xml:space="preserve">[-0.378, 0.3909]</w:t>
            </w:r>
          </w:p>
        </w:tc>
        <w:tc>
          <w:tcPr>
            <w:tcW w:w="0" w:type="auto"/>
          </w:tcPr>
          <w:p>
            <w:pPr>
              <w:spacing w:line="240" w:lineRule="auto" w:before="0" w:after="0"/>
              <w:pStyle w:val="Compact"/>
            </w:pPr>
            <w:r>
              <w:rPr>
                <w:sz w:val="20"/>
                <w:szCs w:val="20"/>
              </w:rPr>
              <w:t xml:space="preserve">1.0065</w:t>
            </w:r>
          </w:p>
        </w:tc>
      </w:tr>
    </w:tbl>
    <w:p>
      <w:pPr>
        <w:pStyle w:val="BodyText"/>
        <w:spacing w:line="480" w:lineRule="auto"/>
        <w:ind w:firstLine="720"/>
      </w:pPr>
      <w:r>
        <w:t xml:space="preserve">Fit: N = 10 events = 6</w:t>
      </w:r>
    </w:p>
    <w:bookmarkEnd w:id="145"/>
    <w:bookmarkStart w:id="14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bserved deployment or censoring duration by coordination uncertainty index." title="" id="147" name="Picture"/>
            <a:graphic>
              <a:graphicData uri="http://schemas.openxmlformats.org/drawingml/2006/picture">
                <pic:pic>
                  <pic:nvPicPr>
                    <pic:cNvPr descr="D:/Claude_Code/brain/collegium/candidates/dissertations/SPACE_ECON_04/research_papers/p1/paper_fig1.png" id="148" name="Picture"/>
                    <pic:cNvPicPr>
                      <a:picLocks noChangeArrowheads="1" noChangeAspect="1"/>
                    </pic:cNvPicPr>
                  </pic:nvPicPr>
                  <pic:blipFill>
                    <a:blip r:embed="rId14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Observed deployment or censoring duration by coordination uncertainty index.</w:t>
      </w:r>
    </w:p>
    <w:bookmarkEnd w:id="149"/>
    <w:bookmarkStart w:id="15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applicant</w:t>
            </w:r>
          </w:p>
        </w:tc>
        <w:tc>
          <w:tcPr>
            <w:tcW w:w="0" w:type="auto"/>
          </w:tcPr>
          <w:p>
            <w:pPr>
              <w:spacing w:line="240" w:lineRule="auto" w:before="0" w:after="0"/>
              <w:pStyle w:val="Compact"/>
            </w:pPr>
            <w:r>
              <w:rPr>
                <w:sz w:val="20"/>
                <w:szCs w:val="20"/>
              </w:rPr>
              <w:t xml:space="preserve">fcc_record</w:t>
            </w:r>
          </w:p>
        </w:tc>
        <w:tc>
          <w:tcPr>
            <w:tcW w:w="0" w:type="auto"/>
          </w:tcPr>
          <w:p>
            <w:pPr>
              <w:spacing w:line="240" w:lineRule="auto" w:before="0" w:after="0"/>
              <w:pStyle w:val="Compact"/>
            </w:pPr>
            <w:r>
              <w:rPr>
                <w:sz w:val="20"/>
                <w:szCs w:val="20"/>
              </w:rPr>
              <w:t xml:space="preserve">clock_start_date</w:t>
            </w:r>
          </w:p>
        </w:tc>
        <w:tc>
          <w:tcPr>
            <w:tcW w:w="0" w:type="auto"/>
          </w:tcPr>
          <w:p>
            <w:pPr>
              <w:spacing w:line="240" w:lineRule="auto" w:before="0" w:after="0"/>
              <w:pStyle w:val="Compact"/>
            </w:pPr>
            <w:r>
              <w:rPr>
                <w:sz w:val="20"/>
                <w:szCs w:val="20"/>
              </w:rPr>
              <w:t xml:space="preserve">first_deployment_date</w:t>
            </w:r>
          </w:p>
        </w:tc>
        <w:tc>
          <w:tcPr>
            <w:tcW w:w="0" w:type="auto"/>
          </w:tcPr>
          <w:p>
            <w:pPr>
              <w:spacing w:line="240" w:lineRule="auto" w:before="0" w:after="0"/>
              <w:pStyle w:val="Compact"/>
            </w:pPr>
            <w:r>
              <w:rPr>
                <w:sz w:val="20"/>
                <w:szCs w:val="20"/>
              </w:rPr>
              <w:t xml:space="preserve">censor_date</w:t>
            </w:r>
          </w:p>
        </w:tc>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deployed_within_36_months</w:t>
            </w:r>
          </w:p>
        </w:tc>
        <w:tc>
          <w:tcPr>
            <w:tcW w:w="0" w:type="auto"/>
          </w:tcPr>
          <w:p>
            <w:pPr>
              <w:spacing w:line="240" w:lineRule="auto" w:before="0" w:after="0"/>
              <w:pStyle w:val="Compact"/>
            </w:pPr>
            <w:r>
              <w:rPr>
                <w:sz w:val="20"/>
                <w:szCs w:val="20"/>
              </w:rPr>
              <w:t xml:space="preserve">ln_proposed_satellites</w:t>
            </w:r>
          </w:p>
        </w:tc>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option_backlog_index</w:t>
            </w:r>
          </w:p>
        </w:tc>
      </w:tr>
      <w:tr>
        <w:tc>
          <w:tcPr>
            <w:tcW w:w="0" w:type="auto"/>
          </w:tcPr>
          <w:p>
            <w:pPr>
              <w:spacing w:line="240" w:lineRule="auto" w:before="0" w:after="0"/>
              <w:pStyle w:val="Compact"/>
            </w:pPr>
            <w:r>
              <w:rPr>
                <w:sz w:val="20"/>
                <w:szCs w:val="20"/>
              </w:rPr>
              <w:t xml:space="preserve">obs01</w:t>
            </w:r>
          </w:p>
        </w:tc>
        <w:tc>
          <w:tcPr>
            <w:tcW w:w="0" w:type="auto"/>
          </w:tcPr>
          <w:p>
            <w:pPr>
              <w:spacing w:line="240" w:lineRule="auto" w:before="0" w:after="0"/>
              <w:pStyle w:val="Compact"/>
            </w:pPr>
            <w:r>
              <w:rPr>
                <w:sz w:val="20"/>
                <w:szCs w:val="20"/>
              </w:rPr>
              <w:t xml:space="preserve">OneWeb Gen1</w:t>
            </w:r>
          </w:p>
        </w:tc>
        <w:tc>
          <w:tcPr>
            <w:tcW w:w="0" w:type="auto"/>
          </w:tcPr>
          <w:p>
            <w:pPr>
              <w:spacing w:line="240" w:lineRule="auto" w:before="0" w:after="0"/>
              <w:pStyle w:val="Compact"/>
            </w:pPr>
            <w:r>
              <w:rPr>
                <w:sz w:val="20"/>
                <w:szCs w:val="20"/>
              </w:rPr>
              <w:t xml:space="preserve">WorldVu Satellites Limited, OneWeb</w:t>
            </w:r>
          </w:p>
        </w:tc>
        <w:tc>
          <w:tcPr>
            <w:tcW w:w="0" w:type="auto"/>
          </w:tcPr>
          <w:p>
            <w:pPr>
              <w:spacing w:line="240" w:lineRule="auto" w:before="0" w:after="0"/>
              <w:pStyle w:val="Compact"/>
            </w:pPr>
            <w:r>
              <w:rPr>
                <w:sz w:val="20"/>
                <w:szCs w:val="20"/>
              </w:rPr>
              <w:t xml:space="preserve">FCC-17-77</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2019-02-27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OneWeb Order and Declaratory Ruling, FCC-17-77; public launch record for first six OneWeb satellites, 2019-02-27; FCC 2016 NGSO processing round public record</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1.5714</w:t>
            </w:r>
          </w:p>
        </w:tc>
        <w:tc>
          <w:tcPr>
            <w:tcW w:w="0" w:type="auto"/>
          </w:tcPr>
          <w:p>
            <w:pPr>
              <w:spacing w:line="240" w:lineRule="auto" w:before="0" w:after="0"/>
              <w:pStyle w:val="Compact"/>
            </w:pPr>
            <w:r>
              <w:rPr>
                <w:sz w:val="20"/>
                <w:szCs w:val="20"/>
              </w:rPr>
              <w:t xml:space="preserve">10.3388</w:t>
            </w:r>
          </w:p>
        </w:tc>
      </w:tr>
      <w:tr>
        <w:tc>
          <w:tcPr>
            <w:tcW w:w="0" w:type="auto"/>
          </w:tcPr>
          <w:p>
            <w:pPr>
              <w:spacing w:line="240" w:lineRule="auto" w:before="0" w:after="0"/>
              <w:pStyle w:val="Compact"/>
            </w:pPr>
            <w:r>
              <w:rPr>
                <w:sz w:val="20"/>
                <w:szCs w:val="20"/>
              </w:rPr>
              <w:t xml:space="preserve">obs02</w:t>
            </w:r>
          </w:p>
        </w:tc>
        <w:tc>
          <w:tcPr>
            <w:tcW w:w="0" w:type="auto"/>
          </w:tcPr>
          <w:p>
            <w:pPr>
              <w:spacing w:line="240" w:lineRule="auto" w:before="0" w:after="0"/>
              <w:pStyle w:val="Compact"/>
            </w:pPr>
            <w:r>
              <w:rPr>
                <w:sz w:val="20"/>
                <w:szCs w:val="20"/>
              </w:rPr>
              <w:t xml:space="preserve">Telesat LEO Phase 1</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FCC-17-147</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2018-01-12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Telesat Canada Order and Declaratory Ruling, FCC-17-147; public launch record for Telesat Phase 1 LEO satellite, 2018-01-12; FCC 2016 NGSO processing round public record</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1.8333</w:t>
            </w:r>
          </w:p>
        </w:tc>
        <w:tc>
          <w:tcPr>
            <w:tcW w:w="0" w:type="auto"/>
          </w:tcPr>
          <w:p>
            <w:pPr>
              <w:spacing w:line="240" w:lineRule="auto" w:before="0" w:after="0"/>
              <w:pStyle w:val="Compact"/>
            </w:pPr>
            <w:r>
              <w:rPr>
                <w:sz w:val="20"/>
                <w:szCs w:val="20"/>
              </w:rPr>
              <w:t xml:space="preserve">8.7307</w:t>
            </w:r>
          </w:p>
        </w:tc>
      </w:tr>
      <w:tr>
        <w:tc>
          <w:tcPr>
            <w:tcW w:w="0" w:type="auto"/>
          </w:tcPr>
          <w:p>
            <w:pPr>
              <w:spacing w:line="240" w:lineRule="auto" w:before="0" w:after="0"/>
              <w:pStyle w:val="Compact"/>
            </w:pPr>
            <w:r>
              <w:rPr>
                <w:sz w:val="20"/>
                <w:szCs w:val="20"/>
              </w:rPr>
              <w:t xml:space="preserve">obs03</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Space Exploration Holdings, SpaceX</w:t>
            </w:r>
          </w:p>
        </w:tc>
        <w:tc>
          <w:tcPr>
            <w:tcW w:w="0" w:type="auto"/>
          </w:tcPr>
          <w:p>
            <w:pPr>
              <w:spacing w:line="240" w:lineRule="auto" w:before="0" w:after="0"/>
              <w:pStyle w:val="Compact"/>
            </w:pPr>
            <w:r>
              <w:rPr>
                <w:sz w:val="20"/>
                <w:szCs w:val="20"/>
              </w:rPr>
              <w:t xml:space="preserve">FCC-18-38</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2019-05-24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SpaceX Order and Authorization, FCC-18-38; public launch record for first operational Starlink deployment, 2019-05-24; FCC 2016 NGSO processing round public record</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8.395</w:t>
            </w:r>
          </w:p>
        </w:tc>
        <w:tc>
          <w:tcPr>
            <w:tcW w:w="0" w:type="auto"/>
          </w:tcPr>
          <w:p>
            <w:pPr>
              <w:spacing w:line="240" w:lineRule="auto" w:before="0" w:after="0"/>
              <w:pStyle w:val="Compact"/>
            </w:pPr>
            <w:r>
              <w:rPr>
                <w:sz w:val="20"/>
                <w:szCs w:val="20"/>
              </w:rPr>
              <w:t xml:space="preserve">1.375</w:t>
            </w:r>
          </w:p>
        </w:tc>
        <w:tc>
          <w:tcPr>
            <w:tcW w:w="0" w:type="auto"/>
          </w:tcPr>
          <w:p>
            <w:pPr>
              <w:spacing w:line="240" w:lineRule="auto" w:before="0" w:after="0"/>
              <w:pStyle w:val="Compact"/>
            </w:pPr>
            <w:r>
              <w:rPr>
                <w:sz w:val="20"/>
                <w:szCs w:val="20"/>
              </w:rPr>
              <w:t xml:space="preserve">11.5432</w:t>
            </w:r>
          </w:p>
        </w:tc>
      </w:tr>
      <w:tr>
        <w:tc>
          <w:tcPr>
            <w:tcW w:w="0" w:type="auto"/>
          </w:tcPr>
          <w:p>
            <w:pPr>
              <w:spacing w:line="240" w:lineRule="auto" w:before="0" w:after="0"/>
              <w:pStyle w:val="Compact"/>
            </w:pPr>
            <w:r>
              <w:rPr>
                <w:sz w:val="20"/>
                <w:szCs w:val="20"/>
              </w:rPr>
              <w:t xml:space="preserve">obs04</w:t>
            </w:r>
          </w:p>
        </w:tc>
        <w:tc>
          <w:tcPr>
            <w:tcW w:w="0" w:type="auto"/>
          </w:tcPr>
          <w:p>
            <w:pPr>
              <w:spacing w:line="240" w:lineRule="auto" w:before="0" w:after="0"/>
              <w:pStyle w:val="Compact"/>
            </w:pPr>
            <w:r>
              <w:rPr>
                <w:sz w:val="20"/>
                <w:szCs w:val="20"/>
              </w:rPr>
              <w:t xml:space="preserve">Space Norway ASBM</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FCC-17-146</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2024-08-11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NGSO HEO</w:t>
            </w:r>
          </w:p>
        </w:tc>
        <w:tc>
          <w:tcPr>
            <w:tcW w:w="0" w:type="auto"/>
          </w:tcPr>
          <w:p>
            <w:pPr>
              <w:spacing w:line="240" w:lineRule="auto" w:before="0" w:after="0"/>
              <w:pStyle w:val="Compact"/>
            </w:pPr>
            <w:r>
              <w:rPr>
                <w:sz w:val="20"/>
                <w:szCs w:val="20"/>
              </w:rPr>
              <w:t xml:space="preserve">FCC Space Norway Order and Declaratory Ruling, FCC-17-146; public launch record for Arctic Satellite Broadband Mission, 2024-08-11; FCC 2016 NGSO processing round public record</w:t>
            </w:r>
          </w:p>
        </w:tc>
        <w:tc>
          <w:tcPr>
            <w:tcW w:w="0" w:type="auto"/>
          </w:tcPr>
          <w:p>
            <w:pPr>
              <w:spacing w:line="240" w:lineRule="auto" w:before="0" w:after="0"/>
              <w:pStyle w:val="Compact"/>
            </w:pPr>
            <w:r>
              <w:rPr>
                <w:sz w:val="20"/>
                <w:szCs w:val="20"/>
              </w:rPr>
              <w:t xml:space="preserve">81.3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3.6667</w:t>
            </w:r>
          </w:p>
        </w:tc>
        <w:tc>
          <w:tcPr>
            <w:tcW w:w="0" w:type="auto"/>
          </w:tcPr>
          <w:p>
            <w:pPr>
              <w:spacing w:line="240" w:lineRule="auto" w:before="0" w:after="0"/>
              <w:pStyle w:val="Compact"/>
            </w:pPr>
            <w:r>
              <w:rPr>
                <w:sz w:val="20"/>
                <w:szCs w:val="20"/>
              </w:rPr>
              <w:t xml:space="preserve">2.5415</w:t>
            </w:r>
          </w:p>
        </w:tc>
      </w:tr>
      <w:tr>
        <w:tc>
          <w:tcPr>
            <w:tcW w:w="0" w:type="auto"/>
          </w:tcPr>
          <w:p>
            <w:pPr>
              <w:spacing w:line="240" w:lineRule="auto" w:before="0" w:after="0"/>
              <w:pStyle w:val="Compact"/>
            </w:pPr>
            <w:r>
              <w:rPr>
                <w:sz w:val="20"/>
                <w:szCs w:val="20"/>
              </w:rPr>
              <w:t xml:space="preserve">obs05</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Kuiper Systems LLC</w:t>
            </w:r>
          </w:p>
        </w:tc>
        <w:tc>
          <w:tcPr>
            <w:tcW w:w="0" w:type="auto"/>
          </w:tcPr>
          <w:p>
            <w:pPr>
              <w:spacing w:line="240" w:lineRule="auto" w:before="0" w:after="0"/>
              <w:pStyle w:val="Compact"/>
            </w:pPr>
            <w:r>
              <w:rPr>
                <w:sz w:val="20"/>
                <w:szCs w:val="20"/>
              </w:rPr>
              <w:t xml:space="preserve">FCC-20-102</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2023-10-06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Kuiper Systems Order and Authorization, FCC-20-102; Amazon Project Kuiper Protoflight launch record, 2023-10-06; FCC Kuiper processing-round public record</w:t>
            </w:r>
          </w:p>
        </w:tc>
        <w:tc>
          <w:tcPr>
            <w:tcW w:w="0" w:type="auto"/>
          </w:tcPr>
          <w:p>
            <w:pPr>
              <w:spacing w:line="240" w:lineRule="auto" w:before="0" w:after="0"/>
              <w:pStyle w:val="Compact"/>
            </w:pPr>
            <w:r>
              <w:rPr>
                <w:sz w:val="20"/>
                <w:szCs w:val="20"/>
              </w:rPr>
              <w:t xml:space="preserve">38.2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8.0821</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6.2861</w:t>
            </w:r>
          </w:p>
        </w:tc>
      </w:tr>
      <w:tr>
        <w:tc>
          <w:tcPr>
            <w:tcW w:w="0" w:type="auto"/>
          </w:tcPr>
          <w:p>
            <w:pPr>
              <w:spacing w:line="240" w:lineRule="auto" w:before="0" w:after="0"/>
              <w:pStyle w:val="Compact"/>
            </w:pPr>
            <w:r>
              <w:rPr>
                <w:sz w:val="20"/>
                <w:szCs w:val="20"/>
              </w:rPr>
              <w:t xml:space="preserve">obs06</w:t>
            </w:r>
          </w:p>
        </w:tc>
        <w:tc>
          <w:tcPr>
            <w:tcW w:w="0" w:type="auto"/>
          </w:tcPr>
          <w:p>
            <w:pPr>
              <w:spacing w:line="240" w:lineRule="auto" w:before="0" w:after="0"/>
              <w:pStyle w:val="Compact"/>
            </w:pPr>
            <w:r>
              <w:rPr>
                <w:sz w:val="20"/>
                <w:szCs w:val="20"/>
              </w:rPr>
              <w:t xml:space="preserve">Boeing V-band NGSO</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FCC-21-115</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NGSO LEO and VLEO</w:t>
            </w:r>
          </w:p>
        </w:tc>
        <w:tc>
          <w:tcPr>
            <w:tcW w:w="0" w:type="auto"/>
          </w:tcPr>
          <w:p>
            <w:pPr>
              <w:spacing w:line="240" w:lineRule="auto" w:before="0" w:after="0"/>
              <w:pStyle w:val="Compact"/>
            </w:pPr>
            <w:r>
              <w:rPr>
                <w:sz w:val="20"/>
                <w:szCs w:val="20"/>
              </w:rPr>
              <w:t xml:space="preserve">FCC Boeing V-band Order and Authorization, FCC-21-115; public catalog reconciliation through 2026-06-28 with no matching Boeing V-band deployment</w:t>
            </w:r>
          </w:p>
        </w:tc>
        <w:tc>
          <w:tcPr>
            <w:tcW w:w="0" w:type="auto"/>
          </w:tcPr>
          <w:p>
            <w:pPr>
              <w:spacing w:line="240" w:lineRule="auto" w:before="0" w:after="0"/>
              <w:pStyle w:val="Compact"/>
            </w:pPr>
            <w:r>
              <w:rPr>
                <w:sz w:val="20"/>
                <w:szCs w:val="20"/>
              </w:rPr>
              <w:t xml:space="preserve">55.8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obs07</w:t>
            </w:r>
          </w:p>
        </w:tc>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LeoSat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4.6821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25.7517</w:t>
            </w:r>
          </w:p>
        </w:tc>
      </w:tr>
      <w:tr>
        <w:tc>
          <w:tcPr>
            <w:tcW w:w="0" w:type="auto"/>
          </w:tcPr>
          <w:p>
            <w:pPr>
              <w:spacing w:line="240" w:lineRule="auto" w:before="0" w:after="0"/>
              <w:pStyle w:val="Compact"/>
            </w:pPr>
            <w:r>
              <w:rPr>
                <w:sz w:val="20"/>
                <w:szCs w:val="20"/>
              </w:rPr>
              <w:t xml:space="preserve">obs08</w:t>
            </w:r>
          </w:p>
        </w:tc>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Corporation</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Audacy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6.0424</w:t>
            </w:r>
          </w:p>
        </w:tc>
      </w:tr>
      <w:tr>
        <w:tc>
          <w:tcPr>
            <w:tcW w:w="0" w:type="auto"/>
          </w:tcPr>
          <w:p>
            <w:pPr>
              <w:spacing w:line="240" w:lineRule="auto" w:before="0" w:after="0"/>
              <w:pStyle w:val="Compact"/>
            </w:pPr>
            <w:r>
              <w:rPr>
                <w:sz w:val="20"/>
                <w:szCs w:val="20"/>
              </w:rPr>
              <w:t xml:space="preserve">obs09</w:t>
            </w:r>
          </w:p>
        </w:tc>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Holdings 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Theia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25.9517</w:t>
            </w:r>
          </w:p>
        </w:tc>
      </w:tr>
      <w:tr>
        <w:tc>
          <w:tcPr>
            <w:tcW w:w="0" w:type="auto"/>
          </w:tcPr>
          <w:p>
            <w:pPr>
              <w:spacing w:line="240" w:lineRule="auto" w:before="0" w:after="0"/>
              <w:pStyle w:val="Compact"/>
            </w:pPr>
            <w:r>
              <w:rPr>
                <w:sz w:val="20"/>
                <w:szCs w:val="20"/>
              </w:rPr>
              <w:t xml:space="preserve">obs10</w:t>
            </w:r>
          </w:p>
        </w:tc>
        <w:tc>
          <w:tcPr>
            <w:tcW w:w="0" w:type="auto"/>
          </w:tcPr>
          <w:p>
            <w:pPr>
              <w:spacing w:line="240" w:lineRule="auto" w:before="0" w:after="0"/>
              <w:pStyle w:val="Compact"/>
            </w:pPr>
            <w:r>
              <w:rPr>
                <w:sz w:val="20"/>
                <w:szCs w:val="20"/>
              </w:rPr>
              <w:t xml:space="preserve">O3b add-on</w:t>
            </w:r>
          </w:p>
        </w:tc>
        <w:tc>
          <w:tcPr>
            <w:tcW w:w="0" w:type="auto"/>
          </w:tcPr>
          <w:p>
            <w:pPr>
              <w:spacing w:line="240" w:lineRule="auto" w:before="0" w:after="0"/>
              <w:pStyle w:val="Compact"/>
            </w:pPr>
            <w:r>
              <w:rPr>
                <w:sz w:val="20"/>
                <w:szCs w:val="20"/>
              </w:rPr>
              <w:t xml:space="preserve">O3b Limited</w:t>
            </w:r>
          </w:p>
        </w:tc>
        <w:tc>
          <w:tcPr>
            <w:tcW w:w="0" w:type="auto"/>
          </w:tcPr>
          <w:p>
            <w:pPr>
              <w:spacing w:line="240" w:lineRule="auto" w:before="0" w:after="0"/>
              <w:pStyle w:val="Compact"/>
            </w:pPr>
            <w:r>
              <w:rPr>
                <w:sz w:val="20"/>
                <w:szCs w:val="20"/>
              </w:rPr>
              <w:t xml:space="preserve">IBFS SAT-MOD-20160624-00060 and SAT-AMD-20161115-00116</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2018-03-09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O3b modification and amendment records, 2016; public launch record for O3b additional satellites, 2018-03-09; FCC 2016 NGSO processing round public record</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3.8123</w:t>
            </w:r>
          </w:p>
        </w:tc>
      </w:tr>
    </w:tbl>
    <w:bookmarkEnd w:id="150"/>
    <w:bookmarkStart w:id="15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public FCC clock date to first deployment or censoring.</w:t>
            </w:r>
          </w:p>
        </w:tc>
        <w:tc>
          <w:tcPr>
            <w:tcW w:w="0" w:type="auto"/>
          </w:tcPr>
          <w:p>
            <w:pPr>
              <w:spacing w:line="240" w:lineRule="auto" w:before="0" w:after="0"/>
              <w:pStyle w:val="Compact"/>
            </w:pPr>
            <w:r>
              <w:rPr>
                <w:sz w:val="20"/>
                <w:szCs w:val="20"/>
              </w:rPr>
              <w:t xml:space="preserve">Computed as days divided by 30.4375 using the clock_start_date and either first_deployment_date or 2026-06-28 censor date.</w:t>
            </w:r>
          </w:p>
        </w:tc>
      </w:tr>
      <w:tr>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Binary deployment indicator.</w:t>
            </w:r>
          </w:p>
        </w:tc>
        <w:tc>
          <w:tcPr>
            <w:tcW w:w="0" w:type="auto"/>
          </w:tcPr>
          <w:p>
            <w:pPr>
              <w:spacing w:line="240" w:lineRule="auto" w:before="0" w:after="0"/>
              <w:pStyle w:val="Compact"/>
            </w:pPr>
            <w:r>
              <w:rPr>
                <w:sz w:val="20"/>
                <w:szCs w:val="20"/>
              </w:rPr>
              <w:t xml:space="preserve">One if the system had a public first deployment date before censoring, zero otherwise.</w:t>
            </w:r>
          </w:p>
        </w:tc>
      </w:tr>
      <w:tr>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Number of satellites in the public filing or authorization packet.</w:t>
            </w:r>
          </w:p>
        </w:tc>
        <w:tc>
          <w:tcPr>
            <w:tcW w:w="0" w:type="auto"/>
          </w:tcPr>
          <w:p>
            <w:pPr>
              <w:spacing w:line="240" w:lineRule="auto" w:before="0" w:after="0"/>
              <w:pStyle w:val="Compact"/>
            </w:pPr>
            <w:r>
              <w:rPr>
                <w:sz w:val="20"/>
                <w:szCs w:val="20"/>
              </w:rPr>
              <w:t xml:space="preserve">Hand-coded from the cited FCC order, IBFS filing, or source packet.</w:t>
            </w:r>
          </w:p>
        </w:tc>
      </w:tr>
      <w:tr>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Number of peer applications in the relevant public FCC filing environment.</w:t>
            </w:r>
          </w:p>
        </w:tc>
        <w:tc>
          <w:tcPr>
            <w:tcW w:w="0" w:type="auto"/>
          </w:tcPr>
          <w:p>
            <w:pPr>
              <w:spacing w:line="240" w:lineRule="auto" w:before="0" w:after="0"/>
              <w:pStyle w:val="Compact"/>
            </w:pPr>
            <w:r>
              <w:rPr>
                <w:sz w:val="20"/>
                <w:szCs w:val="20"/>
              </w:rPr>
              <w:t xml:space="preserve">Coded from the 2016 NGSO processing round or the relevant public FCC processing record.</w:t>
            </w:r>
          </w:p>
        </w:tc>
      </w:tr>
      <w:tr>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Count of named public contestation or coordination entries recorded in the source packet.</w:t>
            </w:r>
          </w:p>
        </w:tc>
        <w:tc>
          <w:tcPr>
            <w:tcW w:w="0" w:type="auto"/>
          </w:tcPr>
          <w:p>
            <w:pPr>
              <w:spacing w:line="240" w:lineRule="auto" w:before="0" w:after="0"/>
              <w:pStyle w:val="Compact"/>
            </w:pPr>
            <w:r>
              <w:rPr>
                <w:sz w:val="20"/>
                <w:szCs w:val="20"/>
              </w:rPr>
              <w:t xml:space="preserve">Hand-coded from FCC order discussion, docket material, and public source packet notes.</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Unresolved coordination uncertainty proxy.</w:t>
            </w:r>
          </w:p>
        </w:tc>
        <w:tc>
          <w:tcPr>
            <w:tcW w:w="0" w:type="auto"/>
          </w:tcPr>
          <w:p>
            <w:pPr>
              <w:spacing w:line="240" w:lineRule="auto" w:before="0" w:after="0"/>
              <w:pStyle w:val="Compact"/>
            </w:pPr>
            <w:r>
              <w:rPr>
                <w:sz w:val="20"/>
                <w:szCs w:val="20"/>
              </w:rPr>
              <w:t xml:space="preserve">prefiling_peer_count divided by one plus documented_contestation_count.</w:t>
            </w:r>
          </w:p>
        </w:tc>
      </w:tr>
      <w:tr>
        <w:tc>
          <w:tcPr>
            <w:tcW w:w="0" w:type="auto"/>
          </w:tcPr>
          <w:p>
            <w:pPr>
              <w:spacing w:line="240" w:lineRule="auto" w:before="0" w:after="0"/>
              <w:pStyle w:val="Compact"/>
            </w:pPr>
            <w:r>
              <w:rPr>
                <w:sz w:val="20"/>
                <w:szCs w:val="20"/>
              </w:rPr>
              <w:t xml:space="preserve">option_backlog_index</w:t>
            </w:r>
          </w:p>
        </w:tc>
        <w:tc>
          <w:tcPr>
            <w:tcW w:w="0" w:type="auto"/>
          </w:tcPr>
          <w:p>
            <w:pPr>
              <w:spacing w:line="240" w:lineRule="auto" w:before="0" w:after="0"/>
              <w:pStyle w:val="Compact"/>
            </w:pPr>
            <w:r>
              <w:rPr>
                <w:sz w:val="20"/>
                <w:szCs w:val="20"/>
              </w:rPr>
              <w:t xml:space="preserve">Alternative option-value scale proxy.</w:t>
            </w:r>
          </w:p>
        </w:tc>
        <w:tc>
          <w:tcPr>
            <w:tcW w:w="0" w:type="auto"/>
          </w:tcPr>
          <w:p>
            <w:pPr>
              <w:spacing w:line="240" w:lineRule="auto" w:before="0" w:after="0"/>
              <w:pStyle w:val="Compact"/>
            </w:pPr>
            <w:r>
              <w:rPr>
                <w:sz w:val="20"/>
                <w:szCs w:val="20"/>
              </w:rPr>
              <w:t xml:space="preserve">prefiling_peer_count times natural log of proposed_satellites, divided by one plus documented_contestation_count.</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 for the row.</w:t>
            </w:r>
          </w:p>
        </w:tc>
        <w:tc>
          <w:tcPr>
            <w:tcW w:w="0" w:type="auto"/>
          </w:tcPr>
          <w:p>
            <w:pPr>
              <w:spacing w:line="240" w:lineRule="auto" w:before="0" w:after="0"/>
              <w:pStyle w:val="Compact"/>
            </w:pPr>
            <w:r>
              <w:rPr>
                <w:sz w:val="20"/>
                <w:szCs w:val="20"/>
              </w:rPr>
              <w:t xml:space="preserve">FCC order, IBFS or ICFS filing record, launch record, and catalog reconciliation note.</w:t>
            </w:r>
          </w:p>
        </w:tc>
      </w:tr>
    </w:tbl>
    <w:bookmarkEnd w:id="151"/>
    <w:bookmarkEnd w:id="152"/>
    <w:bookmarkStart w:id="160" w:name="X77fbfb8b5645eb368d0224e2a305e73dde8e7f3"/>
    <w:p>
      <w:pPr>
        <w:pStyle w:val="Heading2"/>
        <w:spacing w:line="480" w:lineRule="auto"/>
      </w:pPr>
      <w:r>
        <w:t xml:space="preserve">A.2 Duration Evidence for Orbital Filing Options: Robust OLS on Public FCC Records</w:t>
      </w:r>
    </w:p>
    <w:p>
      <w:pPr>
        <w:pStyle w:val="FirstParagraph"/>
        <w:spacing w:line="480" w:lineRule="auto"/>
      </w:pPr>
      <m:oMathPara>
        <m:oMathParaPr>
          <m:jc m:val="center"/>
        </m:oMathParaPr>
        <m:oMath>
          <m:sSub>
            <m:e>
              <m:r>
                <m:t>T</m:t>
              </m:r>
            </m:e>
            <m:sub>
              <m:r>
                <m:t>i</m:t>
              </m:r>
            </m:sub>
          </m:sSub>
          <m:r>
            <m:rPr>
              <m:sty m:val="p"/>
            </m:rPr>
            <m:t>=</m:t>
          </m:r>
          <m:r>
            <m:t>α</m:t>
          </m:r>
          <m:r>
            <m:rPr>
              <m:sty m:val="p"/>
            </m:rPr>
            <m:t>+</m:t>
          </m:r>
          <m:sSub>
            <m:e>
              <m:r>
                <m:t>β</m:t>
              </m:r>
            </m:e>
            <m:sub>
              <m:r>
                <m:t>1</m:t>
              </m:r>
            </m:sub>
          </m:sSub>
          <m:sSub>
            <m:e>
              <m:r>
                <m:t>U</m:t>
              </m:r>
            </m:e>
            <m:sub>
              <m:r>
                <m:t>i</m:t>
              </m:r>
            </m:sub>
          </m:sSub>
          <m:r>
            <m:rPr>
              <m:sty m:val="p"/>
            </m:rPr>
            <m:t>+</m:t>
          </m:r>
          <m:sSub>
            <m:e>
              <m:r>
                <m:t>ϵ</m:t>
              </m:r>
            </m:e>
            <m:sub>
              <m:r>
                <m:t>i</m:t>
              </m:r>
            </m:sub>
          </m:sSub>
        </m:oMath>
      </m:oMathPara>
    </w:p>
    <w:bookmarkStart w:id="15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6.4661</w:t>
            </w:r>
          </w:p>
        </w:tc>
        <w:tc>
          <w:tcPr>
            <w:tcW w:w="0" w:type="auto"/>
          </w:tcPr>
          <w:p>
            <w:pPr>
              <w:spacing w:line="240" w:lineRule="auto" w:before="0" w:after="0"/>
              <w:pStyle w:val="Compact"/>
            </w:pPr>
            <w:r>
              <w:rPr>
                <w:sz w:val="20"/>
                <w:szCs w:val="20"/>
              </w:rPr>
              <w:t xml:space="preserve">20.4299</w:t>
            </w:r>
          </w:p>
        </w:tc>
        <w:tc>
          <w:tcPr>
            <w:tcW w:w="0" w:type="auto"/>
          </w:tcPr>
          <w:p>
            <w:pPr>
              <w:spacing w:line="240" w:lineRule="auto" w:before="0" w:after="0"/>
              <w:pStyle w:val="Compact"/>
            </w:pPr>
            <w:r>
              <w:rPr>
                <w:sz w:val="20"/>
                <w:szCs w:val="20"/>
              </w:rPr>
              <w:t xml:space="preserve">0.3165</w:t>
            </w:r>
          </w:p>
        </w:tc>
        <w:tc>
          <w:tcPr>
            <w:tcW w:w="0" w:type="auto"/>
          </w:tcPr>
          <w:p>
            <w:pPr>
              <w:spacing w:line="240" w:lineRule="auto" w:before="0" w:after="0"/>
              <w:pStyle w:val="Compact"/>
            </w:pPr>
            <w:r>
              <w:rPr>
                <w:sz w:val="20"/>
                <w:szCs w:val="20"/>
              </w:rPr>
              <w:t xml:space="preserve">0.7516</w:t>
            </w:r>
          </w:p>
        </w:tc>
        <w:tc>
          <w:tcPr>
            <w:tcW w:w="0" w:type="auto"/>
          </w:tcPr>
          <w:p>
            <w:pPr>
              <w:spacing w:line="240" w:lineRule="auto" w:before="0" w:after="0"/>
              <w:pStyle w:val="Compact"/>
            </w:pPr>
            <w:r>
              <w:rPr>
                <w:sz w:val="20"/>
                <w:szCs w:val="20"/>
              </w:rPr>
              <w:t xml:space="preserve">[-33.5757, 46.508]</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17.8702</w:t>
            </w:r>
          </w:p>
        </w:tc>
        <w:tc>
          <w:tcPr>
            <w:tcW w:w="0" w:type="auto"/>
          </w:tcPr>
          <w:p>
            <w:pPr>
              <w:spacing w:line="240" w:lineRule="auto" w:before="0" w:after="0"/>
              <w:pStyle w:val="Compact"/>
            </w:pPr>
            <w:r>
              <w:rPr>
                <w:sz w:val="20"/>
                <w:szCs w:val="20"/>
              </w:rPr>
              <w:t xml:space="preserve">4.6169</w:t>
            </w:r>
          </w:p>
        </w:tc>
        <w:tc>
          <w:tcPr>
            <w:tcW w:w="0" w:type="auto"/>
          </w:tcPr>
          <w:p>
            <w:pPr>
              <w:spacing w:line="240" w:lineRule="auto" w:before="0" w:after="0"/>
              <w:pStyle w:val="Compact"/>
            </w:pPr>
            <w:r>
              <w:rPr>
                <w:sz w:val="20"/>
                <w:szCs w:val="20"/>
              </w:rPr>
              <w:t xml:space="preserve">3.8706</w:t>
            </w:r>
          </w:p>
        </w:tc>
        <w:tc>
          <w:tcPr>
            <w:tcW w:w="0" w:type="auto"/>
          </w:tcPr>
          <w:p>
            <w:pPr>
              <w:spacing w:line="240" w:lineRule="auto" w:before="0" w:after="0"/>
              <w:pStyle w:val="Compact"/>
            </w:pPr>
            <w:r>
              <w:rPr>
                <w:sz w:val="20"/>
                <w:szCs w:val="20"/>
              </w:rPr>
              <w:t xml:space="preserve">0.0001086</w:t>
            </w:r>
          </w:p>
        </w:tc>
        <w:tc>
          <w:tcPr>
            <w:tcW w:w="0" w:type="auto"/>
          </w:tcPr>
          <w:p>
            <w:pPr>
              <w:spacing w:line="240" w:lineRule="auto" w:before="0" w:after="0"/>
              <w:pStyle w:val="Compact"/>
            </w:pPr>
            <w:r>
              <w:rPr>
                <w:sz w:val="20"/>
                <w:szCs w:val="20"/>
              </w:rPr>
              <w:t xml:space="preserve">[8.8212, 26.9191]</w:t>
            </w:r>
          </w:p>
        </w:tc>
      </w:tr>
    </w:tbl>
    <w:p>
      <w:pPr>
        <w:pStyle w:val="BodyText"/>
        <w:spacing w:line="480" w:lineRule="auto"/>
        <w:ind w:firstLine="720"/>
      </w:pPr>
      <w:r>
        <w:t xml:space="preserve">Fit: N = 10 R2 = 0.6523 R2_adj = 0.6089 F = 14.9814 F_p = 0.0047</w:t>
      </w:r>
    </w:p>
    <w:bookmarkEnd w:id="153"/>
    <w:bookmarkStart w:id="15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inear duration association for FCC filing rights in the curated public-record panel." title="" id="155" name="Picture"/>
            <a:graphic>
              <a:graphicData uri="http://schemas.openxmlformats.org/drawingml/2006/picture">
                <pic:pic>
                  <pic:nvPicPr>
                    <pic:cNvPr descr="D:/Claude_Code/brain/collegium/candidates/dissertations/SPACE_ECON_04/research_papers/p2/paper_fig1.png" id="156" name="Picture"/>
                    <pic:cNvPicPr>
                      <a:picLocks noChangeArrowheads="1" noChangeAspect="1"/>
                    </pic:cNvPicPr>
                  </pic:nvPicPr>
                  <pic:blipFill>
                    <a:blip r:embed="rId15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Linear duration association for FCC filing rights in the curated public-record panel.</w:t>
      </w:r>
    </w:p>
    <w:bookmarkEnd w:id="157"/>
    <w:bookmarkStart w:id="15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applicant</w:t>
            </w:r>
          </w:p>
        </w:tc>
        <w:tc>
          <w:tcPr>
            <w:tcW w:w="0" w:type="auto"/>
          </w:tcPr>
          <w:p>
            <w:pPr>
              <w:spacing w:line="240" w:lineRule="auto" w:before="0" w:after="0"/>
              <w:pStyle w:val="Compact"/>
            </w:pPr>
            <w:r>
              <w:rPr>
                <w:sz w:val="20"/>
                <w:szCs w:val="20"/>
              </w:rPr>
              <w:t xml:space="preserve">fcc_record</w:t>
            </w:r>
          </w:p>
        </w:tc>
        <w:tc>
          <w:tcPr>
            <w:tcW w:w="0" w:type="auto"/>
          </w:tcPr>
          <w:p>
            <w:pPr>
              <w:spacing w:line="240" w:lineRule="auto" w:before="0" w:after="0"/>
              <w:pStyle w:val="Compact"/>
            </w:pPr>
            <w:r>
              <w:rPr>
                <w:sz w:val="20"/>
                <w:szCs w:val="20"/>
              </w:rPr>
              <w:t xml:space="preserve">clock_start_date</w:t>
            </w:r>
          </w:p>
        </w:tc>
        <w:tc>
          <w:tcPr>
            <w:tcW w:w="0" w:type="auto"/>
          </w:tcPr>
          <w:p>
            <w:pPr>
              <w:spacing w:line="240" w:lineRule="auto" w:before="0" w:after="0"/>
              <w:pStyle w:val="Compact"/>
            </w:pPr>
            <w:r>
              <w:rPr>
                <w:sz w:val="20"/>
                <w:szCs w:val="20"/>
              </w:rPr>
              <w:t xml:space="preserve">first_deployment_date</w:t>
            </w:r>
          </w:p>
        </w:tc>
        <w:tc>
          <w:tcPr>
            <w:tcW w:w="0" w:type="auto"/>
          </w:tcPr>
          <w:p>
            <w:pPr>
              <w:spacing w:line="240" w:lineRule="auto" w:before="0" w:after="0"/>
              <w:pStyle w:val="Compact"/>
            </w:pPr>
            <w:r>
              <w:rPr>
                <w:sz w:val="20"/>
                <w:szCs w:val="20"/>
              </w:rPr>
              <w:t xml:space="preserve">censor_date</w:t>
            </w:r>
          </w:p>
        </w:tc>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deployed_within_36_months</w:t>
            </w:r>
          </w:p>
        </w:tc>
        <w:tc>
          <w:tcPr>
            <w:tcW w:w="0" w:type="auto"/>
          </w:tcPr>
          <w:p>
            <w:pPr>
              <w:spacing w:line="240" w:lineRule="auto" w:before="0" w:after="0"/>
              <w:pStyle w:val="Compact"/>
            </w:pPr>
            <w:r>
              <w:rPr>
                <w:sz w:val="20"/>
                <w:szCs w:val="20"/>
              </w:rPr>
              <w:t xml:space="preserve">ln_proposed_satellites</w:t>
            </w:r>
          </w:p>
        </w:tc>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option_backlog_index</w:t>
            </w:r>
          </w:p>
        </w:tc>
      </w:tr>
      <w:tr>
        <w:tc>
          <w:tcPr>
            <w:tcW w:w="0" w:type="auto"/>
          </w:tcPr>
          <w:p>
            <w:pPr>
              <w:spacing w:line="240" w:lineRule="auto" w:before="0" w:after="0"/>
              <w:pStyle w:val="Compact"/>
            </w:pPr>
            <w:r>
              <w:rPr>
                <w:sz w:val="20"/>
                <w:szCs w:val="20"/>
              </w:rPr>
              <w:t xml:space="preserve">obs01</w:t>
            </w:r>
          </w:p>
        </w:tc>
        <w:tc>
          <w:tcPr>
            <w:tcW w:w="0" w:type="auto"/>
          </w:tcPr>
          <w:p>
            <w:pPr>
              <w:spacing w:line="240" w:lineRule="auto" w:before="0" w:after="0"/>
              <w:pStyle w:val="Compact"/>
            </w:pPr>
            <w:r>
              <w:rPr>
                <w:sz w:val="20"/>
                <w:szCs w:val="20"/>
              </w:rPr>
              <w:t xml:space="preserve">OneWeb Gen1</w:t>
            </w:r>
          </w:p>
        </w:tc>
        <w:tc>
          <w:tcPr>
            <w:tcW w:w="0" w:type="auto"/>
          </w:tcPr>
          <w:p>
            <w:pPr>
              <w:spacing w:line="240" w:lineRule="auto" w:before="0" w:after="0"/>
              <w:pStyle w:val="Compact"/>
            </w:pPr>
            <w:r>
              <w:rPr>
                <w:sz w:val="20"/>
                <w:szCs w:val="20"/>
              </w:rPr>
              <w:t xml:space="preserve">WorldVu Satellites Limited, OneWeb</w:t>
            </w:r>
          </w:p>
        </w:tc>
        <w:tc>
          <w:tcPr>
            <w:tcW w:w="0" w:type="auto"/>
          </w:tcPr>
          <w:p>
            <w:pPr>
              <w:spacing w:line="240" w:lineRule="auto" w:before="0" w:after="0"/>
              <w:pStyle w:val="Compact"/>
            </w:pPr>
            <w:r>
              <w:rPr>
                <w:sz w:val="20"/>
                <w:szCs w:val="20"/>
              </w:rPr>
              <w:t xml:space="preserve">FCC-17-77</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2019-02-27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OneWeb Order and Declaratory Ruling, FCC-17-77; public launch record for first six OneWeb satellites, 2019-02-27; FCC 2016 NGSO processing round public record</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1.5714</w:t>
            </w:r>
          </w:p>
        </w:tc>
        <w:tc>
          <w:tcPr>
            <w:tcW w:w="0" w:type="auto"/>
          </w:tcPr>
          <w:p>
            <w:pPr>
              <w:spacing w:line="240" w:lineRule="auto" w:before="0" w:after="0"/>
              <w:pStyle w:val="Compact"/>
            </w:pPr>
            <w:r>
              <w:rPr>
                <w:sz w:val="20"/>
                <w:szCs w:val="20"/>
              </w:rPr>
              <w:t xml:space="preserve">10.3388</w:t>
            </w:r>
          </w:p>
        </w:tc>
      </w:tr>
      <w:tr>
        <w:tc>
          <w:tcPr>
            <w:tcW w:w="0" w:type="auto"/>
          </w:tcPr>
          <w:p>
            <w:pPr>
              <w:spacing w:line="240" w:lineRule="auto" w:before="0" w:after="0"/>
              <w:pStyle w:val="Compact"/>
            </w:pPr>
            <w:r>
              <w:rPr>
                <w:sz w:val="20"/>
                <w:szCs w:val="20"/>
              </w:rPr>
              <w:t xml:space="preserve">obs02</w:t>
            </w:r>
          </w:p>
        </w:tc>
        <w:tc>
          <w:tcPr>
            <w:tcW w:w="0" w:type="auto"/>
          </w:tcPr>
          <w:p>
            <w:pPr>
              <w:spacing w:line="240" w:lineRule="auto" w:before="0" w:after="0"/>
              <w:pStyle w:val="Compact"/>
            </w:pPr>
            <w:r>
              <w:rPr>
                <w:sz w:val="20"/>
                <w:szCs w:val="20"/>
              </w:rPr>
              <w:t xml:space="preserve">Telesat LEO Phase 1</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FCC-17-147</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2018-01-12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Telesat Canada Order and Declaratory Ruling, FCC-17-147; public launch record for Telesat Phase 1 LEO satellite, 2018-01-12; FCC 2016 NGSO processing round public record</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1.8333</w:t>
            </w:r>
          </w:p>
        </w:tc>
        <w:tc>
          <w:tcPr>
            <w:tcW w:w="0" w:type="auto"/>
          </w:tcPr>
          <w:p>
            <w:pPr>
              <w:spacing w:line="240" w:lineRule="auto" w:before="0" w:after="0"/>
              <w:pStyle w:val="Compact"/>
            </w:pPr>
            <w:r>
              <w:rPr>
                <w:sz w:val="20"/>
                <w:szCs w:val="20"/>
              </w:rPr>
              <w:t xml:space="preserve">8.7307</w:t>
            </w:r>
          </w:p>
        </w:tc>
      </w:tr>
      <w:tr>
        <w:tc>
          <w:tcPr>
            <w:tcW w:w="0" w:type="auto"/>
          </w:tcPr>
          <w:p>
            <w:pPr>
              <w:spacing w:line="240" w:lineRule="auto" w:before="0" w:after="0"/>
              <w:pStyle w:val="Compact"/>
            </w:pPr>
            <w:r>
              <w:rPr>
                <w:sz w:val="20"/>
                <w:szCs w:val="20"/>
              </w:rPr>
              <w:t xml:space="preserve">obs03</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Space Exploration Holdings, SpaceX</w:t>
            </w:r>
          </w:p>
        </w:tc>
        <w:tc>
          <w:tcPr>
            <w:tcW w:w="0" w:type="auto"/>
          </w:tcPr>
          <w:p>
            <w:pPr>
              <w:spacing w:line="240" w:lineRule="auto" w:before="0" w:after="0"/>
              <w:pStyle w:val="Compact"/>
            </w:pPr>
            <w:r>
              <w:rPr>
                <w:sz w:val="20"/>
                <w:szCs w:val="20"/>
              </w:rPr>
              <w:t xml:space="preserve">FCC-18-38</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2019-05-24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SpaceX Order and Authorization, FCC-18-38; public launch record for first operational Starlink deployment, 2019-05-24; FCC 2016 NGSO processing round public record</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8.395</w:t>
            </w:r>
          </w:p>
        </w:tc>
        <w:tc>
          <w:tcPr>
            <w:tcW w:w="0" w:type="auto"/>
          </w:tcPr>
          <w:p>
            <w:pPr>
              <w:spacing w:line="240" w:lineRule="auto" w:before="0" w:after="0"/>
              <w:pStyle w:val="Compact"/>
            </w:pPr>
            <w:r>
              <w:rPr>
                <w:sz w:val="20"/>
                <w:szCs w:val="20"/>
              </w:rPr>
              <w:t xml:space="preserve">1.375</w:t>
            </w:r>
          </w:p>
        </w:tc>
        <w:tc>
          <w:tcPr>
            <w:tcW w:w="0" w:type="auto"/>
          </w:tcPr>
          <w:p>
            <w:pPr>
              <w:spacing w:line="240" w:lineRule="auto" w:before="0" w:after="0"/>
              <w:pStyle w:val="Compact"/>
            </w:pPr>
            <w:r>
              <w:rPr>
                <w:sz w:val="20"/>
                <w:szCs w:val="20"/>
              </w:rPr>
              <w:t xml:space="preserve">11.5432</w:t>
            </w:r>
          </w:p>
        </w:tc>
      </w:tr>
      <w:tr>
        <w:tc>
          <w:tcPr>
            <w:tcW w:w="0" w:type="auto"/>
          </w:tcPr>
          <w:p>
            <w:pPr>
              <w:spacing w:line="240" w:lineRule="auto" w:before="0" w:after="0"/>
              <w:pStyle w:val="Compact"/>
            </w:pPr>
            <w:r>
              <w:rPr>
                <w:sz w:val="20"/>
                <w:szCs w:val="20"/>
              </w:rPr>
              <w:t xml:space="preserve">obs04</w:t>
            </w:r>
          </w:p>
        </w:tc>
        <w:tc>
          <w:tcPr>
            <w:tcW w:w="0" w:type="auto"/>
          </w:tcPr>
          <w:p>
            <w:pPr>
              <w:spacing w:line="240" w:lineRule="auto" w:before="0" w:after="0"/>
              <w:pStyle w:val="Compact"/>
            </w:pPr>
            <w:r>
              <w:rPr>
                <w:sz w:val="20"/>
                <w:szCs w:val="20"/>
              </w:rPr>
              <w:t xml:space="preserve">Space Norway ASBM</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FCC-17-146</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2024-08-11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NGSO HEO</w:t>
            </w:r>
          </w:p>
        </w:tc>
        <w:tc>
          <w:tcPr>
            <w:tcW w:w="0" w:type="auto"/>
          </w:tcPr>
          <w:p>
            <w:pPr>
              <w:spacing w:line="240" w:lineRule="auto" w:before="0" w:after="0"/>
              <w:pStyle w:val="Compact"/>
            </w:pPr>
            <w:r>
              <w:rPr>
                <w:sz w:val="20"/>
                <w:szCs w:val="20"/>
              </w:rPr>
              <w:t xml:space="preserve">FCC Space Norway Order and Declaratory Ruling, FCC-17-146; public launch record for Arctic Satellite Broadband Mission, 2024-08-11; FCC 2016 NGSO processing round public record</w:t>
            </w:r>
          </w:p>
        </w:tc>
        <w:tc>
          <w:tcPr>
            <w:tcW w:w="0" w:type="auto"/>
          </w:tcPr>
          <w:p>
            <w:pPr>
              <w:spacing w:line="240" w:lineRule="auto" w:before="0" w:after="0"/>
              <w:pStyle w:val="Compact"/>
            </w:pPr>
            <w:r>
              <w:rPr>
                <w:sz w:val="20"/>
                <w:szCs w:val="20"/>
              </w:rPr>
              <w:t xml:space="preserve">81.3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3.6667</w:t>
            </w:r>
          </w:p>
        </w:tc>
        <w:tc>
          <w:tcPr>
            <w:tcW w:w="0" w:type="auto"/>
          </w:tcPr>
          <w:p>
            <w:pPr>
              <w:spacing w:line="240" w:lineRule="auto" w:before="0" w:after="0"/>
              <w:pStyle w:val="Compact"/>
            </w:pPr>
            <w:r>
              <w:rPr>
                <w:sz w:val="20"/>
                <w:szCs w:val="20"/>
              </w:rPr>
              <w:t xml:space="preserve">2.5415</w:t>
            </w:r>
          </w:p>
        </w:tc>
      </w:tr>
      <w:tr>
        <w:tc>
          <w:tcPr>
            <w:tcW w:w="0" w:type="auto"/>
          </w:tcPr>
          <w:p>
            <w:pPr>
              <w:spacing w:line="240" w:lineRule="auto" w:before="0" w:after="0"/>
              <w:pStyle w:val="Compact"/>
            </w:pPr>
            <w:r>
              <w:rPr>
                <w:sz w:val="20"/>
                <w:szCs w:val="20"/>
              </w:rPr>
              <w:t xml:space="preserve">obs05</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Kuiper Systems LLC</w:t>
            </w:r>
          </w:p>
        </w:tc>
        <w:tc>
          <w:tcPr>
            <w:tcW w:w="0" w:type="auto"/>
          </w:tcPr>
          <w:p>
            <w:pPr>
              <w:spacing w:line="240" w:lineRule="auto" w:before="0" w:after="0"/>
              <w:pStyle w:val="Compact"/>
            </w:pPr>
            <w:r>
              <w:rPr>
                <w:sz w:val="20"/>
                <w:szCs w:val="20"/>
              </w:rPr>
              <w:t xml:space="preserve">FCC-20-102</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2023-10-06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Kuiper Systems Order and Authorization, FCC-20-102; Amazon Project Kuiper Protoflight launch record, 2023-10-06; FCC Kuiper processing-round public record</w:t>
            </w:r>
          </w:p>
        </w:tc>
        <w:tc>
          <w:tcPr>
            <w:tcW w:w="0" w:type="auto"/>
          </w:tcPr>
          <w:p>
            <w:pPr>
              <w:spacing w:line="240" w:lineRule="auto" w:before="0" w:after="0"/>
              <w:pStyle w:val="Compact"/>
            </w:pPr>
            <w:r>
              <w:rPr>
                <w:sz w:val="20"/>
                <w:szCs w:val="20"/>
              </w:rPr>
              <w:t xml:space="preserve">38.2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8.0821</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6.2861</w:t>
            </w:r>
          </w:p>
        </w:tc>
      </w:tr>
      <w:tr>
        <w:tc>
          <w:tcPr>
            <w:tcW w:w="0" w:type="auto"/>
          </w:tcPr>
          <w:p>
            <w:pPr>
              <w:spacing w:line="240" w:lineRule="auto" w:before="0" w:after="0"/>
              <w:pStyle w:val="Compact"/>
            </w:pPr>
            <w:r>
              <w:rPr>
                <w:sz w:val="20"/>
                <w:szCs w:val="20"/>
              </w:rPr>
              <w:t xml:space="preserve">obs06</w:t>
            </w:r>
          </w:p>
        </w:tc>
        <w:tc>
          <w:tcPr>
            <w:tcW w:w="0" w:type="auto"/>
          </w:tcPr>
          <w:p>
            <w:pPr>
              <w:spacing w:line="240" w:lineRule="auto" w:before="0" w:after="0"/>
              <w:pStyle w:val="Compact"/>
            </w:pPr>
            <w:r>
              <w:rPr>
                <w:sz w:val="20"/>
                <w:szCs w:val="20"/>
              </w:rPr>
              <w:t xml:space="preserve">Boeing V-band NGSO</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FCC-21-115</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NGSO LEO and VLEO</w:t>
            </w:r>
          </w:p>
        </w:tc>
        <w:tc>
          <w:tcPr>
            <w:tcW w:w="0" w:type="auto"/>
          </w:tcPr>
          <w:p>
            <w:pPr>
              <w:spacing w:line="240" w:lineRule="auto" w:before="0" w:after="0"/>
              <w:pStyle w:val="Compact"/>
            </w:pPr>
            <w:r>
              <w:rPr>
                <w:sz w:val="20"/>
                <w:szCs w:val="20"/>
              </w:rPr>
              <w:t xml:space="preserve">FCC Boeing V-band Order and Authorization, FCC-21-115; public catalog reconciliation through 2026-06-28 with no matching Boeing V-band deployment</w:t>
            </w:r>
          </w:p>
        </w:tc>
        <w:tc>
          <w:tcPr>
            <w:tcW w:w="0" w:type="auto"/>
          </w:tcPr>
          <w:p>
            <w:pPr>
              <w:spacing w:line="240" w:lineRule="auto" w:before="0" w:after="0"/>
              <w:pStyle w:val="Compact"/>
            </w:pPr>
            <w:r>
              <w:rPr>
                <w:sz w:val="20"/>
                <w:szCs w:val="20"/>
              </w:rPr>
              <w:t xml:space="preserve">55.8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obs07</w:t>
            </w:r>
          </w:p>
        </w:tc>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LeoSat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4.6821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25.7517</w:t>
            </w:r>
          </w:p>
        </w:tc>
      </w:tr>
      <w:tr>
        <w:tc>
          <w:tcPr>
            <w:tcW w:w="0" w:type="auto"/>
          </w:tcPr>
          <w:p>
            <w:pPr>
              <w:spacing w:line="240" w:lineRule="auto" w:before="0" w:after="0"/>
              <w:pStyle w:val="Compact"/>
            </w:pPr>
            <w:r>
              <w:rPr>
                <w:sz w:val="20"/>
                <w:szCs w:val="20"/>
              </w:rPr>
              <w:t xml:space="preserve">obs08</w:t>
            </w:r>
          </w:p>
        </w:tc>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Corporation</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Audacy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6.0424</w:t>
            </w:r>
          </w:p>
        </w:tc>
      </w:tr>
      <w:tr>
        <w:tc>
          <w:tcPr>
            <w:tcW w:w="0" w:type="auto"/>
          </w:tcPr>
          <w:p>
            <w:pPr>
              <w:spacing w:line="240" w:lineRule="auto" w:before="0" w:after="0"/>
              <w:pStyle w:val="Compact"/>
            </w:pPr>
            <w:r>
              <w:rPr>
                <w:sz w:val="20"/>
                <w:szCs w:val="20"/>
              </w:rPr>
              <w:t xml:space="preserve">obs09</w:t>
            </w:r>
          </w:p>
        </w:tc>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Holdings 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Theia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25.9517</w:t>
            </w:r>
          </w:p>
        </w:tc>
      </w:tr>
      <w:tr>
        <w:tc>
          <w:tcPr>
            <w:tcW w:w="0" w:type="auto"/>
          </w:tcPr>
          <w:p>
            <w:pPr>
              <w:spacing w:line="240" w:lineRule="auto" w:before="0" w:after="0"/>
              <w:pStyle w:val="Compact"/>
            </w:pPr>
            <w:r>
              <w:rPr>
                <w:sz w:val="20"/>
                <w:szCs w:val="20"/>
              </w:rPr>
              <w:t xml:space="preserve">obs10</w:t>
            </w:r>
          </w:p>
        </w:tc>
        <w:tc>
          <w:tcPr>
            <w:tcW w:w="0" w:type="auto"/>
          </w:tcPr>
          <w:p>
            <w:pPr>
              <w:spacing w:line="240" w:lineRule="auto" w:before="0" w:after="0"/>
              <w:pStyle w:val="Compact"/>
            </w:pPr>
            <w:r>
              <w:rPr>
                <w:sz w:val="20"/>
                <w:szCs w:val="20"/>
              </w:rPr>
              <w:t xml:space="preserve">O3b add-on</w:t>
            </w:r>
          </w:p>
        </w:tc>
        <w:tc>
          <w:tcPr>
            <w:tcW w:w="0" w:type="auto"/>
          </w:tcPr>
          <w:p>
            <w:pPr>
              <w:spacing w:line="240" w:lineRule="auto" w:before="0" w:after="0"/>
              <w:pStyle w:val="Compact"/>
            </w:pPr>
            <w:r>
              <w:rPr>
                <w:sz w:val="20"/>
                <w:szCs w:val="20"/>
              </w:rPr>
              <w:t xml:space="preserve">O3b Limited</w:t>
            </w:r>
          </w:p>
        </w:tc>
        <w:tc>
          <w:tcPr>
            <w:tcW w:w="0" w:type="auto"/>
          </w:tcPr>
          <w:p>
            <w:pPr>
              <w:spacing w:line="240" w:lineRule="auto" w:before="0" w:after="0"/>
              <w:pStyle w:val="Compact"/>
            </w:pPr>
            <w:r>
              <w:rPr>
                <w:sz w:val="20"/>
                <w:szCs w:val="20"/>
              </w:rPr>
              <w:t xml:space="preserve">IBFS SAT-MOD-20160624-00060 and SAT-AMD-20161115-00116</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2018-03-09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O3b modification and amendment records, 2016; public launch record for O3b additional satellites, 2018-03-09; FCC 2016 NGSO processing round public record</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3.8123</w:t>
            </w:r>
          </w:p>
        </w:tc>
      </w:tr>
    </w:tbl>
    <w:bookmarkEnd w:id="158"/>
    <w:bookmarkStart w:id="15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public FCC clock date to first deployment or censoring.</w:t>
            </w:r>
          </w:p>
        </w:tc>
        <w:tc>
          <w:tcPr>
            <w:tcW w:w="0" w:type="auto"/>
          </w:tcPr>
          <w:p>
            <w:pPr>
              <w:spacing w:line="240" w:lineRule="auto" w:before="0" w:after="0"/>
              <w:pStyle w:val="Compact"/>
            </w:pPr>
            <w:r>
              <w:rPr>
                <w:sz w:val="20"/>
                <w:szCs w:val="20"/>
              </w:rPr>
              <w:t xml:space="preserve">Computed as days divided by 30.4375 using the clock_start_date and either first_deployment_date or 2026-06-28 censor date.</w:t>
            </w:r>
          </w:p>
        </w:tc>
      </w:tr>
      <w:tr>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Binary deployment indicator.</w:t>
            </w:r>
          </w:p>
        </w:tc>
        <w:tc>
          <w:tcPr>
            <w:tcW w:w="0" w:type="auto"/>
          </w:tcPr>
          <w:p>
            <w:pPr>
              <w:spacing w:line="240" w:lineRule="auto" w:before="0" w:after="0"/>
              <w:pStyle w:val="Compact"/>
            </w:pPr>
            <w:r>
              <w:rPr>
                <w:sz w:val="20"/>
                <w:szCs w:val="20"/>
              </w:rPr>
              <w:t xml:space="preserve">One if the system had a public first deployment date before censoring, zero otherwise.</w:t>
            </w:r>
          </w:p>
        </w:tc>
      </w:tr>
      <w:tr>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Number of satellites in the public filing or authorization packet.</w:t>
            </w:r>
          </w:p>
        </w:tc>
        <w:tc>
          <w:tcPr>
            <w:tcW w:w="0" w:type="auto"/>
          </w:tcPr>
          <w:p>
            <w:pPr>
              <w:spacing w:line="240" w:lineRule="auto" w:before="0" w:after="0"/>
              <w:pStyle w:val="Compact"/>
            </w:pPr>
            <w:r>
              <w:rPr>
                <w:sz w:val="20"/>
                <w:szCs w:val="20"/>
              </w:rPr>
              <w:t xml:space="preserve">Hand-coded from the cited FCC order, IBFS filing, or source packet.</w:t>
            </w:r>
          </w:p>
        </w:tc>
      </w:tr>
      <w:tr>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Number of peer applications in the relevant public FCC filing environment.</w:t>
            </w:r>
          </w:p>
        </w:tc>
        <w:tc>
          <w:tcPr>
            <w:tcW w:w="0" w:type="auto"/>
          </w:tcPr>
          <w:p>
            <w:pPr>
              <w:spacing w:line="240" w:lineRule="auto" w:before="0" w:after="0"/>
              <w:pStyle w:val="Compact"/>
            </w:pPr>
            <w:r>
              <w:rPr>
                <w:sz w:val="20"/>
                <w:szCs w:val="20"/>
              </w:rPr>
              <w:t xml:space="preserve">Coded from the 2016 NGSO processing round or the relevant public FCC processing record.</w:t>
            </w:r>
          </w:p>
        </w:tc>
      </w:tr>
      <w:tr>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Count of named public contestation or coordination entries recorded in the source packet.</w:t>
            </w:r>
          </w:p>
        </w:tc>
        <w:tc>
          <w:tcPr>
            <w:tcW w:w="0" w:type="auto"/>
          </w:tcPr>
          <w:p>
            <w:pPr>
              <w:spacing w:line="240" w:lineRule="auto" w:before="0" w:after="0"/>
              <w:pStyle w:val="Compact"/>
            </w:pPr>
            <w:r>
              <w:rPr>
                <w:sz w:val="20"/>
                <w:szCs w:val="20"/>
              </w:rPr>
              <w:t xml:space="preserve">Hand-coded from FCC order discussion, docket material, and public source packet notes.</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Unresolved coordination uncertainty proxy.</w:t>
            </w:r>
          </w:p>
        </w:tc>
        <w:tc>
          <w:tcPr>
            <w:tcW w:w="0" w:type="auto"/>
          </w:tcPr>
          <w:p>
            <w:pPr>
              <w:spacing w:line="240" w:lineRule="auto" w:before="0" w:after="0"/>
              <w:pStyle w:val="Compact"/>
            </w:pPr>
            <w:r>
              <w:rPr>
                <w:sz w:val="20"/>
                <w:szCs w:val="20"/>
              </w:rPr>
              <w:t xml:space="preserve">prefiling_peer_count divided by one plus documented_contestation_count.</w:t>
            </w:r>
          </w:p>
        </w:tc>
      </w:tr>
      <w:tr>
        <w:tc>
          <w:tcPr>
            <w:tcW w:w="0" w:type="auto"/>
          </w:tcPr>
          <w:p>
            <w:pPr>
              <w:spacing w:line="240" w:lineRule="auto" w:before="0" w:after="0"/>
              <w:pStyle w:val="Compact"/>
            </w:pPr>
            <w:r>
              <w:rPr>
                <w:sz w:val="20"/>
                <w:szCs w:val="20"/>
              </w:rPr>
              <w:t xml:space="preserve">option_backlog_index</w:t>
            </w:r>
          </w:p>
        </w:tc>
        <w:tc>
          <w:tcPr>
            <w:tcW w:w="0" w:type="auto"/>
          </w:tcPr>
          <w:p>
            <w:pPr>
              <w:spacing w:line="240" w:lineRule="auto" w:before="0" w:after="0"/>
              <w:pStyle w:val="Compact"/>
            </w:pPr>
            <w:r>
              <w:rPr>
                <w:sz w:val="20"/>
                <w:szCs w:val="20"/>
              </w:rPr>
              <w:t xml:space="preserve">Alternative option-value scale proxy.</w:t>
            </w:r>
          </w:p>
        </w:tc>
        <w:tc>
          <w:tcPr>
            <w:tcW w:w="0" w:type="auto"/>
          </w:tcPr>
          <w:p>
            <w:pPr>
              <w:spacing w:line="240" w:lineRule="auto" w:before="0" w:after="0"/>
              <w:pStyle w:val="Compact"/>
            </w:pPr>
            <w:r>
              <w:rPr>
                <w:sz w:val="20"/>
                <w:szCs w:val="20"/>
              </w:rPr>
              <w:t xml:space="preserve">prefiling_peer_count times natural log of proposed_satellites, divided by one plus documented_contestation_count.</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 for the row.</w:t>
            </w:r>
          </w:p>
        </w:tc>
        <w:tc>
          <w:tcPr>
            <w:tcW w:w="0" w:type="auto"/>
          </w:tcPr>
          <w:p>
            <w:pPr>
              <w:spacing w:line="240" w:lineRule="auto" w:before="0" w:after="0"/>
              <w:pStyle w:val="Compact"/>
            </w:pPr>
            <w:r>
              <w:rPr>
                <w:sz w:val="20"/>
                <w:szCs w:val="20"/>
              </w:rPr>
              <w:t xml:space="preserve">FCC order, IBFS or ICFS filing record, launch record, and catalog reconciliation note.</w:t>
            </w:r>
          </w:p>
        </w:tc>
      </w:tr>
    </w:tbl>
    <w:bookmarkEnd w:id="159"/>
    <w:bookmarkEnd w:id="160"/>
    <w:bookmarkEnd w:id="16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46" Type="http://schemas.openxmlformats.org/officeDocument/2006/relationships/image" Target="media/rId146.png"/><Relationship Id="rId154" Type="http://schemas.openxmlformats.org/officeDocument/2006/relationships/image" Target="media/rId154.png"/><Relationship Id="rId123" Type="http://schemas.openxmlformats.org/officeDocument/2006/relationships/hyperlink" Target="https://doi.org/10.1016/j.actaastro.2022.05.022" TargetMode="External"/><Relationship Id="rId125" Type="http://schemas.openxmlformats.org/officeDocument/2006/relationships/hyperlink" Target="https://doi.org/10.1016/j.actaastro.2025.01.043" TargetMode="External"/><Relationship Id="rId116" Type="http://schemas.openxmlformats.org/officeDocument/2006/relationships/hyperlink" Target="https://doi.org/10.64861/DYBG6563" TargetMode="External"/><Relationship Id="rId119" Type="http://schemas.openxmlformats.org/officeDocument/2006/relationships/hyperlink" Target="https://doi.org/10.64861/WFHJ7307" TargetMode="External"/></Relationships>
</file>

<file path=word/_rels/footnotes.xml.rels><?xml version='1.0' encoding='UTF-8' standalone='yes'?>
<Relationships xmlns="http://schemas.openxmlformats.org/package/2006/relationships"><Relationship Id="rId123" Type="http://schemas.openxmlformats.org/officeDocument/2006/relationships/hyperlink" Target="https://doi.org/10.1016/j.actaastro.2022.05.022" TargetMode="External"/><Relationship Id="rId125" Type="http://schemas.openxmlformats.org/officeDocument/2006/relationships/hyperlink" Target="https://doi.org/10.1016/j.actaastro.2025.01.043" TargetMode="External"/><Relationship Id="rId116" Type="http://schemas.openxmlformats.org/officeDocument/2006/relationships/hyperlink" Target="https://doi.org/10.64861/DYBG6563" TargetMode="External"/><Relationship Id="rId119" Type="http://schemas.openxmlformats.org/officeDocument/2006/relationships/hyperlink" Target="https://doi.org/10.64861/WFHJ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Real-Options Value of Orbital Slots: is the FCC spectrum/orbital filing a deferr</dc:title>
  <dc:creator>Tomas Bell (1B-ECO-155)</dc:creator>
  <cp:keywords/>
  <dcterms:created xsi:type="dcterms:W3CDTF">2026-07-02T22:46:52Z</dcterms:created>
  <dcterms:modified xsi:type="dcterms:W3CDTF">2026-07-02T22:46:52Z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