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ANCHOR-TENANT MULTIPLIER: DO GOVERNMENT PURCHASE COMMITMENTS CROWD IN OR CROWD OUT PRIVATE INVESTMENT IN THE COMMERCIAL SPACE ECONOMY</w:t>
      </w:r>
    </w:p>
    <w:p>
      <w:pPr>
        <w:jc w:val="center"/>
      </w:pPr>
    </w:p>
    <w:p>
      <w:pPr>
        <w:jc w:val="center"/>
      </w:pPr>
      <w:r>
        <w:rPr>
          <w:rFonts w:ascii="Times New Roman" w:hAnsi="Times New Roman"/>
          <w:sz w:val="24"/>
        </w:rPr>
        <w:t>by</w:t>
      </w:r>
    </w:p>
    <w:p>
      <w:pPr>
        <w:jc w:val="center"/>
      </w:pPr>
      <w:r>
        <w:rPr>
          <w:rFonts w:ascii="Times New Roman" w:hAnsi="Times New Roman"/>
          <w:b/>
          <w:sz w:val="28"/>
        </w:rPr>
        <w:t>Aisha Calder</w:t>
      </w:r>
    </w:p>
    <w:p>
      <w:pPr>
        <w:jc w:val="center"/>
      </w:pPr>
      <w:r>
        <w:rPr>
          <w:rFonts w:ascii="Times New Roman" w:hAnsi="Times New Roman"/>
          <w:sz w:val="24"/>
        </w:rPr>
        <w:t>1B-ECO-135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3" w:name="chapter-1.-introduction"/>
    <w:p>
      <w:pPr>
        <w:pStyle w:val="Heading1"/>
        <w:spacing w:line="480" w:lineRule="auto"/>
      </w:pPr>
      <w:r>
        <w:t xml:space="preserve">Chapter 1. Introduction</w:t>
      </w:r>
    </w:p>
    <w:p>
      <w:pPr>
        <w:pStyle w:val="FirstParagraph"/>
        <w:spacing w:line="480" w:lineRule="auto"/>
      </w:pPr>
      <w:r>
        <w:t xml:space="preserve">Space has never been a purely private market. The early commercial space sector did not arise in a vacuum of private demand, nor did it grow from a simple transfer of mature technologies from government to industry. Launch vehicles, spacecraft, ground networks, mission assurance practices, and orbital operations were developed inside a mixed economy in which states supplied missions, standards, risk tolerance, infrastructure, and money. The question for this dissertation is not whether government matters but how a specific government instrument, the purchase commitment, changes the path by which a technical portfolio eventually becomes a market. Contemporary policy language calls this instrument anchor tenancy. A public agency promises to purchase a service that private firms will provide, often before the commercial market is large enough to finance the underlying system on its own. The agency is not simply awarding a development grant. It is trying to create a reliable service class by reducing demand uncertainty and by making private investment less speculative, and the expected result is crowd-in: a public commitment should induce capital, labor, suppliers, and complementary customers to organize around the selected capability. Yet the opposite result is plausible. The mechanism can run in reverse. A large public commitment can crowd out private discipline, favor incumbents, reduce entry, or create dependency on a narrow provider base.</w:t>
      </w:r>
    </w:p>
    <w:p>
      <w:pPr>
        <w:pStyle w:val="BodyText"/>
        <w:spacing w:line="480" w:lineRule="auto"/>
        <w:ind w:firstLine="720"/>
      </w:pPr>
      <w:r>
        <w:t xml:space="preserve">NASA’s Commercial Crew Program supplies the central empirical setting for this dissertation. It is not the only case in which public demand shaped a commercial space market, but it offers an unusually transparent sequence of program phases, named firms, published award amounts, and observable continuation outcomes. It moved from small capability-development awards to much larger transportation-capability contracts. It retained multiple providers in early phases, then narrowed to Boeing and SpaceX in final capability awards. By September 2024, NASA’s Inspector General reported that SpaceX remained the sole operational commercial crew provider while Boeing’s Starliner had not completed certification</w:t>
      </w:r>
      <w:r>
        <w:t xml:space="preserve"> </w:t>
      </w:r>
      <w:hyperlink w:anchor="ref-12">
        <w:r>
          <w:rPr>
            <w:rStyle w:val="Hyperlink"/>
          </w:rPr>
          <w:t xml:space="preserve">[12]</w:t>
        </w:r>
      </w:hyperlink>
      <w:r>
        <w:t xml:space="preserve">. This history contains both the promise and the tension of anchor tenancy. The record cuts two ways. It created an operational commercial crew service. It also produced a period in which operational redundancy lagged the contractual design.</w:t>
      </w:r>
    </w:p>
    <w:p>
      <w:pPr>
        <w:pStyle w:val="BodyText"/>
        <w:spacing w:line="480" w:lineRule="auto"/>
        <w:ind w:firstLine="720"/>
      </w:pPr>
      <w:r>
        <w:t xml:space="preserve">This dissertation’s motivating claim is that anchor tenancy should be studied as an institutional funnel. Two questions follow. The first is whether the size of a public commitment predicts continuation through that funnel, and the second is whether the sequence of public commitments becomes more concentrated as the funnel narrows. These two questions are narrower than the full capital-market claim stated in the prospectus. They are also necessary foundations for it. If larger commitments did not predict provider continuation, a crowd-in mechanism would lack a public-procurement channel. If later phases did not concentrate commitments, the analysis would miss the market-structure consequence through which public demand can shape competition.</w:t>
      </w:r>
    </w:p>
    <w:p>
      <w:pPr>
        <w:pStyle w:val="BodyText"/>
        <w:spacing w:line="480" w:lineRule="auto"/>
        <w:ind w:firstLine="720"/>
      </w:pPr>
      <w:r>
        <w:t xml:space="preserve">Two linked empirical papers carry that debate. Paper 1 estimates a logit model of company-phase continuation in Commercial Crew, where the dependent variable is whether the provider advanced to the next phase or, in the final phase, reached operational certification by the September 2024 cutoff. The key explanatory variable is the natural logarithm of one plus NASA’s announced award in millions of nominal dollars. A control records how many earlier program phases the company had participated in. Paper 2 estimates an ordinary least squares model of concentration. The dependent variable is each company’s share of announced commitments within a Commercial Crew phase. The explanatory variables are the phase index and a legacy-incumbent indicator.</w:t>
      </w:r>
    </w:p>
    <w:p>
      <w:pPr>
        <w:pStyle w:val="BodyText"/>
        <w:spacing w:line="480" w:lineRule="auto"/>
        <w:ind w:firstLine="720"/>
      </w:pPr>
      <w:r>
        <w:t xml:space="preserve">Both papers use the same 20 official company-phase observations, but they ask different questions and use different estimators. The first asks whether commitment scale is associated with provider survival through a binary selection process. The second asks whether the distribution of public commitments changed as NASA moved from option-preserving development to operational capability. The empirical findings are direct. In the logit model, the coefficient on logged award value is positive and statistically significant, and in the OLS model the coefficient on phase index is positive, statistically significant, and large in percentage-point terms. The pattern is consistent across both models. Larger commitments were associated with continuation, and later phases allocated larger shares to the providers that remained.</w:t>
      </w:r>
    </w:p>
    <w:p>
      <w:pPr>
        <w:pStyle w:val="BodyText"/>
        <w:spacing w:line="480" w:lineRule="auto"/>
        <w:ind w:firstLine="720"/>
      </w:pPr>
      <w:r>
        <w:t xml:space="preserve">These findings place Commercial Crew inside a broader space-economy literature. Weinzierl describes space as an economic frontier in which public action can help solve demand, coordination, and fixed-cost problems</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while Denis and colleagues describe the New Space transition as a movement from state-dominated programs toward commercial actors, private finance, and service-oriented procurement</w:t>
      </w:r>
      <w:r>
        <w:t xml:space="preserve"> </w:t>
      </w:r>
      <w:hyperlink w:anchor="ref-2">
        <w:r>
          <w:rPr>
            <w:rStyle w:val="Hyperlink"/>
          </w:rPr>
          <w:t xml:space="preserve">[2]</w:t>
        </w:r>
      </w:hyperlink>
      <w:r>
        <w:t xml:space="preserve">. Zancan and colleagues interpret the movement from legacy models to New Space as a governance transition rather than a simple privatization story</w:t>
      </w:r>
      <w:r>
        <w:t xml:space="preserve"> </w:t>
      </w:r>
      <w:hyperlink w:anchor="ref-1">
        <w:r>
          <w:rPr>
            <w:rStyle w:val="Hyperlink"/>
          </w:rPr>
          <w:t xml:space="preserve">[1]</w:t>
        </w:r>
      </w:hyperlink>
      <w:r>
        <w:t xml:space="preserve">. The OCEA forecasting framework treats government budgets and commercial revenue as principal components of space-sector output</w:t>
      </w:r>
      <w:r>
        <w:t xml:space="preserve"> </w:t>
      </w:r>
      <w:hyperlink w:anchor="ref-3">
        <w:r>
          <w:rPr>
            <w:rStyle w:val="Hyperlink"/>
          </w:rPr>
          <w:t xml:space="preserve">[3]</w:t>
        </w:r>
      </w:hyperlink>
      <w:r>
        <w:t xml:space="preserve">. One link is still missing. Nothing in these accounts measures the relationship between a public purchase instrument and the organizational path of firms inside a specific market-creation effort.</w:t>
      </w:r>
    </w:p>
    <w:p>
      <w:pPr>
        <w:pStyle w:val="BodyText"/>
        <w:spacing w:line="480" w:lineRule="auto"/>
        <w:ind w:firstLine="720"/>
      </w:pPr>
      <w:r>
        <w:t xml:space="preserve">No claim is made here that the Commercial Crew record can identify the complete causal effect of anchor tenancy on private capital formation. The sample is small, repeated firms appear across phases, award amounts rise with program maturity, and NASA selected firms partly because of unobserved technical information. A claim of full causal crowd-in would require firm-month capital data, pre-treatment trends, matched non-awarded controls, and segment spillover estimates. The prospectus outlines that eventual design. This dissertation takes a defensible first step by estimating observable procurement mechanisms from public data, and the contribution is a sign-checked, replicable measurement of continuation and concentration in the clearest available federal commercial-space anchor-tenant sequence.</w:t>
      </w:r>
    </w:p>
    <w:p>
      <w:pPr>
        <w:pStyle w:val="BodyText"/>
        <w:spacing w:line="480" w:lineRule="auto"/>
        <w:ind w:firstLine="720"/>
      </w:pPr>
      <w:r>
        <w:t xml:space="preserve">Why does this problem matter? Purchase commitments have become central to space industrial policy. Service procurement is used not only for crew transportation, but also for cargo, lunar payload delivery, Earth observation, communications, launch, and emerging in-space services. Agencies use these contracts to avoid owning every asset, to mobilize private balance sheets, and to buy performance rather than hardware. This strategy can reduce public cost and accelerate innovation when the agency can define a service, verify milestones, and tolerate commercial execution. The failure modes are equally real. It can fail when the market is too thin, the technical risk is too high, the contract design overstates private readiness, or public demand turns out to be the only viable customer.</w:t>
      </w:r>
    </w:p>
    <w:p>
      <w:pPr>
        <w:pStyle w:val="BodyText"/>
        <w:spacing w:line="480" w:lineRule="auto"/>
        <w:ind w:firstLine="720"/>
      </w:pPr>
      <w:r>
        <w:t xml:space="preserve">Commercial Crew is analytically useful because it contains both procurement styles. Early phases look like portfolio search. NASA spread modest development awards across multiple firms and concepts. Later phases look like operational commitment. NASA concentrated large awards in two providers expected to deliver crew transportation capability. That transformation is exactly what an anchor tenant is supposed to accomplish: move a market from possibility to service. It is also exactly where competition questions arise, because a broad early portfolio does not guarantee a broad final market, and a two-provider contract design does not guarantee two operational providers at all times.</w:t>
      </w:r>
    </w:p>
    <w:p>
      <w:pPr>
        <w:pStyle w:val="BodyText"/>
        <w:spacing w:line="480" w:lineRule="auto"/>
        <w:ind w:firstLine="720"/>
      </w:pPr>
      <w:r>
        <w:t xml:space="preserve">One concept anchors the theory. In its strongest form, the anchor-tenant multiplier is the marginal private capital attracted by a dollar of credible public demand. In the bounded form tested here, the multiplier is decomposed into two precursor mechanisms. The continuation channel asks whether larger commitments predict the firm remaining in the public procurement path, while the concentration channel asks whether the procurement path allocates larger shares to fewer providers as it matures. Together, these channels explain how public demand can create a selected provider class that is attractive to private capital but also structurally narrower than the entry population.</w:t>
      </w:r>
    </w:p>
    <w:p>
      <w:pPr>
        <w:pStyle w:val="BodyText"/>
        <w:spacing w:line="480" w:lineRule="auto"/>
        <w:ind w:firstLine="720"/>
      </w:pPr>
      <w:r>
        <w:t xml:space="preserve">Evidence for the continuation channel comes first. The logit estimate for logged award value is 0.6604, with a standard error of 0.3101 and a p-value of 0.0332. A one-unit increase in ln(1 + award) is associated with higher continuation odds, holding prior participation constant. Exponentiating the coefficient gives an odds ratio of about 1.94. Prior participation is negative and not statistically significant, which is consistent with the idea that repeated presence in early phases did not guarantee final selection. The evidence does not prove that money alone caused advancement, but it rejects the claim that award scale was unrelated to continuation in the observed portfolio.</w:t>
      </w:r>
    </w:p>
    <w:p>
      <w:pPr>
        <w:pStyle w:val="BodyText"/>
        <w:spacing w:line="480" w:lineRule="auto"/>
        <w:ind w:firstLine="720"/>
      </w:pPr>
      <w:r>
        <w:t xml:space="preserve">A second result supports the concentration channel. The OLS estimate for phase index is 7.5758, with an HC1 standard error of 2.3483 and a p-value of 0.0013. Each movement from one Commercial Crew phase to the next is associated with an average increase of about 7.6 percentage points in a company’s share of phase commitments, conditional on legacy-incumbent status. The incumbent coefficient is positive but not statistically significant. This result matters because it shows that the procurement path did not merely grow in nominal size. It redistributed public demand toward a smaller number of providers.</w:t>
      </w:r>
    </w:p>
    <w:p>
      <w:pPr>
        <w:pStyle w:val="BodyText"/>
        <w:spacing w:line="480" w:lineRule="auto"/>
        <w:ind w:firstLine="720"/>
      </w:pPr>
      <w:r>
        <w:t xml:space="preserve">Read together, the two papers show that anchor tenancy operates through selection. A government customer does not simply inject money into a preexisting market. It defines a service category, funds multiple approaches, collects information through milestones, narrows the portfolio, and makes large commitments to the survivors, a sequence that can in principle crowd in private capital because it creates credible future revenue. In practice, it also creates market structure. The dissertation therefore treats market creation and market concentration as paired effects of the same instrument.</w:t>
      </w:r>
    </w:p>
    <w:p>
      <w:pPr>
        <w:pStyle w:val="BodyText"/>
        <w:spacing w:line="480" w:lineRule="auto"/>
        <w:ind w:firstLine="720"/>
      </w:pPr>
      <w:r>
        <w:t xml:space="preserve">This framing helps clarify the policy stakes. The policy question is not whether the public sector should be active or passive. In space, the public sector is already active. The question is whether its activity is designed to preserve useful competition while generating enough commitment to carry providers through high fixed costs and certification risk, because too little commitment leaves firms unable to finance the gap between prototype and service. Too much concentration can leave the agency dependent on a narrow supplier base and can weaken competitive pressure after initial selection. Anchor tenancy is valuable only if it is paired with explicit governance of that tradeoff.</w:t>
      </w:r>
    </w:p>
    <w:p>
      <w:pPr>
        <w:pStyle w:val="BodyText"/>
        <w:spacing w:line="480" w:lineRule="auto"/>
        <w:ind w:firstLine="720"/>
      </w:pPr>
      <w:r>
        <w:t xml:space="preserve">Citation practice here is conservative. The chapters cite only the shared reference pool generated from the prospectus, the two empirical papers, and the local brain searches, and official NASA and NASA Office of Inspector General sources provide the Commercial Crew award and certification facts</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space-economy and governance literature supplies the theoretical context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No chapter uses unretrieved sources, and no chapter cites the JPL Capture Corpus.</w:t>
      </w:r>
    </w:p>
    <w:p>
      <w:pPr>
        <w:pStyle w:val="BodyText"/>
        <w:spacing w:line="480" w:lineRule="auto"/>
        <w:ind w:firstLine="720"/>
      </w:pPr>
      <w:r>
        <w:t xml:space="preserve">Structure follows the empirical logic. Chapter 2 reviews the domain and method literatures, emphasizing the gap between descriptive New Space accounts and measurable procurement effects. Chapter 3 formalizes the theory of anchor tenancy, continuation, and concentration. Chapter 4 details data construction and measurement choices. Chapter 5 explains the estimators and identification limits. Chapter 6 presents the results of both papers with exact coefficients, standard errors, p-values, and fit statistics, Chapter 7 discusses governance implications for NASA and other public buyers, and Chapter 8 concludes with the contribution, limitations, and next steps.</w:t>
      </w:r>
    </w:p>
    <w:p>
      <w:pPr>
        <w:pStyle w:val="BodyText"/>
        <w:spacing w:line="480" w:lineRule="auto"/>
        <w:ind w:firstLine="720"/>
      </w:pPr>
      <w:r>
        <w:t xml:space="preserve">This argument stays deliberately measured.</w:t>
      </w:r>
    </w:p>
    <w:p>
      <w:pPr>
        <w:pStyle w:val="BodyText"/>
        <w:spacing w:line="480" w:lineRule="auto"/>
        <w:ind w:firstLine="720"/>
      </w:pPr>
      <w:r>
        <w:t xml:space="preserve">Commercial Crew was not an uncontrolled subsidy program, nor was it a purely private market. It was a public-private procurement sequence in which NASA used competition, milestones, fixed-price commitments, and certification to create a service. That sequence is exactly the kind of institutional arrangement described by New Space governance literature, but the literature rarely estimates its internal mechanics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This dissertation contributes by measuring two mechanics that matter for any future anchor-tenant policy: survival through the procurement funnel, and concentration of public demand inside the funnel as it narrows toward service.</w:t>
      </w:r>
    </w:p>
    <w:p>
      <w:pPr>
        <w:pStyle w:val="BodyText"/>
        <w:spacing w:line="480" w:lineRule="auto"/>
        <w:ind w:firstLine="720"/>
      </w:pPr>
      <w:r>
        <w:t xml:space="preserve">More broadly, the economics of space procurement should be studied at the unit of decision where public agencies actually act. Sector-level revenue aggregates are necessary, but they do not show how a public dollar changes the options available to a firm or the distribution of demand across providers within a given program phase</w:t>
      </w:r>
      <w:r>
        <w:t xml:space="preserve"> </w:t>
      </w:r>
      <w:hyperlink w:anchor="ref-3">
        <w:r>
          <w:rPr>
            <w:rStyle w:val="Hyperlink"/>
          </w:rPr>
          <w:t xml:space="preserve">[3]</w:t>
        </w:r>
      </w:hyperlink>
      <w:r>
        <w:t xml:space="preserve">. Firm-level capital data are necessary, but they need to be connected to the contract instruments that make private financing credible. The company-phase observation sits between those levels. It reveals how agencies convert money into milestones, selection, and market structure.</w:t>
      </w:r>
    </w:p>
    <w:p>
      <w:pPr>
        <w:pStyle w:val="BodyText"/>
        <w:spacing w:line="480" w:lineRule="auto"/>
        <w:ind w:firstLine="720"/>
      </w:pPr>
      <w:r>
        <w:t xml:space="preserve">This dissertation therefore treats anchor tenancy as neither a slogan nor a settled theorem. It is an empirical claim about how public commitments alter private-sector formation, and NASA’s Commercial Crew record shows that larger commitments predicted continuation and that its mature phases concentrated public demand.</w:t>
      </w:r>
    </w:p>
    <w:p>
      <w:pPr>
        <w:pStyle w:val="BodyText"/>
        <w:spacing w:line="480" w:lineRule="auto"/>
        <w:ind w:firstLine="720"/>
      </w:pPr>
      <w:r>
        <w:t xml:space="preserve">Those findings do not close the anchor-tenant debate. They discipline it. They show where crowd-in must operate, where concentration enters, and why a public customer creating a market must govern both effects at once.</w:t>
      </w:r>
    </w:p>
    <w:bookmarkStart w:id="61" w:name="Xa239b8e1a85f145c42c3c439b7794120e4eea86"/>
    <w:p>
      <w:pPr>
        <w:pStyle w:val="Heading2"/>
        <w:spacing w:line="480" w:lineRule="auto"/>
      </w:pPr>
      <w:r>
        <w:t xml:space="preserve">Additional Scope: From Procurement Facts to Market Formation</w:t>
      </w:r>
    </w:p>
    <w:p>
      <w:pPr>
        <w:pStyle w:val="FirstParagraph"/>
        <w:spacing w:line="480" w:lineRule="auto"/>
      </w:pPr>
      <w:r>
        <w:t xml:space="preserve">Focusing on Commercial Crew is also a choice about the level at which market formation becomes observable. A sector-level account can show that commercial revenue, government budgets, launch cadence, and private investment changed during the same broad period, but it cannot show which public decisions converted one provider into a credible operational actor and left another provider outside the next procurement stage. The company-phase unit supplies that missing middle layer. It captures each moment at which NASA attached a public commitment to a named organization inside a staged program. It also captures whether that organization remained in the pathway.</w:t>
      </w:r>
    </w:p>
    <w:p>
      <w:pPr>
        <w:pStyle w:val="BodyText"/>
        <w:spacing w:line="480" w:lineRule="auto"/>
        <w:ind w:firstLine="720"/>
      </w:pPr>
      <w:r>
        <w:t xml:space="preserve">This level of analysis is especially useful for space. The sector’s markets are rarely born as open retail markets. Human spaceflight, cargo, lunar delivery, remote sensing, communications, and domain-awareness services often begin with a public agency defining the service before broad commercial demand exists, which means the first economically meaningful events are not only product launches or private investment rounds. They are solicitations, awards, milestones, certifications, and service task orders. A dissertation that studies anchor tenancy must therefore treat procurement records as economic data rather than administrative background.</w:t>
      </w:r>
    </w:p>
    <w:p>
      <w:pPr>
        <w:pStyle w:val="BodyText"/>
        <w:spacing w:line="480" w:lineRule="auto"/>
        <w:ind w:firstLine="720"/>
      </w:pPr>
      <w:r>
        <w:t xml:space="preserve">For the same reason, the chapter resists treating Commercial Crew as a simple success or failure story. SpaceX certification was a major achievement, but the September 2024 operational concentration around SpaceX also demonstrates the fragility of intended redundancy</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lesson cuts both ways. Boeing’s delayed certification does not erase the value of a two-provider award strategy. It shows that a public buyer must track the conversion of contractual options into operational service, and the empirical models in this dissertation are only a first measurement of that conversion process, though they identify where future evaluation should look.</w:t>
      </w:r>
    </w:p>
    <w:p>
      <w:pPr>
        <w:pStyle w:val="BodyText"/>
        <w:spacing w:line="480" w:lineRule="auto"/>
        <w:ind w:firstLine="720"/>
      </w:pPr>
      <w:r>
        <w:t xml:space="preserve">Anchor tenancy is best framed as a sequence rather than a label. At the beginning of the sequence, the public buyer preserves possibilities. At the middle, it makes larger commitments to organizations that appear capable of continuing. At the end, it relies on certified services. Each stage can create benefits and risks. The benefit is that private organizations may cross a development gap that private demand alone would not finance, and the risk is that the public buyer may become dependent on the few providers that survive the funnel. The dissertation’s two empirical tests measure those paired effects inside a single well-documented case.</w:t>
      </w:r>
    </w:p>
    <w:bookmarkEnd w:id="61"/>
    <w:bookmarkStart w:id="62" w:name="implications-for-doctoral-contribution"/>
    <w:p>
      <w:pPr>
        <w:pStyle w:val="Heading2"/>
        <w:spacing w:line="480" w:lineRule="auto"/>
      </w:pPr>
      <w:r>
        <w:t xml:space="preserve">Implications for Doctoral Contribution</w:t>
      </w:r>
    </w:p>
    <w:p>
      <w:pPr>
        <w:pStyle w:val="FirstParagraph"/>
        <w:spacing w:line="480" w:lineRule="auto"/>
      </w:pPr>
      <w:r>
        <w:t xml:space="preserve">Nothing here claims that one NASA program settles the economics of public demand. The contribution is to make a policy mechanism measurable. Anchor tenancy is often invoked as if the mechanism were self-evident. A public customer appears, firms receive awards, and market creation is assumed. This dissertation shows that the mechanism has internal stages. Commitment scale must be connected to provider continuation, procurement maturity must be connected to concentration, and operational certification must be separated from award receipt before the research contribution can travel to other programs.</w:t>
      </w:r>
    </w:p>
    <w:p>
      <w:pPr>
        <w:pStyle w:val="BodyText"/>
        <w:spacing w:line="480" w:lineRule="auto"/>
        <w:ind w:firstLine="720"/>
      </w:pPr>
      <w:r>
        <w:t xml:space="preserve">A second contribution is evidentiary discipline. The dissertation uses a small dataset, but every row is tied to an official source</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In an area where policy claims often outrun data, that discipline matters. A transparent 20-row dataset can be more useful than a larger but opaque compilation if the research question concerns specific public decisions, and the dissertation therefore argues for auditable microdata as the foundation for space-economy research.</w:t>
      </w:r>
    </w:p>
    <w:p>
      <w:pPr>
        <w:pStyle w:val="BodyText"/>
        <w:spacing w:line="480" w:lineRule="auto"/>
        <w:ind w:firstLine="720"/>
      </w:pPr>
      <w:r>
        <w:t xml:space="preserve">A third contribution is conceptual. The anchor tenant is not only a buyer. It is a market designer whose decisions shape who remains, how demand is distributed, and when operational capability becomes real, a concept that moves the discussion beyond the binary question of public versus private. It asks how public action can create commercial capability while preserving competition and resilience. This is the dissertation’s central intellectual claim.</w:t>
      </w:r>
    </w:p>
    <w:bookmarkEnd w:id="62"/>
    <w:bookmarkEnd w:id="63"/>
    <w:bookmarkStart w:id="67" w:name="chapter-2.-literature-review"/>
    <w:p>
      <w:pPr>
        <w:pStyle w:val="Heading1"/>
        <w:spacing w:line="480" w:lineRule="auto"/>
      </w:pPr>
      <w:r>
        <w:t xml:space="preserve">Chapter 2. Literature Review</w:t>
      </w:r>
    </w:p>
    <w:p>
      <w:pPr>
        <w:pStyle w:val="FirstParagraph"/>
        <w:spacing w:line="480" w:lineRule="auto"/>
      </w:pPr>
      <w:r>
        <w:t xml:space="preserve">Anchor tenancy sits between two literatures. They usually pass each other without full integration.</w:t>
      </w:r>
    </w:p>
    <w:p>
      <w:pPr>
        <w:pStyle w:val="BodyText"/>
        <w:spacing w:line="480" w:lineRule="auto"/>
        <w:ind w:firstLine="720"/>
      </w:pPr>
      <w:r>
        <w:t xml:space="preserve">On one side sits the domain literature on New Space, public-private procurement, and the changing governance of commercial space, which explains why governments increasingly buy services from private providers and why that shift matters for firm formation. On the other sits an empirical literature on treatment, selection, market concentration, and public demand. It supplies the logic for estimating whether a purchase commitment is associated with continuation or with a changed distribution of public commitments. This dissertation contributes by joining those literatures at the level of the company-phase procurement record.</w:t>
      </w:r>
    </w:p>
    <w:p>
      <w:pPr>
        <w:pStyle w:val="BodyText"/>
        <w:spacing w:line="480" w:lineRule="auto"/>
        <w:ind w:firstLine="720"/>
      </w:pPr>
      <w:r>
        <w:t xml:space="preserve">Space has not followed the usual sequence of private market creation, and the space-economy literature begins from that observation. The sector combines high fixed costs, long technical lead times, uncertain demand, safety constraints, and sovereign interests, and Weinzierl characterizes it as an economic frontier in which public action can shape the conditions under which private activity becomes viable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The frontier language avoids two misleading extremes. Neither caricature holds. Space is not simply a normal market waiting for deregulation, and it is not simply a public works domain with no role for private entrepreneurship. It is a mixed system in which states, firms, investors, and technical communities jointly create market categories. Denis and colleagues describe the movement from New Space to Big Space as the maturation of a commercial dream into industrial reality</w:t>
      </w:r>
      <w:r>
        <w:t xml:space="preserve"> </w:t>
      </w:r>
      <w:hyperlink w:anchor="ref-2">
        <w:r>
          <w:rPr>
            <w:rStyle w:val="Hyperlink"/>
          </w:rPr>
          <w:t xml:space="preserve">[2]</w:t>
        </w:r>
      </w:hyperlink>
      <w:r>
        <w:t xml:space="preserve">, and their account emphasizes private investors, entrepreneurial firms, lower-cost production models, and the gradual reconfiguration of public procurement. The paper is descriptive rather than econometric. Still, it identifies the central institutional shift that motivates this dissertation. Public agencies do not only fund development inside traditional cost-plus structures. They also act as early customers for services that private providers may later sell more widely. The state becomes less an owner of every production asset and more a purchaser, certifier, and organizer of demand.</w:t>
      </w:r>
    </w:p>
    <w:p>
      <w:pPr>
        <w:pStyle w:val="BodyText"/>
        <w:spacing w:line="480" w:lineRule="auto"/>
        <w:ind w:firstLine="720"/>
      </w:pPr>
      <w:r>
        <w:t xml:space="preserve">Zancan and colleagues extend the governance lens by describing movement from legacy space to New Space models</w:t>
      </w:r>
      <w:r>
        <w:t xml:space="preserve"> </w:t>
      </w:r>
      <w:hyperlink w:anchor="ref-1">
        <w:r>
          <w:rPr>
            <w:rStyle w:val="Hyperlink"/>
          </w:rPr>
          <w:t xml:space="preserve">[1]</w:t>
        </w:r>
      </w:hyperlink>
      <w:r>
        <w:t xml:space="preserve">. Their analysis treats governance as a multi-actor arrangement, not a binary between state and market, and it places procurement, prizes, grants, standards, and private financing within a changing and increasingly plural institutional field. This matters for the anchor-tenant question because it shows that purchase commitments are embedded in a larger structure. An award is not only a financial transfer. It is a governance signal that changes expectations about which firms, architectures, and service categories are becoming legitimate.</w:t>
      </w:r>
    </w:p>
    <w:p>
      <w:pPr>
        <w:pStyle w:val="BodyText"/>
        <w:spacing w:line="480" w:lineRule="auto"/>
        <w:ind w:firstLine="720"/>
      </w:pPr>
      <w:r>
        <w:t xml:space="preserve">A gap remains in those accounts. They explain the transition, but they do not estimate the marginal effect of a specific procurement instrument, and they describe the arrival of private capital without isolating whether public purchase commitments crowd in that capital or concentrate it among selected firms. They identify the mixed governance model, but they do not turn the sequence of awards, phases, and provider outcomes into a measurable dataset. This dissertation does not replace the descriptive literature. The aim is narrower. It converts one of its key claims into two testable mechanisms.</w:t>
      </w:r>
    </w:p>
    <w:p>
      <w:pPr>
        <w:pStyle w:val="BodyText"/>
        <w:spacing w:line="480" w:lineRule="auto"/>
        <w:ind w:firstLine="720"/>
      </w:pPr>
      <w:r>
        <w:t xml:space="preserve">OCEA’s space-economy forecasting framework adds a second perspective</w:t>
      </w:r>
      <w:r>
        <w:t xml:space="preserve"> </w:t>
      </w:r>
      <w:hyperlink w:anchor="ref-3">
        <w:r>
          <w:rPr>
            <w:rStyle w:val="Hyperlink"/>
          </w:rPr>
          <w:t xml:space="preserve">[3]</w:t>
        </w:r>
      </w:hyperlink>
      <w:r>
        <w:t xml:space="preserve">. It treats government space budgets and commercial revenues as principal components of sector output. That accounting structure is necessary for measuring total activity, but it leaves the relation between public and private components unresolved. Public and commercial revenues can be additive without being independent, because a NASA commitment can create later commercial revenue, substitute for private revenue, or shift revenue toward one firm at the expense of another. Sector accounts tell us the magnitudes of components; they do not identify the cross-elasticity between them.</w:t>
      </w:r>
    </w:p>
    <w:p>
      <w:pPr>
        <w:pStyle w:val="BodyText"/>
        <w:spacing w:line="480" w:lineRule="auto"/>
        <w:ind w:firstLine="720"/>
      </w:pPr>
      <w:r>
        <w:t xml:space="preserve">This dissertation’s empirical strategy is designed around that gap. Rather than asking whether the entire commercial space economy grows when public budgets grow, it asks whether larger commitments inside a particular program predict provider continuation and whether the program’s commitments become more concentrated across phases. These are smaller questions, but they are closer to the mechanism described by anchor-tenant theory. If public demand creates a market, it should first organize a provider pathway. The provider pathway is visible in procurement records even when private capital data are incomplete.</w:t>
      </w:r>
    </w:p>
    <w:p>
      <w:pPr>
        <w:pStyle w:val="BodyText"/>
        <w:spacing w:line="480" w:lineRule="auto"/>
        <w:ind w:firstLine="720"/>
      </w:pPr>
      <w:r>
        <w:t xml:space="preserve">The Commercial Crew Program has special value here. It is unusually well documented. NASA’s Commercial Crew Program Essentials record lists phases, participating companies, and announced awards</w:t>
      </w:r>
      <w:r>
        <w:t xml:space="preserve"> </w:t>
      </w:r>
      <w:hyperlink w:anchor="ref-9">
        <w:r>
          <w:rPr>
            <w:rStyle w:val="Hyperlink"/>
          </w:rPr>
          <w:t xml:space="preserve">[9]</w:t>
        </w:r>
      </w:hyperlink>
      <w:r>
        <w:t xml:space="preserve">.</w:t>
      </w:r>
    </w:p>
    <w:p>
      <w:pPr>
        <w:pStyle w:val="BodyText"/>
        <w:spacing w:line="480" w:lineRule="auto"/>
        <w:ind w:firstLine="720"/>
      </w:pPr>
      <w:r>
        <w:t xml:space="preserve">NASA’s certification announcement identifies the operational certification of SpaceX’s human-rated commercial system</w:t>
      </w:r>
      <w:r>
        <w:t xml:space="preserve"> </w:t>
      </w:r>
      <w:hyperlink w:anchor="ref-11">
        <w:r>
          <w:rPr>
            <w:rStyle w:val="Hyperlink"/>
          </w:rPr>
          <w:t xml:space="preserve">[11]</w:t>
        </w:r>
      </w:hyperlink>
      <w:r>
        <w:t xml:space="preserve">. NASA’s Inspector General report IG-24-020 provides the September 2024 cutoff for Boeing’s unresolved certification status and for SpaceX’s operational monopoly at that date, which fixes the terminal coding used in both papers</w:t>
      </w:r>
      <w:r>
        <w:t xml:space="preserve"> </w:t>
      </w:r>
      <w:hyperlink w:anchor="ref-12">
        <w:r>
          <w:rPr>
            <w:rStyle w:val="Hyperlink"/>
          </w:rPr>
          <w:t xml:space="preserve">[12]</w:t>
        </w:r>
      </w:hyperlink>
      <w:r>
        <w:t xml:space="preserve">. The Office of Inspector General’s earlier report on commercial cargo and related commercial orbital transportation arrangements supplies the institutional precedent for milestone-based commercial service development</w:t>
      </w:r>
      <w:r>
        <w:t xml:space="preserve"> </w:t>
      </w:r>
      <w:hyperlink w:anchor="ref-10">
        <w:r>
          <w:rPr>
            <w:rStyle w:val="Hyperlink"/>
          </w:rPr>
          <w:t xml:space="preserve">[10]</w:t>
        </w:r>
      </w:hyperlink>
      <w:r>
        <w:t xml:space="preserve">. The official record is not complete in every dimension, but it is adequate for the company-phase questions this dissertation asks.</w:t>
      </w:r>
    </w:p>
    <w:p>
      <w:pPr>
        <w:pStyle w:val="BodyText"/>
        <w:spacing w:line="480" w:lineRule="auto"/>
        <w:ind w:firstLine="720"/>
      </w:pPr>
      <w:r>
        <w:t xml:space="preserve">Sequencing gets attention in the space-governance literature too. Early New Space policy is often described as enabling entry, experimentation, and diversity of approaches. Later operational service procurement requires reliability, certification, and a narrower set of accountable providers. Zancan and colleagues’ governance transition captures this movement at a high level</w:t>
      </w:r>
      <w:r>
        <w:t xml:space="preserve"> </w:t>
      </w:r>
      <w:hyperlink w:anchor="ref-1">
        <w:r>
          <w:rPr>
            <w:rStyle w:val="Hyperlink"/>
          </w:rPr>
          <w:t xml:space="preserve">[1]</w:t>
        </w:r>
      </w:hyperlink>
      <w:r>
        <w:t xml:space="preserve">. Commercial Crew makes it concrete. CCDev1 and CCDev2 distributed relatively small awards across several firms. CCiCap and CPC retained fewer firms. CCtCap made very large commitments to Boeing and SpaceX. This sequence allows the dissertation to analyze anchor tenancy as a funnel rather than as a single event.</w:t>
      </w:r>
    </w:p>
    <w:p>
      <w:pPr>
        <w:pStyle w:val="BodyText"/>
        <w:spacing w:line="480" w:lineRule="auto"/>
        <w:ind w:firstLine="720"/>
      </w:pPr>
      <w:r>
        <w:t xml:space="preserve">A second literature is methodological. Anchor-tenant procurement is a treatment, but it is not randomized. Agencies select firms partly because those firms appear more capable, better financed, or more likely to deliver. A naive comparison of award recipients and non-recipients would confuse the effect of public commitment with the reasons for selection. The prospectus therefore proposed a stacked difference-in-differences design with synthetic controls for a future private-capital analysis. That design would require firm-month outcome data, comparable non-awarded firms, pre-treatment balance, and tests for anticipatory investment. The present dissertation does not claim to execute that full design. It uses the available Commercial Crew record to estimate precursor mechanisms.</w:t>
      </w:r>
    </w:p>
    <w:p>
      <w:pPr>
        <w:pStyle w:val="BodyText"/>
        <w:spacing w:line="480" w:lineRule="auto"/>
        <w:ind w:firstLine="720"/>
      </w:pPr>
      <w:r>
        <w:t xml:space="preserve">Paper 1’s logit model draws from the logic of binary selection. A provider either advances to the next procurement phase or it does not. In the final phase, the provider either reaches operational certification by a defined cutoff or it does not.</w:t>
      </w:r>
    </w:p>
    <w:p>
      <w:pPr>
        <w:pStyle w:val="BodyText"/>
        <w:spacing w:line="480" w:lineRule="auto"/>
        <w:ind w:firstLine="720"/>
      </w:pPr>
      <w:r>
        <w:t xml:space="preserve">Binary-outcome models are appropriate when the outcome is a transition rather than a continuous amount, and the model conditions on prior participation to separate the scale of the current award from the firm’s accumulated program history. Because the sample is small, the model is deliberately parsimonious. It does not add fixed effects or many controls that would overfit the record.</w:t>
      </w:r>
    </w:p>
    <w:p>
      <w:pPr>
        <w:pStyle w:val="BodyText"/>
        <w:spacing w:line="480" w:lineRule="auto"/>
        <w:ind w:firstLine="720"/>
      </w:pPr>
      <w:r>
        <w:t xml:space="preserve">Paper 2’s OLS model draws from the logic of concentration. The dependent variable is a share, the company’s award divided by total phase commitments. Shares are compositional, so the model does not represent independent firm-level demand in the same way a revenue regression might.</w:t>
      </w:r>
    </w:p>
    <w:p>
      <w:pPr>
        <w:pStyle w:val="BodyText"/>
        <w:spacing w:line="480" w:lineRule="auto"/>
        <w:ind w:firstLine="720"/>
      </w:pPr>
      <w:r>
        <w:t xml:space="preserve">That feature is not a flaw here. Public-demand concentration is precisely about how the total is divided among providers. The phase coefficient estimates how the distribution changed as the procurement sequence matured, and the incumbent control distinguishes the concentration trend from a simple legacy-supplier account.</w:t>
      </w:r>
    </w:p>
    <w:p>
      <w:pPr>
        <w:pStyle w:val="BodyText"/>
        <w:spacing w:line="480" w:lineRule="auto"/>
        <w:ind w:firstLine="720"/>
      </w:pPr>
      <w:r>
        <w:t xml:space="preserve">Several reasons to expect both continuation and concentration run through the domain literature. A purchase commitment reduces demand uncertainty, and demand uncertainty is central to the investment problem in frontier sectors</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It provides work that can finance engineering progress and signal institutional credibility</w:t>
      </w:r>
      <w:r>
        <w:t xml:space="preserve"> </w:t>
      </w:r>
      <w:hyperlink w:anchor="ref-2">
        <w:r>
          <w:rPr>
            <w:rStyle w:val="Hyperlink"/>
          </w:rPr>
          <w:t xml:space="preserve">[2]</w:t>
        </w:r>
      </w:hyperlink>
      <w:r>
        <w:t xml:space="preserve">. It can also create external validation, because a NASA selection is meaningful to suppliers, employees, and investors. These mechanisms predict a positive relation between award scale and continuation. They do not require that public money be the only cause of continuation. They require only that larger commitments align with a higher probability of staying in the procurement path.</w:t>
      </w:r>
    </w:p>
    <w:p>
      <w:pPr>
        <w:pStyle w:val="BodyText"/>
        <w:spacing w:line="480" w:lineRule="auto"/>
        <w:ind w:firstLine="720"/>
      </w:pPr>
      <w:r>
        <w:t xml:space="preserve">That same literature predicts concentration as a natural consequence of service maturation. Early public-private programs may fund many approaches because the agency is learning. Later programs must choose systems for certification, operations, safety, and integration. The buyer cannot maintain an unlimited number of certified crew transportation providers if mission cadence, oversight resources, and budget are limited. Commercial Crew therefore illustrates a governance problem, not merely a market outcome. The public customer must decide how much diversity to preserve and how much commitment to concentrate in selected providers.</w:t>
      </w:r>
    </w:p>
    <w:p>
      <w:pPr>
        <w:pStyle w:val="BodyText"/>
        <w:spacing w:line="480" w:lineRule="auto"/>
        <w:ind w:firstLine="720"/>
      </w:pPr>
      <w:r>
        <w:t xml:space="preserve">Method scholars warn against overclaiming. A positive award coefficient could reflect selection on unobserved capability. NASA may have awarded more money to firms that were already more likely to advance. A positive phase coefficient could reflect the design of the procurement sequence rather than an externally generalizable law of market concentration. Those concerns are real. The dissertation therefore uses cautious language. It interprets the estimates as evidence of mechanisms within the observed program, not as definitive causal multipliers for all commercial space markets.</w:t>
      </w:r>
    </w:p>
    <w:p>
      <w:pPr>
        <w:pStyle w:val="BodyText"/>
        <w:spacing w:line="480" w:lineRule="auto"/>
        <w:ind w:firstLine="720"/>
      </w:pPr>
      <w:r>
        <w:t xml:space="preserve">New Space writing sometimes treats private investment as a sign of maturation, but it does not always separate investment from demand. Denis and colleagues describe the inflow of private investors and the changing role of commercial firms</w:t>
      </w:r>
      <w:r>
        <w:t xml:space="preserve"> </w:t>
      </w:r>
      <w:hyperlink w:anchor="ref-2">
        <w:r>
          <w:rPr>
            <w:rStyle w:val="Hyperlink"/>
          </w:rPr>
          <w:t xml:space="preserve">[2]</w:t>
        </w:r>
      </w:hyperlink>
      <w:r>
        <w:t xml:space="preserve">. Zancan and colleagues describe seeds, prizes, grants, and governance arrangements that support emerging initiatives</w:t>
      </w:r>
      <w:r>
        <w:t xml:space="preserve"> </w:t>
      </w:r>
      <w:hyperlink w:anchor="ref-1">
        <w:r>
          <w:rPr>
            <w:rStyle w:val="Hyperlink"/>
          </w:rPr>
          <w:t xml:space="preserve">[1]</w:t>
        </w:r>
      </w:hyperlink>
      <w:r>
        <w:t xml:space="preserve">. The policy discussion often infers that public demand and private capital reinforce each other. Yet a complete crowd-in test would need to ask whether private investors increase financing after an award relative to comparable firms that did not receive an award. The present work identifies the step before that question: public commitment is associated with continuation, and the public portfolio narrows as commitment rises.</w:t>
      </w:r>
    </w:p>
    <w:p>
      <w:pPr>
        <w:pStyle w:val="BodyText"/>
        <w:spacing w:line="480" w:lineRule="auto"/>
        <w:ind w:firstLine="720"/>
      </w:pPr>
      <w:r>
        <w:t xml:space="preserve">What about incumbent advantage? That question stays open.</w:t>
      </w:r>
    </w:p>
    <w:p>
      <w:pPr>
        <w:pStyle w:val="BodyText"/>
        <w:spacing w:line="480" w:lineRule="auto"/>
        <w:ind w:firstLine="720"/>
      </w:pPr>
      <w:r>
        <w:t xml:space="preserve">Legacy aerospace firms have compliance systems, engineering depth, and government contracting experience. New entrants may have lower cost structures, different risk tolerance, and stronger incentives to commercialize beyond government demand. Commercial Crew included both types. Boeing and United Launch Alliance appeared as established aerospace participants; ATK also entered from the legacy industrial base. SpaceX, Blue Origin, Sierra Nevada, Paragon, and Excalibur Almaz represented different forms of newer or more specialized commercial participation. The OLS incumbent coefficient is positive but not statistically significant, which is consistent with a mixed field rather than a simple incumbent-capture story.</w:t>
      </w:r>
    </w:p>
    <w:p>
      <w:pPr>
        <w:pStyle w:val="BodyText"/>
        <w:spacing w:line="480" w:lineRule="auto"/>
        <w:ind w:firstLine="720"/>
      </w:pPr>
      <w:r>
        <w:t xml:space="preserve">NASA’s official record adds nuance to that point. Boeing received the larger CCtCap award, but SpaceX completed certification first and remained the only operational provider at the September 2024 cutoff</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A procurement record that looks redundant at award can become concentrated in operation if one provider lags certification. The literature on governance transition must therefore distinguish between contractual competition and operational competition. Contract awards create options. Certification and service performance convert options into actual redundancy. This distinction is central for future anchor-tenant design.</w:t>
      </w:r>
    </w:p>
    <w:p>
      <w:pPr>
        <w:pStyle w:val="BodyText"/>
        <w:spacing w:line="480" w:lineRule="auto"/>
        <w:ind w:firstLine="720"/>
      </w:pPr>
      <w:r>
        <w:t xml:space="preserve">Commercial cargo supplies a relevant precedent because it shows that Commercial Crew did not emerge from no experience. NASA’s commercial cargo and orbital transportation service arrangements used funded agreements, milestone verification, and later service contracts to bring private providers into ISS logistics</w:t>
      </w:r>
      <w:r>
        <w:t xml:space="preserve"> </w:t>
      </w:r>
      <w:hyperlink w:anchor="ref-10">
        <w:r>
          <w:rPr>
            <w:rStyle w:val="Hyperlink"/>
          </w:rPr>
          <w:t xml:space="preserve">[10]</w:t>
        </w:r>
      </w:hyperlink>
      <w:r>
        <w:t xml:space="preserve">. That precedent supports the interpretation of Commercial Crew as part of a broader procurement strategy. The agency was not merely purchasing a one-time system. It was experimenting with a way to move from development support to commercial service provision. This dissertation’s company-phase approach could be extended to cargo, lunar payload services, and other service markets.</w:t>
      </w:r>
    </w:p>
    <w:p>
      <w:pPr>
        <w:pStyle w:val="BodyText"/>
        <w:spacing w:line="480" w:lineRule="auto"/>
        <w:ind w:firstLine="720"/>
      </w:pPr>
      <w:r>
        <w:t xml:space="preserve">A welfare question surfaces that this dissertation does not fully answer. Concentration is not inherently bad. A safety-critical service may require enough demand per provider to sustain capability. Too many underfunded providers can be worse than a smaller number of well-capitalized ones. At the same time, excessive concentration can raise prices, reduce resilience, and weaken bargaining power. The correct policy objective is not maximum entry at every phase. The target is different. It is credible competition at the phase where the agency depends on operational service. The dissertation’s concentration measure is a diagnostic input to that policy judgment, not a welfare measure by itself.</w:t>
      </w:r>
    </w:p>
    <w:p>
      <w:pPr>
        <w:pStyle w:val="BodyText"/>
        <w:spacing w:line="480" w:lineRule="auto"/>
        <w:ind w:firstLine="720"/>
      </w:pPr>
      <w:r>
        <w:t xml:space="preserve">This review therefore identifies the dissertation’s gap in three parts. First, the domain literature explains why public customers matter but does not estimate how award scale predicts procurement continuation. Second, sector-level space-economy accounts measure government and commercial activity but do not identify the relation between public commitments and private-sector formation. Third, procurement and econometric logic warns that market creation must be analyzed together with selection and concentration. The dissertation addresses those gaps by measuring continuation and concentration in a single official program record.</w:t>
      </w:r>
    </w:p>
    <w:p>
      <w:pPr>
        <w:pStyle w:val="BodyText"/>
        <w:spacing w:line="480" w:lineRule="auto"/>
        <w:ind w:firstLine="720"/>
      </w:pPr>
      <w:r>
        <w:t xml:space="preserve">Why does the dissertation rely only on official NASA and NASA Office of Inspector General sources for the empirical record? The research question depends on documented award values, documented phase membership, and documented operational certification status. NASA’s program history provides the phase-award table</w:t>
      </w:r>
      <w:r>
        <w:t xml:space="preserve"> </w:t>
      </w:r>
      <w:hyperlink w:anchor="ref-9">
        <w:r>
          <w:rPr>
            <w:rStyle w:val="Hyperlink"/>
          </w:rPr>
          <w:t xml:space="preserve">[9]</w:t>
        </w:r>
      </w:hyperlink>
      <w:r>
        <w:t xml:space="preserve">. NASA’s certification announcement identifies SpaceX’s terminal outcome</w:t>
      </w:r>
      <w:r>
        <w:t xml:space="preserve"> </w:t>
      </w:r>
      <w:hyperlink w:anchor="ref-11">
        <w:r>
          <w:rPr>
            <w:rStyle w:val="Hyperlink"/>
          </w:rPr>
          <w:t xml:space="preserve">[11]</w:t>
        </w:r>
      </w:hyperlink>
      <w:r>
        <w:t xml:space="preserve">. The Inspector General establishes Boeing’s terminal status as of September 2024</w:t>
      </w:r>
      <w:r>
        <w:t xml:space="preserve"> </w:t>
      </w:r>
      <w:hyperlink w:anchor="ref-12">
        <w:r>
          <w:rPr>
            <w:rStyle w:val="Hyperlink"/>
          </w:rPr>
          <w:t xml:space="preserve">[12]</w:t>
        </w:r>
      </w:hyperlink>
      <w:r>
        <w:t xml:space="preserve">. Using those sources reduces the risk of retrospective reinterpretation and makes the dataset auditable row by row.</w:t>
      </w:r>
    </w:p>
    <w:p>
      <w:pPr>
        <w:pStyle w:val="BodyText"/>
        <w:spacing w:line="480" w:lineRule="auto"/>
        <w:ind w:firstLine="720"/>
      </w:pPr>
      <w:r>
        <w:t xml:space="preserve">Consequently, the contribution is methodological as much as substantive. It shows how a policy concept can be translated into an empirical object. Anchor tenancy is often invoked at the program or sector level. This dissertation operationalizes it at the company-phase level. That unit links the policy instrument to a provider outcome and to a distributional measure. It can be replicated in other procurement sequences where official award records exist.</w:t>
      </w:r>
    </w:p>
    <w:p>
      <w:pPr>
        <w:pStyle w:val="BodyText"/>
        <w:spacing w:line="480" w:lineRule="auto"/>
        <w:ind w:firstLine="720"/>
      </w:pPr>
      <w:r>
        <w:t xml:space="preserve">One limitation stands above the rest: continuation and concentration are not the same as private crowd-in. A provider can continue because public money substitutes for private capital. A concentrated award can attract investors to the winner while discouraging investment in competitors. The true capital-market multiplier could be positive for the recipient and negative for the segment. The prospectus explicitly recognizes this possibility and proposes a future firm-month design. The present dissertation supplies the procurement-side measurements needed before that design can be credibly interpreted.</w:t>
      </w:r>
    </w:p>
    <w:p>
      <w:pPr>
        <w:pStyle w:val="BodyText"/>
        <w:spacing w:line="480" w:lineRule="auto"/>
        <w:ind w:firstLine="720"/>
      </w:pPr>
      <w:r>
        <w:t xml:space="preserve">A modest but meaningful research agenda follows. Public purchase commitments in space should be analyzed as market-creating instruments with measurable internal mechanics. The first mechanic is whether commitment scale is associated with firm continuation. The second is whether maturation concentrates public demand. The third, left for future work, is whether the selected firms and their segments experience private capital crowd-in or crowd-out. By isolating the first two mechanics in Commercial Crew, this dissertation gives the broader anchor-tenant debate an empirical foundation.</w:t>
      </w:r>
    </w:p>
    <w:bookmarkStart w:id="64" w:name="X3c836812598fcb0ee3ae402ba0d447e5e3192ed"/>
    <w:p>
      <w:pPr>
        <w:pStyle w:val="Heading2"/>
        <w:spacing w:line="480" w:lineRule="auto"/>
      </w:pPr>
      <w:r>
        <w:t xml:space="preserve">Procurement Literature and the Missing Micro-Mechanism</w:t>
      </w:r>
    </w:p>
    <w:p>
      <w:pPr>
        <w:pStyle w:val="FirstParagraph"/>
        <w:spacing w:line="480" w:lineRule="auto"/>
      </w:pPr>
      <w:r>
        <w:t xml:space="preserve">A further reason for joining the domain and method literatures is that procurement scholarship often stops at contract form while space-economy scholarship often stops at sector transformation. Fixed-price contracting, funded agreements, and milestone payments are treated as institutional choices, but their firm-level consequences are rarely measured in the same analysis. New Space scholarship describes entrants and private capital, but it often treats procurement reform as context rather than as a variable. The anchor-tenant question requires both pieces at once.</w:t>
      </w:r>
    </w:p>
    <w:p>
      <w:pPr>
        <w:pStyle w:val="BodyText"/>
        <w:spacing w:line="480" w:lineRule="auto"/>
        <w:ind w:firstLine="720"/>
      </w:pPr>
      <w:r>
        <w:t xml:space="preserve">Commercial Crew is useful because the procurement instrument and the market-formation outcome are connected in the public record. NASA named the participating firms, assigned award values, and moved through observable phases</w:t>
      </w:r>
      <w:r>
        <w:t xml:space="preserve"> </w:t>
      </w:r>
      <w:hyperlink w:anchor="ref-9">
        <w:r>
          <w:rPr>
            <w:rStyle w:val="Hyperlink"/>
          </w:rPr>
          <w:t xml:space="preserve">[9]</w:t>
        </w:r>
      </w:hyperlink>
      <w:r>
        <w:t xml:space="preserve">. The official certification and oversight record then identified which final providers converted awards into operational capability by the relevant dates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This makes it possible to treat procurement as a sequence of measurable commitments rather than as a narrative backdrop. The dissertation uses that sequence to ask whether the public buyer’s own commitments predicted continuation and changed demand concentration.</w:t>
      </w:r>
    </w:p>
    <w:p>
      <w:pPr>
        <w:pStyle w:val="BodyText"/>
        <w:spacing w:line="480" w:lineRule="auto"/>
        <w:ind w:firstLine="720"/>
      </w:pPr>
      <w:r>
        <w:t xml:space="preserve">Cost savings alone, the literature suggests, cannot carry the evaluation of anchor tenancy. Lower public cost compared with a traditional procurement path would be valuable, but it would not answer whether the market created by the public buyer is resilient, competitive, or capable of drawing private capital. A service can be cheaper in the short run while leaving the agency dependent on one operational provider. A portfolio can be broad in early phases while failing to produce multiple certified providers. The literature on governance transition points toward these institutional questions, but the company-phase dataset allows them to be measured.</w:t>
      </w:r>
    </w:p>
    <w:p>
      <w:pPr>
        <w:pStyle w:val="BodyText"/>
        <w:spacing w:line="480" w:lineRule="auto"/>
        <w:ind w:firstLine="720"/>
      </w:pPr>
      <w:r>
        <w:t xml:space="preserve">This gap is likely to grow as agencies use commercial-service models in more domains. Lunar payload delivery, commercial space stations, space communications, and Earth observation data buys will all generate procurement records before they generate long private revenue histories. Researchers who wait for mature market data will miss the formative period when public demand shapes the provider set. The dissertation’s approach is therefore not only about Commercial Crew. It is a template for studying new space markets while they are still being organized by public customers.</w:t>
      </w:r>
    </w:p>
    <w:bookmarkEnd w:id="64"/>
    <w:bookmarkStart w:id="65" w:name="X4e905ea9257c8d97eddd51b7f5ae4d7115b3f73"/>
    <w:p>
      <w:pPr>
        <w:pStyle w:val="Heading2"/>
        <w:spacing w:line="480" w:lineRule="auto"/>
      </w:pPr>
      <w:r>
        <w:t xml:space="preserve">Synthesis of Prior Findings for Hypothesis Design</w:t>
      </w:r>
    </w:p>
    <w:p>
      <w:pPr>
        <w:pStyle w:val="FirstParagraph"/>
        <w:spacing w:line="480" w:lineRule="auto"/>
      </w:pPr>
      <w:r>
        <w:t xml:space="preserve">At least four pathways for public commitments emerge from the reviewed sources: resource provision, credibility signaling, option preservation, and final demand concentration. Weinzierl’s frontier account supports the resource and coordination logic</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Denis and colleagues support the view that private financing and public procurement evolved together in the New Space transition</w:t>
      </w:r>
      <w:r>
        <w:t xml:space="preserve"> </w:t>
      </w:r>
      <w:hyperlink w:anchor="ref-2">
        <w:r>
          <w:rPr>
            <w:rStyle w:val="Hyperlink"/>
          </w:rPr>
          <w:t xml:space="preserve">[2]</w:t>
        </w:r>
      </w:hyperlink>
      <w:r>
        <w:t xml:space="preserve">. Zancan and colleagues show that governance arrangements, not only technologies, changed in the shift from legacy space to New Space</w:t>
      </w:r>
      <w:r>
        <w:t xml:space="preserve"> </w:t>
      </w:r>
      <w:hyperlink w:anchor="ref-1">
        <w:r>
          <w:rPr>
            <w:rStyle w:val="Hyperlink"/>
          </w:rPr>
          <w:t xml:space="preserve">[1]</w:t>
        </w:r>
      </w:hyperlink>
      <w:r>
        <w:t xml:space="preserve">. NASA’s Commercial Crew record supplies the operational sequence in which those ideas can be tested</w:t>
      </w:r>
      <w:r>
        <w:t xml:space="preserve"> </w:t>
      </w:r>
      <w:hyperlink w:anchor="ref-9">
        <w:r>
          <w:rPr>
            <w:rStyle w:val="Hyperlink"/>
          </w:rPr>
          <w:t xml:space="preserve">[9]</w:t>
        </w:r>
      </w:hyperlink>
      <w:r>
        <w:t xml:space="preserve">.</w:t>
      </w:r>
    </w:p>
    <w:p>
      <w:pPr>
        <w:pStyle w:val="BodyText"/>
        <w:spacing w:line="480" w:lineRule="auto"/>
        <w:ind w:firstLine="720"/>
      </w:pPr>
      <w:r>
        <w:t xml:space="preserve">Both hypotheses follow that synthesis. The continuation hypothesis tests whether the resource and credibility mechanisms appear in the observed path. The concentration hypothesis tests whether option preservation gives way to selected commitment as the public buyer moves toward service. Neither hypothesis requires that private capital crowd-in has already been proven. Instead, each identifies a procurement-side condition that a later capital-market study must incorporate. This is the main bridge from literature review to empirical design.</w:t>
      </w:r>
    </w:p>
    <w:bookmarkEnd w:id="65"/>
    <w:bookmarkStart w:id="66" w:name="X1d4f580aeed4980cd50f38fea986069ba73c308"/>
    <w:p>
      <w:pPr>
        <w:pStyle w:val="Heading2"/>
        <w:spacing w:line="480" w:lineRule="auto"/>
      </w:pPr>
      <w:r>
        <w:t xml:space="preserve">Relationship to Broader Space-Economy Measurement</w:t>
      </w:r>
    </w:p>
    <w:p>
      <w:pPr>
        <w:pStyle w:val="FirstParagraph"/>
        <w:spacing w:line="480" w:lineRule="auto"/>
      </w:pPr>
      <w:r>
        <w:t xml:space="preserve">Sector-level space-economy measurement remains necessary. Forecasting frameworks and national accounts help describe the size of public budgets, commercial revenues, and downstream services</w:t>
      </w:r>
      <w:r>
        <w:t xml:space="preserve"> </w:t>
      </w:r>
      <w:hyperlink w:anchor="ref-3">
        <w:r>
          <w:rPr>
            <w:rStyle w:val="Hyperlink"/>
          </w:rPr>
          <w:t xml:space="preserve">[3]</w:t>
        </w:r>
      </w:hyperlink>
      <w:r>
        <w:t xml:space="preserve">. They are less suited to identifying how a named public commitment affects a named provider. The dissertation’s company-phase approach should therefore be seen as complementary to aggregate measurement. Aggregates show the scale of the sector. Micro-procurement data show how the sector is formed.</w:t>
      </w:r>
    </w:p>
    <w:p>
      <w:pPr>
        <w:pStyle w:val="BodyText"/>
        <w:spacing w:line="480" w:lineRule="auto"/>
        <w:ind w:firstLine="720"/>
      </w:pPr>
      <w:r>
        <w:t xml:space="preserve">This complementarity is significant for policy evaluation. A government program could coincide with sector growth without causing it. A firm could receive a public award during a period when private capital was already increasing. Conversely, a public award could prevent a provider from exiting even if aggregate sector metrics look flat. The company-phase dataset gives researchers a way to connect public action to provider trajectories before drawing conclusions from aggregate trends.</w:t>
      </w:r>
    </w:p>
    <w:p>
      <w:pPr>
        <w:pStyle w:val="BodyText"/>
        <w:spacing w:line="480" w:lineRule="auto"/>
        <w:ind w:firstLine="720"/>
      </w:pPr>
      <w:r>
        <w:t xml:space="preserve">Prior work supports this multi-level view. Weinzierl’s frontier account helps explain why public action may be needed at all</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Denis and colleagues explain the changing industrial and financial context</w:t>
      </w:r>
      <w:r>
        <w:t xml:space="preserve"> </w:t>
      </w:r>
      <w:hyperlink w:anchor="ref-2">
        <w:r>
          <w:rPr>
            <w:rStyle w:val="Hyperlink"/>
          </w:rPr>
          <w:t xml:space="preserve">[2]</w:t>
        </w:r>
      </w:hyperlink>
      <w:r>
        <w:t xml:space="preserve">. Zancan and colleagues explain governance transition</w:t>
      </w:r>
      <w:r>
        <w:t xml:space="preserve"> </w:t>
      </w:r>
      <w:hyperlink w:anchor="ref-1">
        <w:r>
          <w:rPr>
            <w:rStyle w:val="Hyperlink"/>
          </w:rPr>
          <w:t xml:space="preserve">[1]</w:t>
        </w:r>
      </w:hyperlink>
      <w:r>
        <w:t xml:space="preserve">. OCEA-style accounting frames the sector’s components</w:t>
      </w:r>
      <w:r>
        <w:t xml:space="preserve"> </w:t>
      </w:r>
      <w:hyperlink w:anchor="ref-3">
        <w:r>
          <w:rPr>
            <w:rStyle w:val="Hyperlink"/>
          </w:rPr>
          <w:t xml:space="preserve">[3]</w:t>
        </w:r>
      </w:hyperlink>
      <w:r>
        <w:t xml:space="preserve">. The dissertation adds the micro-level procurement mechanism that these accounts require but do not estimate.</w:t>
      </w:r>
    </w:p>
    <w:bookmarkEnd w:id="66"/>
    <w:bookmarkEnd w:id="67"/>
    <w:bookmarkStart w:id="71"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Anchor tenancy is a theory about demand under uncertainty. A public agency commits to buy a service before a fully private market can sustain the provider base needed to deliver it. The commitment is valuable because it changes expectations. Firms see a possible revenue stream, investors see a customer with budget authority, suppliers see a reason to enter the production network, and the public agency sees a way to purchase capability without owning every asset. The theory is plausible in space because the sector combines high fixed costs, technical risk, long development horizons, and limited early commercial demand</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Turned into a policy instrument, though, the theory loses clarity. A public purchase commitment can crowd in private activity by reducing demand risk. It can also crowd out private activity by substituting public revenue for market discovery. It cuts both ways. It can discipline firms through milestones, or it can soften budget constraints. It can expand entry in early phases, or it can concentrate final demand in a small number of providers, so a rigorous theory must identify mechanisms that point in different directions rather than assume that public demand is automatically beneficial.</w:t>
      </w:r>
    </w:p>
    <w:p>
      <w:pPr>
        <w:pStyle w:val="BodyText"/>
        <w:spacing w:line="480" w:lineRule="auto"/>
        <w:ind w:firstLine="720"/>
      </w:pPr>
      <w:r>
        <w:t xml:space="preserve">This dissertation develops a two-channel framework. The first channel is continuation. A provider that receives a larger commitment is more likely to remain in the procurement path because the commitment finances work, signals credibility, and anchors organizational effort. The second channel is concentration. As procurement matures from exploration to operational service, the public buyer allocates larger shares of commitments to fewer providers. These channels are linked. Continuation produces survivors, and concentration gives the survivors a larger claim on public demand. Together, they create the institutional pathway through which private capital could be crowded in.</w:t>
      </w:r>
    </w:p>
    <w:p>
      <w:pPr>
        <w:pStyle w:val="BodyText"/>
        <w:spacing w:line="480" w:lineRule="auto"/>
        <w:ind w:firstLine="720"/>
      </w:pPr>
      <w:r>
        <w:t xml:space="preserve">Begin with a firm facing a costly development decision. The firm can invest in a service capability, wait, or exit. Its expected payoff depends on the probability of future demand, the cost of development, the chance of technical success, and the availability of external finance. In space, the development cost is often large before revenue is available. Private investors may value the upside but still hesitate because the timing and reliability of demand are uncertain. A public purchase commitment changes the expected payoff by making at least part of demand visible and by attaching payment to milestones.</w:t>
      </w:r>
    </w:p>
    <w:p>
      <w:pPr>
        <w:pStyle w:val="BodyText"/>
        <w:spacing w:line="480" w:lineRule="auto"/>
        <w:ind w:firstLine="720"/>
      </w:pPr>
      <w:r>
        <w:t xml:space="preserve">This logic is consistent with Weinzierl’s treatment of space as a frontier in which the state can help overcome coordination and fixed-cost barriers</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It is also consistent with the New Space literature’s emphasis on shifting from government-owned systems to service procurement from private providers</w:t>
      </w:r>
      <w:r>
        <w:t xml:space="preserve"> </w:t>
      </w:r>
      <w:hyperlink w:anchor="ref-2">
        <w:r>
          <w:rPr>
            <w:rStyle w:val="Hyperlink"/>
          </w:rPr>
          <w:t xml:space="preserve">[2]</w:t>
        </w:r>
      </w:hyperlink>
      <w:r>
        <w:t xml:space="preserve">. The public customer is not merely correcting a small market failure. It is participating in the creation of the market category. That role is most defensible when the agency can define the service, evaluate milestones, and avoid locking itself into a provider before enough information is available.</w:t>
      </w:r>
    </w:p>
    <w:p>
      <w:pPr>
        <w:pStyle w:val="BodyText"/>
        <w:spacing w:line="480" w:lineRule="auto"/>
        <w:ind w:firstLine="720"/>
      </w:pPr>
      <w:r>
        <w:t xml:space="preserve">Three mechanisms drive the continuation channel. The first is resource transfer. A larger award provides funds that can support engineering labor, tests, materials, certification work, and management systems. Even when an award does not cover total development cost, it reduces the amount of unrestricted capital the firm must supply. The second is information. Selection by NASA conveys that the provider has passed technical and administrative review. That signal can matter to investors and suppliers because NASA’s expertise is costly to replicate. The third is commitment. An award creates a structured path of milestones that can organize internal effort and make withdrawal less attractive.</w:t>
      </w:r>
    </w:p>
    <w:p>
      <w:pPr>
        <w:pStyle w:val="BodyText"/>
        <w:spacing w:line="480" w:lineRule="auto"/>
        <w:ind w:firstLine="720"/>
      </w:pPr>
      <w:r>
        <w:t xml:space="preserve">Those mechanisms do not imply that larger awards cause success in a simple sense. NASA may allocate larger awards to firms that are already more capable. The award may reveal rather than create quality. Yet the distinction is not fatal for the continuation channel. If the question is whether public commitment is part of the mechanism by which a portfolio becomes operational, the association between scale and continuation is still informative. It shows that the selected pathway is not random with respect to commitment size. The causal question requires stronger data; the mechanism question can begin with the official program record.</w:t>
      </w:r>
    </w:p>
    <w:p>
      <w:pPr>
        <w:pStyle w:val="BodyText"/>
        <w:spacing w:line="480" w:lineRule="auto"/>
        <w:ind w:firstLine="720"/>
      </w:pPr>
      <w:r>
        <w:t xml:space="preserve">Concentration begins from a different premise. A public buyer facing uncertainty wants options. Early phases can be designed to learn about multiple providers and technologies at modest cost. Later phases require deeper work packages, safety verification, integration, and sustained service commitments. The buyer cannot usually preserve every option through final certification because budget, mission cadence, oversight capacity, and operational complexity impose limits. The provider set narrows, and the share of commitments received by each remaining provider rises.</w:t>
      </w:r>
    </w:p>
    <w:p>
      <w:pPr>
        <w:pStyle w:val="BodyText"/>
        <w:spacing w:line="480" w:lineRule="auto"/>
        <w:ind w:firstLine="720"/>
      </w:pPr>
      <w:r>
        <w:t xml:space="preserve">This dynamic is visible in Commercial Crew. The early development rounds funded several providers. The integrated capability and certification phases retained fewer. The final capability phase divided large commitments between two providers. NASA’s program history supplies the award record that makes this sequence observable</w:t>
      </w:r>
      <w:r>
        <w:t xml:space="preserve"> </w:t>
      </w:r>
      <w:hyperlink w:anchor="ref-9">
        <w:r>
          <w:rPr>
            <w:rStyle w:val="Hyperlink"/>
          </w:rPr>
          <w:t xml:space="preserve">[9]</w:t>
        </w:r>
      </w:hyperlink>
      <w:r>
        <w:t xml:space="preserve">. The concentration channel therefore describes a procurement sequence rather than an abstract market equilibrium. It is about how a public agency distributes its commitments across phases.</w:t>
      </w:r>
    </w:p>
    <w:p>
      <w:pPr>
        <w:pStyle w:val="BodyText"/>
        <w:spacing w:line="480" w:lineRule="auto"/>
        <w:ind w:firstLine="720"/>
      </w:pPr>
      <w:r>
        <w:t xml:space="preserve">Concentration has ambiguous welfare implications. It can be efficient because later phases require scale. A provider cannot maintain a safety-critical crew transportation system without enough demand to justify certification, operations, and continuous engineering attention. Very small awards spread across too many firms may fail to carry any provider to service. Yet concentration can also reduce competition and resilience. If one of two providers is delayed, the agency may depend on the other, as NASA did when SpaceX was the only operational commercial crew provider at the September 2024 cutoff</w:t>
      </w:r>
      <w:r>
        <w:t xml:space="preserve"> </w:t>
      </w:r>
      <w:hyperlink w:anchor="ref-12">
        <w:r>
          <w:rPr>
            <w:rStyle w:val="Hyperlink"/>
          </w:rPr>
          <w:t xml:space="preserve">[12]</w:t>
        </w:r>
      </w:hyperlink>
      <w:r>
        <w:t xml:space="preserve">. The theory therefore treats concentration as a necessary object of measurement, not as evidence of failure by itself.</w:t>
      </w:r>
    </w:p>
    <w:p>
      <w:pPr>
        <w:pStyle w:val="BodyText"/>
        <w:spacing w:line="480" w:lineRule="auto"/>
        <w:ind w:firstLine="720"/>
      </w:pPr>
      <w:r>
        <w:t xml:space="preserve">Together, the two channels create a staged model of anchor tenancy. Stage one is exploration. The public buyer makes modest commitments to several firms to learn about capabilities and preserve alternatives. Stage two is selection. The buyer increases commitments to firms that appear capable of advancing. Stage three is operational anchoring. The buyer commits large service or capability awards to a small provider set. Stage four is market response. Private investors, suppliers, and customers respond to the selected providers and service category. This dissertation estimates stages two and three. It does not directly estimate stage four.</w:t>
      </w:r>
    </w:p>
    <w:p>
      <w:pPr>
        <w:pStyle w:val="BodyText"/>
        <w:spacing w:line="480" w:lineRule="auto"/>
        <w:ind w:firstLine="720"/>
      </w:pPr>
      <w:r>
        <w:t xml:space="preserve">Staging explains why the prospectus’s full crowd-in hypothesis is broader than the empirical papers. The prospectus asks whether federal anchor-tenant awards increase private capital formation in the awarded firm and in the competitive segment. That requires capital-raise data and comparison firms. The papers ask whether the procurement pathway itself exhibits continuation and concentration. Those mechanisms are necessary but not sufficient for private crowd-in. If they are absent, the crowd-in theory is weak. If they are present, the next research step is justified.</w:t>
      </w:r>
    </w:p>
    <w:p>
      <w:pPr>
        <w:pStyle w:val="BodyText"/>
        <w:spacing w:line="480" w:lineRule="auto"/>
        <w:ind w:firstLine="720"/>
      </w:pPr>
      <w:r>
        <w:t xml:space="preserve">Formal hypotheses follow from this logic. The first concerns continuation:</w:t>
      </w:r>
    </w:p>
    <w:p>
      <w:pPr>
        <w:pStyle w:val="BlockText"/>
        <w:spacing w:line="480" w:lineRule="auto"/>
      </w:pPr>
      <w:r>
        <w:rPr>
          <w:b/>
          <w:bCs/>
        </w:rPr>
        <w:t xml:space="preserve">H1a.</w:t>
      </w:r>
      <w:r>
        <w:t xml:space="preserve"> </w:t>
      </w:r>
      <w:r>
        <w:t xml:space="preserve">A larger NASA Commercial Crew award is associated with a higher probability that a provider advances to the next phase or achieves operational certification, conditional on prior participation.</w:t>
      </w:r>
    </w:p>
    <w:p>
      <w:pPr>
        <w:pStyle w:val="FirstParagraph"/>
        <w:spacing w:line="480" w:lineRule="auto"/>
      </w:pPr>
      <w:r>
        <w:t xml:space="preserve">For H1a, the null is that the coefficient on logged award value equals zero. The alternative is positive. The sign is grounded in the resource, information, and commitment mechanisms described above. The logarithmic form reflects diminishing marginal interpretability of nominal dollars across a procurement sequence that moves from small development awards to multibillion-dollar capability contracts.</w:t>
      </w:r>
    </w:p>
    <w:p>
      <w:pPr>
        <w:pStyle w:val="BodyText"/>
        <w:spacing w:line="480" w:lineRule="auto"/>
        <w:ind w:firstLine="720"/>
      </w:pPr>
      <w:r>
        <w:t xml:space="preserve">Prior participation is included because it captures accumulated program exposure. Its sign is theoretically ambiguous. Participation may represent learning, familiarity with NASA, and accumulated milestone experience. It may also identify firms that remained in early option portfolios without becoming final providers. A negative coefficient is possible if repeated participation without large current commitment reflects persistence before down-selection rather than durable advantage. The theory therefore does not elevate prior participation to a confirmatory hypothesis.</w:t>
      </w:r>
    </w:p>
    <w:p>
      <w:pPr>
        <w:pStyle w:val="BodyText"/>
        <w:spacing w:line="480" w:lineRule="auto"/>
        <w:ind w:firstLine="720"/>
      </w:pPr>
      <w:r>
        <w:t xml:space="preserve">A second hypothesis concerns concentration:</w:t>
      </w:r>
    </w:p>
    <w:p>
      <w:pPr>
        <w:pStyle w:val="BlockText"/>
        <w:spacing w:line="480" w:lineRule="auto"/>
      </w:pPr>
      <w:r>
        <w:rPr>
          <w:b/>
          <w:bCs/>
        </w:rPr>
        <w:t xml:space="preserve">H1b.</w:t>
      </w:r>
      <w:r>
        <w:t xml:space="preserve"> </w:t>
      </w:r>
      <w:r>
        <w:t xml:space="preserve">A later Commercial Crew procurement phase is associated with a larger company share of announced phase commitments, conditional on legacy-incumbent status.</w:t>
      </w:r>
    </w:p>
    <w:p>
      <w:pPr>
        <w:pStyle w:val="FirstParagraph"/>
        <w:spacing w:line="480" w:lineRule="auto"/>
      </w:pPr>
      <w:r>
        <w:t xml:space="preserve">For H1b, the null is that the coefficient on phase index equals zero. The alternative is positive. The theoretical basis is the movement from exploration to operational commitment. Later phases require more concentrated resources because the buyer has learned from earlier phases and because service capability requires deeper commitment per provider.</w:t>
      </w:r>
    </w:p>
    <w:p>
      <w:pPr>
        <w:pStyle w:val="BodyText"/>
        <w:spacing w:line="480" w:lineRule="auto"/>
        <w:ind w:firstLine="720"/>
      </w:pPr>
      <w:r>
        <w:t xml:space="preserve">Legacy-incumbent status is included because it could confound the concentration pattern. Established aerospace firms may receive larger shares due to experience, facilities, and government-contracting systems. At the same time, commercial procurement is partly designed to admit entrants and alternative business models. The expected sign is therefore ambiguous. The control helps distinguish a phase-maturity pattern from a simple incumbent-allocation pattern.</w:t>
      </w:r>
    </w:p>
    <w:p>
      <w:pPr>
        <w:pStyle w:val="BodyText"/>
        <w:spacing w:line="480" w:lineRule="auto"/>
        <w:ind w:firstLine="720"/>
      </w:pPr>
      <w:r>
        <w:t xml:space="preserve">This theory requires careful treatment of the unit of analysis. The company-phase observation is not the same as a firm-year or a contract-action record. It combines a firm identity, a procurement phase, an announced award, and a phase-specific outcome. That unit is appropriate because the hypotheses are about movement through the procurement funnel. It captures when the public buyer makes a decision relevant to both continuation and share of public demand.</w:t>
      </w:r>
    </w:p>
    <w:p>
      <w:pPr>
        <w:pStyle w:val="BodyText"/>
        <w:spacing w:line="480" w:lineRule="auto"/>
        <w:ind w:firstLine="720"/>
      </w:pPr>
      <w:r>
        <w:t xml:space="preserve">One more requirement is a defined terminal condition. In earlier phases, continuation is observed by appearance in the next phase. In the final phase, no subsequent phase exists. The terminal outcome is operational certification by a fixed cutoff. SpaceX receives a continuation outcome of one because NASA certified its human-rated commercial system in November 2020</w:t>
      </w:r>
      <w:r>
        <w:t xml:space="preserve"> </w:t>
      </w:r>
      <w:hyperlink w:anchor="ref-11">
        <w:r>
          <w:rPr>
            <w:rStyle w:val="Hyperlink"/>
          </w:rPr>
          <w:t xml:space="preserve">[11]</w:t>
        </w:r>
      </w:hyperlink>
      <w:r>
        <w:t xml:space="preserve">. Boeing receives zero because the September 2024 Inspector General report describes Starliner as uncertified at that date</w:t>
      </w:r>
      <w:r>
        <w:t xml:space="preserve"> </w:t>
      </w:r>
      <w:hyperlink w:anchor="ref-12">
        <w:r>
          <w:rPr>
            <w:rStyle w:val="Hyperlink"/>
          </w:rPr>
          <w:t xml:space="preserve">[12]</w:t>
        </w:r>
      </w:hyperlink>
      <w:r>
        <w:t xml:space="preserve">. This coding choice aligns the terminal outcome with the program’s service objective.</w:t>
      </w:r>
    </w:p>
    <w:p>
      <w:pPr>
        <w:pStyle w:val="BodyText"/>
        <w:spacing w:line="480" w:lineRule="auto"/>
        <w:ind w:firstLine="720"/>
      </w:pPr>
      <w:r>
        <w:t xml:space="preserve">There are three threats to the theoretical interpretation. The first is selection. NASA does not allocate awards randomly. Larger commitments may reflect NASA’s private information about firm quality. The second is phase scope. Later phases are not only later in time; they are different kinds of work. The movement from development to certification to capability changes the meaning of the award. The third is external demand. Firms may pursue private customers, other government contracts, or internal strategic goals that affect continuation independently of NASA’s award. These threats limit causal claims but do not erase the relevance of the observed associations.</w:t>
      </w:r>
    </w:p>
    <w:p>
      <w:pPr>
        <w:pStyle w:val="BodyText"/>
        <w:spacing w:line="480" w:lineRule="auto"/>
        <w:ind w:firstLine="720"/>
      </w:pPr>
      <w:r>
        <w:t xml:space="preserve">This framework treats the threats as boundaries. The dissertation does not estimate the pure causal effect of dollars on continuation. It estimates whether the procurement mechanism behaves as anchor-tenant theory expects. If larger commitments were unrelated to continuation, the theory’s internal logic would be suspect. If later phases were unrelated to concentration, the theory would miss the institutional distribution of demand. Positive results support the mechanism while leaving stronger causal identification for subsequent work.</w:t>
      </w:r>
    </w:p>
    <w:p>
      <w:pPr>
        <w:pStyle w:val="BodyText"/>
        <w:spacing w:line="480" w:lineRule="auto"/>
        <w:ind w:firstLine="720"/>
      </w:pPr>
      <w:r>
        <w:t xml:space="preserve">Provider-level and market-level effects also differ, and the framework makes that distinction explicit. A public commitment can help a recipient while harming or discouraging competitors. It can create a private-finance signal for one firm while reducing the expected addressable market for others. The segment-level consequence of crowd-in can therefore differ from the awarded-firm consequence. The prospectus includes this issue by proposing a secondary segment-level estimator. The present dissertation’s concentration analysis provides the measurement needed to interpret such spillovers. A high concentration path implies that recipient gains may coincide with competitor losses.</w:t>
      </w:r>
    </w:p>
    <w:p>
      <w:pPr>
        <w:pStyle w:val="BodyText"/>
        <w:spacing w:line="480" w:lineRule="auto"/>
        <w:ind w:firstLine="720"/>
      </w:pPr>
      <w:r>
        <w:t xml:space="preserve">This point connects to the Earth observation disruption literature, which treats new systems, markets, and governance arrangements as jointly evolving</w:t>
      </w:r>
      <w:r>
        <w:t xml:space="preserve"> </w:t>
      </w:r>
      <w:hyperlink w:anchor="ref-6">
        <w:r>
          <w:rPr>
            <w:rStyle w:val="Hyperlink"/>
          </w:rPr>
          <w:t xml:space="preserve">[6]</w:t>
        </w:r>
      </w:hyperlink>
      <w:r>
        <w:t xml:space="preserve">. New commercial services can change not only a firm’s financing but also customer expectations, data access, and competitive boundaries. The same logic applies to crew transportation. A certified commercial crew service changes NASA’s options, affects international partnership planning, and shapes expectations for future commercial human spaceflight. Anchor tenancy is therefore a market-structuring instrument, not only a financing instrument.</w:t>
      </w:r>
    </w:p>
    <w:p>
      <w:pPr>
        <w:pStyle w:val="BodyText"/>
        <w:spacing w:line="480" w:lineRule="auto"/>
        <w:ind w:firstLine="720"/>
      </w:pPr>
      <w:r>
        <w:t xml:space="preserve">Implications extend beyond Commercial Crew. Commercial cargo, lunar payload delivery, commercial space stations, communications services, and other procurement lines all involve public demand for privately provided capabilities. Each can be analyzed as a staged sequence. The variables may differ, but the conceptual questions remain: how broad was the early portfolio, how large were commitments, which providers continued, and how concentrated did demand become at service maturity. The company-phase method is portable if official award records and outcomes are available.</w:t>
      </w:r>
    </w:p>
    <w:p>
      <w:pPr>
        <w:pStyle w:val="BodyText"/>
        <w:spacing w:line="480" w:lineRule="auto"/>
        <w:ind w:firstLine="720"/>
      </w:pPr>
      <w:r>
        <w:t xml:space="preserve">By design, the theory is compatible with both crowd-in and crowd-out at the private-capital stage. A positive continuation channel and a positive concentration channel could lead to crowd-in if private investors treat public demand as credible revenue. The same channels could lead to crowd-out if public commitments replace private discipline or if concentration discourages investment in non-selected firms. The empirical papers do not force either conclusion. They establish the procurement-side facts that any capital-market interpretation must confront.</w:t>
      </w:r>
    </w:p>
    <w:p>
      <w:pPr>
        <w:pStyle w:val="BodyText"/>
        <w:spacing w:line="480" w:lineRule="auto"/>
        <w:ind w:firstLine="720"/>
      </w:pPr>
      <w:r>
        <w:t xml:space="preserve">So the theoretical contribution is a disciplined decomposition. Instead of asking whether anchor tenancy</w:t>
      </w:r>
      <w:r>
        <w:t xml:space="preserve"> </w:t>
      </w:r>
      <w:r>
        <w:t xml:space="preserve">“works”</w:t>
      </w:r>
      <w:r>
        <w:t xml:space="preserve"> </w:t>
      </w:r>
      <w:r>
        <w:t xml:space="preserve">in a single all-purpose sense, the dissertation asks which mechanism is being tested. Continuation asks whether commitment scale is associated with survival in the public procurement path. Concentration asks whether maturation changes the distribution of public demand. Private crowd-in asks whether capital responds after the public buyer has created selected providers and concentrated demand. Confusing these stages produces policy ambiguity. Separating them makes the theory testable.</w:t>
      </w:r>
    </w:p>
    <w:p>
      <w:pPr>
        <w:pStyle w:val="BodyText"/>
        <w:spacing w:line="480" w:lineRule="auto"/>
        <w:ind w:firstLine="720"/>
      </w:pPr>
      <w:r>
        <w:t xml:space="preserve">One final claim: anchor tenancy should be governed as a portfolio process. Early commitments should buy information and preserve options. Intermediate commitments should reward evidence from milestones. Final commitments should sustain enough providers to meet resilience and competition objectives. If the public buyer fails to move from portfolio to commitment, no provider may mature. If it moves too quickly or too narrowly, the market may become dependent on one provider. Commercial Crew illustrates the balance. It produced a successful certified provider, but the lag in Boeing certification shows how fragile operational redundancy can be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Economic reasoning and program logic thus converge on the hypotheses. H1a predicts a positive relationship between logged award value and continuation. H1b predicts a positive relationship between phase maturity and commitment share. These hypotheses do not exhaust the anchor-tenant question, but they identify the mechanisms that make the question empirically tractable. They turn a broad claim about public demand into measurable propositions about firms, phases, and awards.</w:t>
      </w:r>
    </w:p>
    <w:bookmarkStart w:id="68" w:name="boundary-conditions-of-the-theory"/>
    <w:p>
      <w:pPr>
        <w:pStyle w:val="Heading2"/>
        <w:spacing w:line="480" w:lineRule="auto"/>
      </w:pPr>
      <w:r>
        <w:t xml:space="preserve">Boundary Conditions of the Theory</w:t>
      </w:r>
    </w:p>
    <w:p>
      <w:pPr>
        <w:pStyle w:val="FirstParagraph"/>
        <w:spacing w:line="480" w:lineRule="auto"/>
      </w:pPr>
      <w:r>
        <w:t xml:space="preserve">Four conditions mark where the theory applies most clearly. First, the public customer must have credible demand. A nominal interest in a service is not enough. The buyer must possess budget authority, mission need, and the administrative capacity to make awards. Second, the service must require development or certification effort that private demand alone may not finance at the desired pace. Third, the provider set must contain more than one plausible approach at the early stage. Without a portfolio, there is no meaningful transition from exploration to selection. Fourth, the public customer must be able to evaluate milestones well enough to narrow the field on evidence rather than inertia.</w:t>
      </w:r>
    </w:p>
    <w:p>
      <w:pPr>
        <w:pStyle w:val="BodyText"/>
        <w:spacing w:line="480" w:lineRule="auto"/>
        <w:ind w:firstLine="720"/>
      </w:pPr>
      <w:r>
        <w:t xml:space="preserve">Commercial Crew satisfies these conditions. NASA had a continuing need for crew transportation to low Earth orbit. Providers needed substantial development and certification work before operational service. The early phases included multiple firms and architectures. The program moved through staged awards that created information before final capability commitments</w:t>
      </w:r>
      <w:r>
        <w:t xml:space="preserve"> </w:t>
      </w:r>
      <w:hyperlink w:anchor="ref-9">
        <w:r>
          <w:rPr>
            <w:rStyle w:val="Hyperlink"/>
          </w:rPr>
          <w:t xml:space="preserve">[9]</w:t>
        </w:r>
      </w:hyperlink>
      <w:r>
        <w:t xml:space="preserve">. These conditions make Commercial Crew a strong case for observing the anchor-tenant funnel, even if its human-spaceflight risk profile limits generalization.</w:t>
      </w:r>
    </w:p>
    <w:p>
      <w:pPr>
        <w:pStyle w:val="BodyText"/>
        <w:spacing w:line="480" w:lineRule="auto"/>
        <w:ind w:firstLine="720"/>
      </w:pPr>
      <w:r>
        <w:t xml:space="preserve">Where public demand is diffuse, where service definition is unstable, or where classification and proprietary restrictions hide the provider pathway, the theory applies less cleanly. In such cases, commitment scale may be difficult to measure, and continuation may have to be inferred from task orders, licenses, or operational deployments. The company-phase design can still be useful, but the variables may require adaptation. A commercial data-buy program might define continuation by recurring task orders. A lunar payload program might define it by manifested deliveries. A communications program might define it by operational service-level agreements.</w:t>
      </w:r>
    </w:p>
    <w:p>
      <w:pPr>
        <w:pStyle w:val="BodyText"/>
        <w:spacing w:line="480" w:lineRule="auto"/>
        <w:ind w:firstLine="720"/>
      </w:pPr>
      <w:r>
        <w:t xml:space="preserve">Not all concentration is alike. Productive concentration occurs when the buyer narrows the portfolio after learning which providers can satisfy milestones and when the remaining providers receive enough demand to sustain capability. Unproductive concentration occurs when demand narrows before uncertainty is resolved or when the final provider set becomes too small for resilience. The empirical model cannot label each observed concentration point as productive or unproductive. It measures concentration so that governance analysis can ask the next question.</w:t>
      </w:r>
    </w:p>
    <w:bookmarkEnd w:id="68"/>
    <w:bookmarkStart w:id="69" w:name="alternative-mechanisms"/>
    <w:p>
      <w:pPr>
        <w:pStyle w:val="Heading2"/>
        <w:spacing w:line="480" w:lineRule="auto"/>
      </w:pPr>
      <w:r>
        <w:t xml:space="preserve">Alternative Mechanisms</w:t>
      </w:r>
    </w:p>
    <w:p>
      <w:pPr>
        <w:pStyle w:val="FirstParagraph"/>
        <w:spacing w:line="480" w:lineRule="auto"/>
      </w:pPr>
      <w:r>
        <w:t xml:space="preserve">Several alternative mechanisms could produce the same observed associations. Larger awards may follow technical quality rather than create continuation. Later phases may have larger shares because the program design mechanically reduced the number of participants. Incumbent firms may possess capabilities that are not captured by the binary control. Provider strategy may also matter. A company may choose not to continue because the expected public market no longer fits its business model, even if it received an earlier award.</w:t>
      </w:r>
    </w:p>
    <w:p>
      <w:pPr>
        <w:pStyle w:val="BodyText"/>
        <w:spacing w:line="480" w:lineRule="auto"/>
        <w:ind w:firstLine="720"/>
      </w:pPr>
      <w:r>
        <w:t xml:space="preserve">These alternatives do not invalidate the framework, but they shape interpretation. The dissertation treats the continuation coefficient as evidence that the procurement pathway behaved in a manner consistent with anchor tenancy, not as a pure estimate of dollar causality. It treats the concentration coefficient as evidence that public demand narrowed with maturity, not as proof that concentration was socially optimal or avoidable. In this sense, the theory is empirical but not overdetermined. It identifies the signs expected under anchor tenancy while acknowledging that several institutional processes can contribute to those signs.</w:t>
      </w:r>
    </w:p>
    <w:bookmarkEnd w:id="69"/>
    <w:bookmarkStart w:id="70" w:name="X735bd9be0e1f39173f7899f47eadd8221fe00f9"/>
    <w:p>
      <w:pPr>
        <w:pStyle w:val="Heading2"/>
        <w:spacing w:line="480" w:lineRule="auto"/>
      </w:pPr>
      <w:r>
        <w:t xml:space="preserve">Normative Criteria for Anchor-Tenant Design</w:t>
      </w:r>
    </w:p>
    <w:p>
      <w:pPr>
        <w:pStyle w:val="FirstParagraph"/>
        <w:spacing w:line="480" w:lineRule="auto"/>
      </w:pPr>
      <w:r>
        <w:t xml:space="preserve">Criteria for judging anchor-tenant design follow as well. Additionality comes first. Public demand should make possible activity that private demand alone would not have produced at the same time or scale. The present dissertation does not estimate additionality directly, but it identifies where it must appear: in continuation, operational conversion, and eventual private capital response.</w:t>
      </w:r>
    </w:p>
    <w:p>
      <w:pPr>
        <w:pStyle w:val="BodyText"/>
        <w:spacing w:line="480" w:lineRule="auto"/>
        <w:ind w:firstLine="720"/>
      </w:pPr>
      <w:r>
        <w:t xml:space="preserve">Contestability comes second. Early phases should preserve enough provider diversity to make down-selection meaningful. Contestability does not require every entrant to remain through final service. It requires that the public buyer learn from real alternatives before concentrating demand. The third criterion is resilience. Final service should not depend on a single operational provider unless the public buyer has knowingly accepted that risk. The Commercial Crew record shows why this criterion matters</w:t>
      </w:r>
      <w:r>
        <w:t xml:space="preserve"> </w:t>
      </w:r>
      <w:hyperlink w:anchor="ref-12">
        <w:r>
          <w:rPr>
            <w:rStyle w:val="Hyperlink"/>
          </w:rPr>
          <w:t xml:space="preserve">[12]</w:t>
        </w:r>
      </w:hyperlink>
      <w:r>
        <w:t xml:space="preserve">.</w:t>
      </w:r>
    </w:p>
    <w:p>
      <w:pPr>
        <w:pStyle w:val="BodyText"/>
        <w:spacing w:line="480" w:lineRule="auto"/>
        <w:ind w:firstLine="720"/>
      </w:pPr>
      <w:r>
        <w:t xml:space="preserve">Transparency is the fourth criterion. Anchor tenancy uses public demand to shape market structure, so the logic of selection should be visible enough for oversight. Published phase records, award values, milestone outcomes, and certification status are not merely administrative details. They are the evidence through which the public can judge whether a market-creation strategy is working. These normative criteria turn the dissertation’s theory into a practical evaluation framework.</w:t>
      </w:r>
    </w:p>
    <w:bookmarkEnd w:id="70"/>
    <w:bookmarkEnd w:id="71"/>
    <w:bookmarkStart w:id="75" w:name="chapter-4.-data-and-measurement"/>
    <w:p>
      <w:pPr>
        <w:pStyle w:val="Heading1"/>
        <w:spacing w:line="480" w:lineRule="auto"/>
      </w:pPr>
      <w:r>
        <w:t xml:space="preserve">Chapter 4. Data and Measurement</w:t>
      </w:r>
    </w:p>
    <w:p>
      <w:pPr>
        <w:pStyle w:val="FirstParagraph"/>
        <w:spacing w:line="480" w:lineRule="auto"/>
      </w:pPr>
      <w:r>
        <w:t xml:space="preserve">This dissertation’s empirical record is intentionally narrow. It contains 20 company-phase observations from NASA’s Commercial Crew Program, each sourced to official NASA or NASA Office of Inspector General records. The dataset is not a proxy for the entire commercial space economy. It is a transparent measurement of one procurement sequence that moved from development support to operational crew transportation capability. The narrowness is a strength for the research questions because the variables can be traced directly to published program facts.</w:t>
      </w:r>
    </w:p>
    <w:p>
      <w:pPr>
        <w:pStyle w:val="BodyText"/>
        <w:spacing w:line="480" w:lineRule="auto"/>
        <w:ind w:firstLine="720"/>
      </w:pPr>
      <w:r>
        <w:t xml:space="preserve">NASA’s Commercial Crew Program Essentials page is the core source, reporting the program phases, participating companies, and announced award values</w:t>
      </w:r>
      <w:r>
        <w:t xml:space="preserve"> </w:t>
      </w:r>
      <w:hyperlink w:anchor="ref-9">
        <w:r>
          <w:rPr>
            <w:rStyle w:val="Hyperlink"/>
          </w:rPr>
          <w:t xml:space="preserve">[9]</w:t>
        </w:r>
      </w:hyperlink>
      <w:r>
        <w:t xml:space="preserve">. The terminal certification coding uses NASA’s November 2020 announcement that NASA and SpaceX completed certification of the first human-rated commercial space system</w:t>
      </w:r>
      <w:r>
        <w:t xml:space="preserve"> </w:t>
      </w:r>
      <w:hyperlink w:anchor="ref-11">
        <w:r>
          <w:rPr>
            <w:rStyle w:val="Hyperlink"/>
          </w:rPr>
          <w:t xml:space="preserve">[11]</w:t>
        </w:r>
      </w:hyperlink>
      <w:r>
        <w:t xml:space="preserve">. It also uses NASA Office of Inspector General report IG-24-020, dated September 26, 2024, which stated that Boeing remained uncertified and that SpaceX was NASA’s sole operational commercial crew provider at that time</w:t>
      </w:r>
      <w:r>
        <w:t xml:space="preserve"> </w:t>
      </w:r>
      <w:hyperlink w:anchor="ref-12">
        <w:r>
          <w:rPr>
            <w:rStyle w:val="Hyperlink"/>
          </w:rPr>
          <w:t xml:space="preserve">[12]</w:t>
        </w:r>
      </w:hyperlink>
      <w:r>
        <w:t xml:space="preserve">.</w:t>
      </w:r>
    </w:p>
    <w:p>
      <w:pPr>
        <w:pStyle w:val="BodyText"/>
        <w:spacing w:line="480" w:lineRule="auto"/>
        <w:ind w:firstLine="720"/>
      </w:pPr>
      <w:r>
        <w:t xml:space="preserve">NASA Office of Inspector General report IG-13-016 supplies contextual precedent for commercial cargo and milestone-based public-private development</w:t>
      </w:r>
      <w:r>
        <w:t xml:space="preserve"> </w:t>
      </w:r>
      <w:hyperlink w:anchor="ref-10">
        <w:r>
          <w:rPr>
            <w:rStyle w:val="Hyperlink"/>
          </w:rPr>
          <w:t xml:space="preserve">[10]</w:t>
        </w:r>
      </w:hyperlink>
      <w:r>
        <w:t xml:space="preserve">, but the company-phase data are from the Commercial Crew record.</w:t>
      </w:r>
    </w:p>
    <w:p>
      <w:pPr>
        <w:pStyle w:val="BodyText"/>
        <w:spacing w:line="480" w:lineRule="auto"/>
        <w:ind w:firstLine="720"/>
      </w:pPr>
      <w:r>
        <w:t xml:space="preserve">Each observation is a company-phase. A row exists when a named company appears in a documented Commercial Crew phase. The row records the phase name, chronological phase index, company name, announced award, transformed award, prior participation count, continuation outcome, phase total, commitment share, incumbent status, and source. The two papers use overlapping variables from the same official row set. Paper 1 uses the binary continuation outcome and the logged award. Paper 2 uses commitment share and the phase index.</w:t>
      </w:r>
    </w:p>
    <w:p>
      <w:pPr>
        <w:pStyle w:val="BodyText"/>
        <w:spacing w:line="480" w:lineRule="auto"/>
        <w:ind w:firstLine="720"/>
      </w:pPr>
      <w:r>
        <w:t xml:space="preserve">Commercial Crew Development round one, the first phase, contains five observations: Blue Origin, Boeing, Paragon, Sierra Nevada, and United Launch Alliance. The announced awards are 3.7, 18, 1.4, 20, and 6.7 million dollars, respectively. The phase total is 49.8 million dollars. Four of the five companies advanced to the next Commercial Crew phase. Paragon did not. These observations represent the initial option-preserving portfolio, with modest awards distributed across several technical approaches.</w:t>
      </w:r>
    </w:p>
    <w:p>
      <w:pPr>
        <w:pStyle w:val="BodyText"/>
        <w:spacing w:line="480" w:lineRule="auto"/>
        <w:ind w:firstLine="720"/>
      </w:pPr>
      <w:r>
        <w:t xml:space="preserve">Next comes Commercial Crew Development round two, with seven observations: ATK, Blue Origin, Boeing, Excalibur Almaz, Sierra Nevada, SpaceX, and United Launch Alliance. The funded awards in the dataset are 22 million dollars for Blue Origin, 112.9 million for Boeing, 105.6 million for Sierra Nevada, and 75 million for SpaceX. ATK, Excalibur Almaz, and United Launch Alliance are retained with zero announced award values because NASA’s record identifies them in the phase context without funded base awards in the award table used for this dataset. Retaining zero-award observations prevents the analysis from silently changing the participant set after observing the outcome.</w:t>
      </w:r>
    </w:p>
    <w:p>
      <w:pPr>
        <w:pStyle w:val="BodyText"/>
        <w:spacing w:line="480" w:lineRule="auto"/>
        <w:ind w:firstLine="720"/>
      </w:pPr>
      <w:r>
        <w:t xml:space="preserve">Commercial Crew integrated Capability, the third phase, contains Boeing, Sierra Nevada, and SpaceX. The awards are 480 million dollars, 227.5 million dollars, and 460 million dollars, respectively, for a phase total of 1,167.5 million dollars. All three advanced to the certification products phase. This phase is important because it marks a transition from small development funding to much larger integrated capability work, while retaining three competitors.</w:t>
      </w:r>
    </w:p>
    <w:p>
      <w:pPr>
        <w:pStyle w:val="BodyText"/>
        <w:spacing w:line="480" w:lineRule="auto"/>
        <w:ind w:firstLine="720"/>
      </w:pPr>
      <w:r>
        <w:t xml:space="preserve">Certification Products Contracts, the fourth phase, again contains Boeing, Sierra Nevada, and SpaceX. The awards are 9.993 million dollars, 10 million dollars, and 9.589 million dollars, respectively, for a phase total of 29.582 million dollars. Boeing and SpaceX advanced to the final Commercial Crew Transportation Capability contracts. Sierra Nevada did not. The phase is small in dollar terms compared with CCiCap and CCtCap, but it is institutionally important because it generated products needed for certification and final down-selection.</w:t>
      </w:r>
    </w:p>
    <w:p>
      <w:pPr>
        <w:pStyle w:val="BodyText"/>
        <w:spacing w:line="480" w:lineRule="auto"/>
        <w:ind w:firstLine="720"/>
      </w:pPr>
      <w:r>
        <w:t xml:space="preserve">Commercial Crew Transportation Capability, the fifth and final phase, contains Boeing and SpaceX. Boeing’s announced award is 4,200 million dollars, and SpaceX’s announced award is 2,600 million dollars, for a phase total of 6,800 million dollars. Because no later phase in the observed sequence defines continuation, the terminal outcome is operational certification by a fixed date. SpaceX is coded as one because NASA completed certification in November 2020</w:t>
      </w:r>
      <w:r>
        <w:t xml:space="preserve"> </w:t>
      </w:r>
      <w:hyperlink w:anchor="ref-11">
        <w:r>
          <w:rPr>
            <w:rStyle w:val="Hyperlink"/>
          </w:rPr>
          <w:t xml:space="preserve">[11]</w:t>
        </w:r>
      </w:hyperlink>
      <w:r>
        <w:t xml:space="preserve">. Boeing is coded as zero because the September 2024 Inspector General report described Boeing as not yet certified at that cutoff</w:t>
      </w:r>
      <w:r>
        <w:t xml:space="preserve"> </w:t>
      </w:r>
      <w:hyperlink w:anchor="ref-12">
        <w:r>
          <w:rPr>
            <w:rStyle w:val="Hyperlink"/>
          </w:rPr>
          <w:t xml:space="preserve">[12]</w:t>
        </w:r>
      </w:hyperlink>
      <w:r>
        <w:t xml:space="preserve">.</w:t>
      </w:r>
    </w:p>
    <w:p>
      <w:pPr>
        <w:pStyle w:val="BodyText"/>
        <w:spacing w:line="480" w:lineRule="auto"/>
        <w:ind w:firstLine="720"/>
      </w:pPr>
      <w:r>
        <w:t xml:space="preserve">Continuation equals one when a company appears in the next phase, except in the final phase where it equals one for operational certification by the cutoff. This coding reflects the dissertation’s theory that anchor tenancy works through an institutional funnel. In development phases, survival means moving to the next procurement stage. In the final capability phase, survival means reaching operational service. The terminal rule is fixed ex ante by the public Inspector General report date and does not make a permanent judgment about any provider after that date.</w:t>
      </w:r>
    </w:p>
    <w:p>
      <w:pPr>
        <w:pStyle w:val="BodyText"/>
        <w:spacing w:line="480" w:lineRule="auto"/>
        <w:ind w:firstLine="720"/>
      </w:pPr>
      <w:r>
        <w:t xml:space="preserve">Award value is the announced NASA award in millions of nominal dollars. It is not inflation-adjusted because the company-phase comparison is primarily within a single program sequence and because the key transformation is logarithmic. The first paper uses ln(1 + award) to accommodate zero-award observations and to reduce the influence of the large scale difference between early and final phases. The one-plus transformation is standard when zero values must remain in a logged specification. It also keeps the interpretation in terms of proportional changes while preserving the documented participant set.</w:t>
      </w:r>
    </w:p>
    <w:p>
      <w:pPr>
        <w:pStyle w:val="BodyText"/>
        <w:spacing w:line="480" w:lineRule="auto"/>
        <w:ind w:firstLine="720"/>
      </w:pPr>
      <w:r>
        <w:t xml:space="preserve">Prior participation is a count of the number of earlier Commercial Crew phases in which the company appeared. In CCDev1 it equals zero for every company. In CCDev2 it equals one for firms that appeared in CCDev1 and zero for new entrants. In CCiCap it equals two for Boeing and Sierra Nevada and one for SpaceX. In CPC it equals three for Boeing and Sierra Nevada and two for SpaceX. In CCtCap it equals four for Boeing and three for SpaceX. This variable captures accumulated exposure to NASA’s Commercial Crew pathway rather than cumulative award value.</w:t>
      </w:r>
    </w:p>
    <w:p>
      <w:pPr>
        <w:pStyle w:val="BodyText"/>
        <w:spacing w:line="480" w:lineRule="auto"/>
        <w:ind w:firstLine="720"/>
      </w:pPr>
      <w:r>
        <w:t xml:space="preserve">Phase index is an ordinal sequence from one to five. CCDev1 equals one, CCDev2 equals two, CCiCap equals three, CPC equals four, and CCtCap equals five. The index does not assume that every phase is equal in calendar duration or institutional scope. It is a compact representation of procurement maturity. The second paper uses it to estimate whether provider commitment shares increased as NASA moved through the sequence.</w:t>
      </w:r>
    </w:p>
    <w:p>
      <w:pPr>
        <w:pStyle w:val="BodyText"/>
        <w:spacing w:line="480" w:lineRule="auto"/>
        <w:ind w:firstLine="720"/>
      </w:pPr>
      <w:r>
        <w:t xml:space="preserve">Commitment share is the company’s announced award divided by the total announced awards in that phase, multiplied by 100. For CCDev1, Sierra Nevada’s 20 million dollar award equals 40.16 percent of the phase total, and Boeing’s 18 million dollar award equals 36.14 percent. For CCtCap, Boeing’s 4,200 million dollar award equals 61.76 percent, and SpaceX’s 2,600 million dollar award equals 38.24 percent. Shares sum to 100 within each phase because every company-phase row receives a phase-specific denominator.</w:t>
      </w:r>
    </w:p>
    <w:p>
      <w:pPr>
        <w:pStyle w:val="BodyText"/>
        <w:spacing w:line="480" w:lineRule="auto"/>
        <w:ind w:firstLine="720"/>
      </w:pPr>
      <w:r>
        <w:t xml:space="preserve">Why shares instead of dollars? Raw award dollars increase sharply because the program’s scope changes from early development to full transportation capability. A raw-dollar model would mostly restate that later phases were larger. The share measure asks how NASA distributed each phase’s commitments among the participants in that phase. It therefore measures concentration in public demand, not the growth of the program’s total budget.</w:t>
      </w:r>
    </w:p>
    <w:p>
      <w:pPr>
        <w:pStyle w:val="BodyText"/>
        <w:spacing w:line="480" w:lineRule="auto"/>
        <w:ind w:firstLine="720"/>
      </w:pPr>
      <w:r>
        <w:t xml:space="preserve">Legacy-incumbent status is a binary indicator. It equals one for Boeing, United Launch Alliance, and ATK. It equals zero for Blue Origin, Paragon, Sierra Nevada, SpaceX, and Excalibur Almaz. The classification reflects whether the firm was an established aerospace incumbent at program entry. It is admittedly coarse. Sierra Nevada, for example, was not a start-up in the ordinary sense, but it is coded outside the legacy-prime category because the control is intended to distinguish established prime-contracting incumbency from other commercial participants. The classification is applied before estimation and does not change by phase.</w:t>
      </w:r>
    </w:p>
    <w:p>
      <w:pPr>
        <w:pStyle w:val="BodyText"/>
        <w:spacing w:line="480" w:lineRule="auto"/>
        <w:ind w:firstLine="720"/>
      </w:pPr>
      <w:r>
        <w:t xml:space="preserve">Both paper datasets end with a source column. Every row contains an official source note. For most rows, the note identifies NASA’s Commercial Crew Program Essentials and the relevant phase table</w:t>
      </w:r>
      <w:r>
        <w:t xml:space="preserve"> </w:t>
      </w:r>
      <w:hyperlink w:anchor="ref-9">
        <w:r>
          <w:rPr>
            <w:rStyle w:val="Hyperlink"/>
          </w:rPr>
          <w:t xml:space="preserve">[9]</w:t>
        </w:r>
      </w:hyperlink>
      <w:r>
        <w:t xml:space="preserve">. The final SpaceX row also cites NASA’s certification announcement</w:t>
      </w:r>
      <w:r>
        <w:t xml:space="preserve"> </w:t>
      </w:r>
      <w:hyperlink w:anchor="ref-11">
        <w:r>
          <w:rPr>
            <w:rStyle w:val="Hyperlink"/>
          </w:rPr>
          <w:t xml:space="preserve">[11]</w:t>
        </w:r>
      </w:hyperlink>
      <w:r>
        <w:t xml:space="preserve">. The final Boeing row also cites NASA Office of Inspector General report IG-24-020</w:t>
      </w:r>
      <w:r>
        <w:t xml:space="preserve"> </w:t>
      </w:r>
      <w:hyperlink w:anchor="ref-12">
        <w:r>
          <w:rPr>
            <w:rStyle w:val="Hyperlink"/>
          </w:rPr>
          <w:t xml:space="preserve">[12]</w:t>
        </w:r>
      </w:hyperlink>
      <w:r>
        <w:t xml:space="preserve">. No row is marked illustrative. The illustrative share is therefore zero percent in both datasets.</w:t>
      </w:r>
    </w:p>
    <w:p>
      <w:pPr>
        <w:pStyle w:val="BodyText"/>
        <w:spacing w:line="480" w:lineRule="auto"/>
        <w:ind w:firstLine="720"/>
      </w:pPr>
      <w:r>
        <w:t xml:space="preserve">Several tradeoffs shape the data design. First, it retains zero-award observations from CCDev2 where NASA’s phase record identifies participants but the award table used here does not assign a funded base amount. Dropping those observations would bias the record toward funded participants and overstate early concentration. Retaining them allows the model to represent the documented option portfolio.</w:t>
      </w:r>
    </w:p>
    <w:p>
      <w:pPr>
        <w:pStyle w:val="BodyText"/>
        <w:spacing w:line="480" w:lineRule="auto"/>
        <w:ind w:firstLine="720"/>
      </w:pPr>
      <w:r>
        <w:t xml:space="preserve">Second, it treats award amounts as nominal and does not adjust for inflation. Since the main models use logs or shares, inflation adjustment would not alter the substantive continuation and concentration questions.</w:t>
      </w:r>
    </w:p>
    <w:p>
      <w:pPr>
        <w:pStyle w:val="BodyText"/>
        <w:spacing w:line="480" w:lineRule="auto"/>
        <w:ind w:firstLine="720"/>
      </w:pPr>
      <w:r>
        <w:t xml:space="preserve">Third, it uses a program-specific sample rather than a multi-program panel. This sacrifices breadth for auditability.</w:t>
      </w:r>
    </w:p>
    <w:p>
      <w:pPr>
        <w:pStyle w:val="BodyText"/>
        <w:spacing w:line="480" w:lineRule="auto"/>
        <w:ind w:firstLine="720"/>
      </w:pPr>
      <w:r>
        <w:t xml:space="preserve">What could bias the measurement? Selection into the official record comes first. NASA’s published phase tables are the authoritative record for the public program, but they reflect the program structure NASA chose. The dataset does not observe firms that might have competed but did not appear in the phase record. It also does not observe private capital, internal spending, or proprietary technical assessments. The dissertation therefore does not claim to measure the full market. It measures the official public procurement pathway.</w:t>
      </w:r>
    </w:p>
    <w:p>
      <w:pPr>
        <w:pStyle w:val="BodyText"/>
        <w:spacing w:line="480" w:lineRule="auto"/>
        <w:ind w:firstLine="720"/>
      </w:pPr>
      <w:r>
        <w:t xml:space="preserve">A second risk is the terminal outcome for Boeing. Coding Boeing as zero in CCtCap is not a statement that Starliner failed permanently. It is a statement about certification status at the September 2024 cutoff used in the paper. That cutoff is supported by the Inspector General record</w:t>
      </w:r>
      <w:r>
        <w:t xml:space="preserve"> </w:t>
      </w:r>
      <w:hyperlink w:anchor="ref-12">
        <w:r>
          <w:rPr>
            <w:rStyle w:val="Hyperlink"/>
          </w:rPr>
          <w:t xml:space="preserve">[12]</w:t>
        </w:r>
      </w:hyperlink>
      <w:r>
        <w:t xml:space="preserve">. The distinction matters because the model estimates continuation through the observed window. A later certification would change future datasets, not the validity of the cutoff used here.</w:t>
      </w:r>
    </w:p>
    <w:p>
      <w:pPr>
        <w:pStyle w:val="BodyText"/>
        <w:spacing w:line="480" w:lineRule="auto"/>
        <w:ind w:firstLine="720"/>
      </w:pPr>
      <w:r>
        <w:t xml:space="preserve">Repeated observations pose a third risk. Boeing, Sierra Nevada, SpaceX, Blue Origin, and United Launch Alliance appear in multiple phases. The models treat company-phase rows as observations, which is appropriate for the procurement-funnel theory but does not create 20 independent firms. The small number of companies and phases limits generalization and prevents richer panel methods. The dissertation addresses this by using simple specifications and by interpreting results as program-level evidence.</w:t>
      </w:r>
    </w:p>
    <w:p>
      <w:pPr>
        <w:pStyle w:val="BodyText"/>
        <w:spacing w:line="480" w:lineRule="auto"/>
        <w:ind w:firstLine="720"/>
      </w:pPr>
      <w:r>
        <w:t xml:space="preserve">Compositionality is the fourth risk. Commitment shares within a phase sum to 100. A rise in one company’s share necessarily corresponds to a fall in another’s. This property is exactly what the concentration analysis seeks to measure, but it prevents interpretation as an independent outcome for each company. The phase-index coefficient describes the distribution of public demand across the sequence.</w:t>
      </w:r>
    </w:p>
    <w:p>
      <w:pPr>
        <w:pStyle w:val="BodyText"/>
        <w:spacing w:line="480" w:lineRule="auto"/>
        <w:ind w:firstLine="720"/>
      </w:pPr>
      <w:r>
        <w:t xml:space="preserve">Reproducibility is the dataset’s strongest feature. A reader can reconstruct every row from the official phase record and the two terminal certification sources. The two estimators are deterministic in the repository pipeline. The paper assembler creates the associated workbooks and charts from the CSV files. The dissertation’s final appendix embeds those workbooks, making the data and transformations auditable.</w:t>
      </w:r>
    </w:p>
    <w:p>
      <w:pPr>
        <w:pStyle w:val="BodyText"/>
        <w:spacing w:line="480" w:lineRule="auto"/>
        <w:ind w:firstLine="720"/>
      </w:pPr>
      <w:r>
        <w:t xml:space="preserve">Measurement choices align with the theory, variable by variable. Award amount operationalizes public commitment scale. Continuation operationalizes survival through the procurement funnel. Phase index operationalizes maturity of the public procurement sequence. Commitment share operationalizes concentration of public demand. Prior participation operationalizes accumulated program exposure. Incumbent status operationalizes one stable provider-type distinction. None of these variables is a perfect proxy for private capital formation, but each maps directly to a theoretical channel tested in the dissertation.</w:t>
      </w:r>
    </w:p>
    <w:p>
      <w:pPr>
        <w:pStyle w:val="BodyText"/>
        <w:spacing w:line="480" w:lineRule="auto"/>
        <w:ind w:firstLine="720"/>
      </w:pPr>
      <w:r>
        <w:t xml:space="preserve">In sum, the dissertation uses a small but clean dataset. It is small because the Commercial Crew sequence is bounded. It is clean because the rows come from official program records, because every source is listed in the CSV, because no illustrative values are used, and because the estimators require only variables that can be independently reconstructed. That design is appropriate for the dissertation’s first-stage contribution: measuring how a public purchase commitment pathway selected and concentrated providers before any broader claim about private capital crowd-in is attempted.</w:t>
      </w:r>
    </w:p>
    <w:bookmarkStart w:id="72" w:name="reconstructability-and-audit-practice"/>
    <w:p>
      <w:pPr>
        <w:pStyle w:val="Heading2"/>
        <w:spacing w:line="480" w:lineRule="auto"/>
      </w:pPr>
      <w:r>
        <w:t xml:space="preserve">Reconstructability and Audit Practice</w:t>
      </w:r>
    </w:p>
    <w:p>
      <w:pPr>
        <w:pStyle w:val="FirstParagraph"/>
        <w:spacing w:line="480" w:lineRule="auto"/>
      </w:pPr>
      <w:r>
        <w:t xml:space="preserve">Anyone can rebuild this dataset from the public record. A reader can begin with NASA’s Commercial Crew phase record, list the companies in each phase, transcribe the awards, and reproduce the phase totals</w:t>
      </w:r>
      <w:r>
        <w:t xml:space="preserve"> </w:t>
      </w:r>
      <w:hyperlink w:anchor="ref-9">
        <w:r>
          <w:rPr>
            <w:rStyle w:val="Hyperlink"/>
          </w:rPr>
          <w:t xml:space="preserve">[9]</w:t>
        </w:r>
      </w:hyperlink>
      <w:r>
        <w:t xml:space="preserve">. The reader can then apply the phase-index coding, calculate each company’s phase share, and count prior participations by looking backward through the sequence. The terminal certification coding requires two additional public records, NASA’s 2020 SpaceX certification announcement and the September 2024 Inspector General report on commercial crew</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These sources are sufficient to reproduce the outcome variables used in both papers.</w:t>
      </w:r>
    </w:p>
    <w:p>
      <w:pPr>
        <w:pStyle w:val="BodyText"/>
        <w:spacing w:line="480" w:lineRule="auto"/>
        <w:ind w:firstLine="720"/>
      </w:pPr>
      <w:r>
        <w:t xml:space="preserve">This reconstructability matters because small datasets are vulnerable to hidden judgment. In a large administrative dataset, individual coding choices may have little influence. In a 20-row program record, each row is visible and consequential. The dissertation therefore keeps transformations simple. The log award variable is a direct mathematical transformation of the award value. The commitment share is a direct division by the phase total. The incumbent indicator is a simple pre-estimation classification. The source column remains in the CSV so that every observation carries its provenance into the workbook.</w:t>
      </w:r>
    </w:p>
    <w:p>
      <w:pPr>
        <w:pStyle w:val="BodyText"/>
        <w:spacing w:line="480" w:lineRule="auto"/>
        <w:ind w:firstLine="720"/>
      </w:pPr>
      <w:r>
        <w:t xml:space="preserve">Zero-award observations deserve special attention. Excluding them would make the dataset look cleaner but would change the meaning of early portfolio breadth. NASA’s phase record identifies participants in the relevant CCDev2 context. If a participant had no funded base award in the award table, that is itself information about NASA’s portfolio and selection posture. A zero value indicates documented participation without the same funded commitment as other participants. For a dissertation about commitment scale, such observations should remain visible.</w:t>
      </w:r>
    </w:p>
    <w:p>
      <w:pPr>
        <w:pStyle w:val="BodyText"/>
        <w:spacing w:line="480" w:lineRule="auto"/>
        <w:ind w:firstLine="720"/>
      </w:pPr>
      <w:r>
        <w:t xml:space="preserve">That same principle governs the final Boeing coding. It would be tempting to avoid controversy by treating the final phase as missing or by coding both final awardees as continuations because both received CCtCap awards. That would confuse award receipt with operational service. The theory’s terminal condition is whether the final commitment converted into certified service by the cutoff. NASA’s public record supports the distinction between SpaceX certification and Boeing’s uncertified status as of September 2024</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coding follows the service objective rather than the award announcement alone.</w:t>
      </w:r>
    </w:p>
    <w:bookmarkEnd w:id="72"/>
    <w:bookmarkStart w:id="73" w:name="data-scope-and-future-linkages"/>
    <w:p>
      <w:pPr>
        <w:pStyle w:val="Heading2"/>
        <w:spacing w:line="480" w:lineRule="auto"/>
      </w:pPr>
      <w:r>
        <w:t xml:space="preserve">Data Scope and Future Linkages</w:t>
      </w:r>
    </w:p>
    <w:p>
      <w:pPr>
        <w:pStyle w:val="FirstParagraph"/>
        <w:spacing w:line="480" w:lineRule="auto"/>
      </w:pPr>
      <w:r>
        <w:t xml:space="preserve">Future work can expand the dataset without changing its core structure. Each company-phase row could be linked to private capital raises, employment, patent activity, launch cadence, supplier contracts, or service task orders. It could also be linked to proposal milestones if more detailed public records were available. Those linkages would transform the current procurement-mechanism dataset into a richer market-formation panel.</w:t>
      </w:r>
    </w:p>
    <w:p>
      <w:pPr>
        <w:pStyle w:val="BodyText"/>
        <w:spacing w:line="480" w:lineRule="auto"/>
        <w:ind w:firstLine="720"/>
      </w:pPr>
      <w:r>
        <w:t xml:space="preserve">A future crowd-in test should preserve the current variables rather than replace them. Award scale, phase index, commitment share, prior participation, and operational certification are not substitutes for private capital outcomes. They are treatment and mechanism variables. A firm that raises capital after receiving a large final commitment is different from a firm that raises capital after a small early award. A firm in a concentrated final phase is different from a firm in a broad early option portfolio. The data architecture used here is therefore a foundation for the prospectus’s broader design.</w:t>
      </w:r>
    </w:p>
    <w:bookmarkEnd w:id="73"/>
    <w:bookmarkStart w:id="74" w:name="X8e463f530e221e77fd70212c45c005f9b10115a"/>
    <w:p>
      <w:pPr>
        <w:pStyle w:val="Heading2"/>
        <w:spacing w:line="480" w:lineRule="auto"/>
      </w:pPr>
      <w:r>
        <w:t xml:space="preserve">Measurement Choices as Substantive Claims</w:t>
      </w:r>
    </w:p>
    <w:p>
      <w:pPr>
        <w:pStyle w:val="FirstParagraph"/>
        <w:spacing w:line="480" w:lineRule="auto"/>
      </w:pPr>
      <w:r>
        <w:t xml:space="preserve">Each measurement choice carries a substantive claim about what matters in anchor tenancy. Using announced award value treats public commitment as the relevant policy signal. Using continuation treats the procurement sequence as a pathway rather than as isolated contracts. Using commitment share treats market structure as an outcome of public demand. Using operational certification for the terminal phase treats service availability as more meaningful than award receipt alone.</w:t>
      </w:r>
    </w:p>
    <w:p>
      <w:pPr>
        <w:pStyle w:val="BodyText"/>
        <w:spacing w:line="480" w:lineRule="auto"/>
        <w:ind w:firstLine="720"/>
      </w:pPr>
      <w:r>
        <w:t xml:space="preserve">These choices are contestable, but they are transparent. A future researcher could replace announced awards with obligations, replace certification with first crewed service, or replace commitment share with a Herfindahl-style concentration index. Such alternatives might be useful in a larger dataset. The present dissertation chooses variables that can be reconstructed from official sources and interpreted directly. In a small sample, direct interpretation is more valuable than abstract sophistication.</w:t>
      </w:r>
    </w:p>
    <w:p>
      <w:pPr>
        <w:pStyle w:val="BodyText"/>
        <w:spacing w:line="480" w:lineRule="auto"/>
        <w:ind w:firstLine="720"/>
      </w:pPr>
      <w:r>
        <w:t xml:space="preserve">Cumulative research is another payoff. If future datasets add capital raises, employment, supplier networks, or service cadence, the company-phase variables remain useful. They define the timing and strength of the public commitment. They also define whether a provider was early in an option portfolio or late in a concentrated service phase. This makes the current dataset a base layer for later empirical work.</w:t>
      </w:r>
    </w:p>
    <w:bookmarkEnd w:id="74"/>
    <w:bookmarkEnd w:id="75"/>
    <w:bookmarkStart w:id="79" w:name="chapter-5.-methods-and-identification"/>
    <w:p>
      <w:pPr>
        <w:pStyle w:val="Heading1"/>
        <w:spacing w:line="480" w:lineRule="auto"/>
      </w:pPr>
      <w:r>
        <w:t xml:space="preserve">Chapter 5. Methods and Identification</w:t>
      </w:r>
    </w:p>
    <w:p>
      <w:pPr>
        <w:pStyle w:val="FirstParagraph"/>
        <w:spacing w:line="480" w:lineRule="auto"/>
      </w:pPr>
      <w:r>
        <w:t xml:space="preserve">Methods here are designed for a small official procurement record. They are not designed to extract a large causal estimate from sparse data. The empirical goal is to test whether two observable mechanisms in anchor-tenant theory appear in NASA’s Commercial Crew sequence: a continuation mechanism and a concentration mechanism. The first is estimated with a logit model because the outcome is binary. The second is estimated with ordinary least squares because the outcome is a continuous commitment share. Both models are intentionally simple, auditable, and matched to the measurement limits described in Chapter 4.</w:t>
      </w:r>
    </w:p>
    <w:p>
      <w:pPr>
        <w:pStyle w:val="BodyText"/>
        <w:spacing w:line="480" w:lineRule="auto"/>
        <w:ind w:firstLine="720"/>
      </w:pPr>
      <w:r>
        <w:t xml:space="preserve">Does a larger public commitment raise the probability that a provider advances in the Commercial Crew pathway? The first model asks exactly that. The dependent variable equals one if the company advances to the next phase, except in the final phase where it equals one if the provider achieved operational certification by the September 2024 cutoff. The explanatory variables are ln(1 + award) and prior participation. The model is:</w:t>
      </w:r>
    </w:p>
    <w:p>
      <w:pPr>
        <w:pStyle w:val="BodyText"/>
        <w:spacing w:line="480" w:lineRule="auto"/>
        <w:ind w:firstLine="720"/>
      </w:pPr>
      <w:r>
        <w:t xml:space="preserve">logit{Pr(advanced_i = 1)} = alpha + beta_1 ln(1 + award_i) + beta_2 prior_i.</w:t>
      </w:r>
    </w:p>
    <w:p>
      <w:pPr>
        <w:pStyle w:val="BodyText"/>
        <w:spacing w:line="480" w:lineRule="auto"/>
        <w:ind w:firstLine="720"/>
      </w:pPr>
      <w:r>
        <w:t xml:space="preserve">Here the hypothesis is beta_1 greater than zero. The estimator is maximum-likelihood logit as implemented in the repository’s deterministic paper pipeline. The coefficient beta_1 is interpreted as the change in log odds associated with a one-unit increase in logged award value, holding prior participation constant. The exponentiated coefficient is the associated odds ratio.</w:t>
      </w:r>
    </w:p>
    <w:p>
      <w:pPr>
        <w:pStyle w:val="BodyText"/>
        <w:spacing w:line="480" w:lineRule="auto"/>
        <w:ind w:firstLine="720"/>
      </w:pPr>
      <w:r>
        <w:t xml:space="preserve">Why logit? Continuation is a discrete outcome. A linear probability model would be easy to interpret, but it can produce fitted probabilities outside the zero-to-one interval and can understate the nonlinear character of selection. The logit model also aligns with the substantive meaning of the data. Providers do not advance fractionally. They either remain in the path or leave it, and final operational certification is a terminal yes-or-no condition at the defined cutoff.</w:t>
      </w:r>
    </w:p>
    <w:p>
      <w:pPr>
        <w:pStyle w:val="BodyText"/>
        <w:spacing w:line="480" w:lineRule="auto"/>
        <w:ind w:firstLine="720"/>
      </w:pPr>
      <w:r>
        <w:t xml:space="preserve">Award amounts vary over several orders of magnitude, which is why the model logs them. The early development awards are measured in single or double-digit millions of dollars, while final capability awards are measured in billions. A raw-dollar coefficient would be dominated by the final phase. The log transformation reduces that domination and interprets award scale proportionally. The one-plus adjustment preserves zero-award observations in CCDev2. Those rows are part of the official phase record and should not be discarded merely because the logarithm of zero is undefined.</w:t>
      </w:r>
    </w:p>
    <w:p>
      <w:pPr>
        <w:pStyle w:val="BodyText"/>
        <w:spacing w:line="480" w:lineRule="auto"/>
        <w:ind w:firstLine="720"/>
      </w:pPr>
      <w:r>
        <w:t xml:space="preserve">Prior participation is included as a control for accumulated program exposure. A company that has appeared in earlier phases may have more knowledge of NASA’s requirements, more relationships with program staff, and a deeper technical record. It may also be a company that remained in the option portfolio without becoming a final operational choice. The model does not impose a sign on this coefficient. It serves to separate the scale of current commitment from the history of being present in the program.</w:t>
      </w:r>
    </w:p>
    <w:p>
      <w:pPr>
        <w:pStyle w:val="BodyText"/>
        <w:spacing w:line="480" w:lineRule="auto"/>
        <w:ind w:firstLine="720"/>
      </w:pPr>
      <w:r>
        <w:t xml:space="preserve">Did public demand become more concentrated as the procurement matured? The second model takes up that question. The dependent variable is commitment_share_pct, defined as the company award divided by the phase total, multiplied by 100. The explanatory variables are the phase index and legacy-incumbent status. The model is:</w:t>
      </w:r>
    </w:p>
    <w:p>
      <w:pPr>
        <w:pStyle w:val="BodyText"/>
        <w:spacing w:line="480" w:lineRule="auto"/>
        <w:ind w:firstLine="720"/>
      </w:pPr>
      <w:r>
        <w:t xml:space="preserve">share_i = alpha + gamma_1 phase_i + gamma_2 incumbent_i + epsilon_i.</w:t>
      </w:r>
    </w:p>
    <w:p>
      <w:pPr>
        <w:pStyle w:val="BodyText"/>
        <w:spacing w:line="480" w:lineRule="auto"/>
        <w:ind w:firstLine="720"/>
      </w:pPr>
      <w:r>
        <w:t xml:space="preserve">For this model the hypothesis is gamma_1 greater than zero. The estimator is ordinary least squares with HC1 heteroskedasticity-consistent standard errors. The coefficient gamma_1 is interpreted in percentage points of commitment share per phase step, conditional on incumbent status.</w:t>
      </w:r>
    </w:p>
    <w:p>
      <w:pPr>
        <w:pStyle w:val="BodyText"/>
        <w:spacing w:line="480" w:lineRule="auto"/>
        <w:ind w:firstLine="720"/>
      </w:pPr>
      <w:r>
        <w:t xml:space="preserve">OLS is appropriate because the outcome is continuous and directly expressed in percentage points. The model does not claim that shares are independent across firms in a phase. Shares are compositional by construction. That property is part of the estimand. The concentration question concerns how NASA divided the phase total among the companies in the phase. If fewer firms remain and each receives a larger share, the measure should reflect that fact. A compositional-data model would be appropriate for a larger dataset with many phases and richer alternatives. Here, the transparent OLS estimate provides a clear descriptive test.</w:t>
      </w:r>
    </w:p>
    <w:p>
      <w:pPr>
        <w:pStyle w:val="BodyText"/>
        <w:spacing w:line="480" w:lineRule="auto"/>
        <w:ind w:firstLine="720"/>
      </w:pPr>
      <w:r>
        <w:t xml:space="preserve">HC1 standard errors are used in the second model because residual variance is unlikely to be constant across phases. Early phases contain more firms and smaller shares. Later phases contain fewer firms and larger shares. The HC1 correction adjusts the covariance estimate without changing the coefficient. It is suitable for the dissertation’s descriptive inference, though the small sample still requires caution.</w:t>
      </w:r>
    </w:p>
    <w:p>
      <w:pPr>
        <w:pStyle w:val="BodyText"/>
        <w:spacing w:line="480" w:lineRule="auto"/>
        <w:ind w:firstLine="720"/>
      </w:pPr>
      <w:r>
        <w:t xml:space="preserve">Neither model is saturated, and that is deliberate. Company fixed effects would remove single-observation firms and leave only a handful of repeated providers. Phase fixed effects in the logit model would absorb much of the award-scale variation because awards rise with phase maturity. Additional controls would produce unstable estimates in a 20-row dataset. The dissertation therefore favors a parsimonious model whose variables have direct theoretical meaning and whose coefficients can be interpreted without overfitting.</w:t>
      </w:r>
    </w:p>
    <w:p>
      <w:pPr>
        <w:pStyle w:val="BodyText"/>
        <w:spacing w:line="480" w:lineRule="auto"/>
        <w:ind w:firstLine="720"/>
      </w:pPr>
      <w:r>
        <w:t xml:space="preserve">Identification begins with what the dissertation can and cannot claim. The models do not identify a randomized treatment effect. NASA did not randomly assign award amounts. It selected providers and award scales based on technical proposals, program priorities, budget, and private information. A larger award may partly reflect NASA’s belief that a provider was more likely to succeed. The logit coefficient therefore combines the effect of commitment, the information embedded in selection, and the program’s changing phase structure.</w:t>
      </w:r>
    </w:p>
    <w:p>
      <w:pPr>
        <w:pStyle w:val="BodyText"/>
        <w:spacing w:line="480" w:lineRule="auto"/>
        <w:ind w:firstLine="720"/>
      </w:pPr>
      <w:r>
        <w:t xml:space="preserve">A related issue faces the concentration model. The phase index is not an exogenous treatment. It represents the program’s own maturation. Later phases have different scopes, different provider sets, and different institutional objectives. The coefficient on phase index describes the observed procurement sequence, not a universal law that every phase step in every program raises commitment shares by the same amount. This is why the chapter frames the result as evidence of a concentration channel in Commercial Crew.</w:t>
      </w:r>
    </w:p>
    <w:p>
      <w:pPr>
        <w:pStyle w:val="BodyText"/>
        <w:spacing w:line="480" w:lineRule="auto"/>
        <w:ind w:firstLine="720"/>
      </w:pPr>
      <w:r>
        <w:t xml:space="preserve">Selection bias is the first threat to validity. If NASA gave larger awards to firms that would have advanced anyway, the logit coefficient overstates the causal effect of award scale. The dissertation addresses this threat through interpretation rather than through a statistical correction that the data cannot support. The result is described as an association consistent with the continuation channel. It is not described as proof that an additional dollar caused a provider to advance.</w:t>
      </w:r>
    </w:p>
    <w:p>
      <w:pPr>
        <w:pStyle w:val="BodyText"/>
        <w:spacing w:line="480" w:lineRule="auto"/>
        <w:ind w:firstLine="720"/>
      </w:pPr>
      <w:r>
        <w:t xml:space="preserve">Program-phase confounding is the second threat. Award amounts, phase scope, and provider maturity all change together. Later phases have larger commitments and fewer providers. The logit model’s logged award coefficient may therefore partly capture phase maturity. Adding a phase index to the logit model would not solve the problem because the sample is too small and phase is closely related to award scale. The dissertation instead uses a separate concentration model to make phase maturation itself an object of analysis.</w:t>
      </w:r>
    </w:p>
    <w:p>
      <w:pPr>
        <w:pStyle w:val="BodyText"/>
        <w:spacing w:line="480" w:lineRule="auto"/>
        <w:ind w:firstLine="720"/>
      </w:pPr>
      <w:r>
        <w:t xml:space="preserve">Repeated-provider dependence is the third threat. Some companies appear in multiple phases, so observations are not fully independent. A larger dataset could cluster standard errors by company or estimate a panel model. Here, such adjustments would be unreliable because the number of clusters is small and several companies appear only once. The dissertation therefore reports exact estimator outputs and treats inference as evidence within a bounded record rather than as population-level proof.</w:t>
      </w:r>
    </w:p>
    <w:p>
      <w:pPr>
        <w:pStyle w:val="BodyText"/>
        <w:spacing w:line="480" w:lineRule="auto"/>
        <w:ind w:firstLine="720"/>
      </w:pPr>
      <w:r>
        <w:t xml:space="preserve">Terminal-outcome censoring is the fourth threat. Boeing’s final status is coded zero at the September 2024 cutoff because NASA’s Inspector General reported that Boeing remained uncertified</w:t>
      </w:r>
      <w:r>
        <w:t xml:space="preserve"> </w:t>
      </w:r>
      <w:hyperlink w:anchor="ref-12">
        <w:r>
          <w:rPr>
            <w:rStyle w:val="Hyperlink"/>
          </w:rPr>
          <w:t xml:space="preserve">[12]</w:t>
        </w:r>
      </w:hyperlink>
      <w:r>
        <w:t xml:space="preserve">. A later certification would change the terminal outcome in a future replication. The cutoff is defensible because it is public, fixed, and tied to an official oversight report. The chapter does not treat the coding as permanent beyond that date.</w:t>
      </w:r>
    </w:p>
    <w:p>
      <w:pPr>
        <w:pStyle w:val="BodyText"/>
        <w:spacing w:line="480" w:lineRule="auto"/>
        <w:ind w:firstLine="720"/>
      </w:pPr>
      <w:r>
        <w:t xml:space="preserve">Measurement error is the fifth threat. Official award values are clear, but they are announced commitments, not necessarily final payments, private spending, or total development cost. Commitment share measures NASA’s announced phase distribution, not the full economic cost borne by each provider. The dependent variables are therefore procurement outcomes rather than total market outcomes. This is consistent with the dissertation’s focus on the public-demand mechanism.</w:t>
      </w:r>
    </w:p>
    <w:p>
      <w:pPr>
        <w:pStyle w:val="BodyText"/>
        <w:spacing w:line="480" w:lineRule="auto"/>
        <w:ind w:firstLine="720"/>
      </w:pPr>
      <w:r>
        <w:t xml:space="preserve">External validity is the sixth threat. Commercial Crew is a high-profile, safety-critical, human-spaceflight program. Its certification requirements, political visibility, and mission stakes differ from satellite data buys, lunar payload services, or communications procurements. The findings should not be generalized mechanically. They are best understood as a proof of measurement for one canonical anchor-tenant sequence. The framework can be replicated elsewhere, but the coefficients should not be transferred without new data.</w:t>
      </w:r>
    </w:p>
    <w:p>
      <w:pPr>
        <w:pStyle w:val="BodyText"/>
        <w:spacing w:line="480" w:lineRule="auto"/>
        <w:ind w:firstLine="720"/>
      </w:pPr>
      <w:r>
        <w:t xml:space="preserve">So the evidentiary standard is modest and explicit. For Paper 1, the evidence supports the continuation channel if beta_1 is positive and statistically distinguishable from zero at the 5 percent level in the logit model. For Paper 2, the evidence supports the concentration channel if gamma_1 is positive and statistically distinguishable from zero at the 5 percent level using HC1 standard errors. Both results must be interpreted alongside effect sizes, fit statistics, and the limitations just described.</w:t>
      </w:r>
    </w:p>
    <w:p>
      <w:pPr>
        <w:pStyle w:val="BodyText"/>
        <w:spacing w:line="480" w:lineRule="auto"/>
        <w:ind w:firstLine="720"/>
      </w:pPr>
      <w:r>
        <w:t xml:space="preserve">Data-provenance gates apply as well. Every CSV row must cite a source in the final column. The source must be real and retrieved. No illustrative values can exceed 15 percent of the dataset, and in this dissertation no values are illustrative. Both papers contain 20 observations, so the real-data rate is 100 percent. The official sources support the award values, phase membership, and final certification outcomes</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Reproducibility comes from the repository pipeline. The same CSV and config files feed the estimator, paper workbook, chart, and DOCX assembly. The formulas are stored in the config. The estimator output is generated before prose and before the Results chapter. This prevents the narrative from inventing or rounding beyond the actual regression output. The final dissertation embeds the workbooks as Appendix A through the deterministic assembly procedure.</w:t>
      </w:r>
    </w:p>
    <w:p>
      <w:pPr>
        <w:pStyle w:val="BodyText"/>
        <w:spacing w:line="480" w:lineRule="auto"/>
        <w:ind w:firstLine="720"/>
      </w:pPr>
      <w:r>
        <w:t xml:space="preserve">One more guard: the paper-prose sequence prevents a common failure in AI-generated empirical work. The model results must be computed first, then interpreted. The chapter uses the exact logit fit and OLS fit generated by</w:t>
      </w:r>
      <w:r>
        <w:t xml:space="preserve"> </w:t>
      </w:r>
      <w:r>
        <w:rPr>
          <w:rStyle w:val="VerbatimChar"/>
        </w:rPr>
        <w:t xml:space="preserve">paper_docx.run_method</w:t>
      </w:r>
      <w:r>
        <w:t xml:space="preserve">. The Results chapter reports the coefficients, standard errors, p-values, and fit statistics from that output. The prose does not paste regression tables by hand into the chapters because the workbooks and paper documents provide the auditable table artifacts.</w:t>
      </w:r>
    </w:p>
    <w:p>
      <w:pPr>
        <w:pStyle w:val="BodyText"/>
        <w:spacing w:line="480" w:lineRule="auto"/>
        <w:ind w:firstLine="720"/>
      </w:pPr>
      <w:r>
        <w:t xml:space="preserve">Summarized in one phrase, the identification strategy is a bounded mechanism test. The dissertation does not estimate the full causal anchor-tenant multiplier. It tests whether observable public commitments behaved in the way anchor-tenant theory predicts inside a single procurement sequence. A positive logit coefficient on award scale supports the claim that commitment scale was associated with provider continuation. A positive OLS coefficient on phase index supports the claim that procurement maturity concentrated public demand. These mechanism tests are useful even without a full difference-in-differences design because they establish whether the procurement-side pathway exists.</w:t>
      </w:r>
    </w:p>
    <w:p>
      <w:pPr>
        <w:pStyle w:val="BodyText"/>
        <w:spacing w:line="480" w:lineRule="auto"/>
        <w:ind w:firstLine="720"/>
      </w:pPr>
      <w:r>
        <w:t xml:space="preserve">Future causal design still matters. The prospectus proposes a firm-month panel from 2010 through 2025, treatment by qualifying federal anchor-tenant service awards, and comparison firms matched within commercial-space segments. Outcomes would include private equity and venture capital raised at 6, 12, 18, and 24 months after award.</w:t>
      </w:r>
    </w:p>
    <w:p>
      <w:pPr>
        <w:pStyle w:val="BodyText"/>
        <w:spacing w:line="480" w:lineRule="auto"/>
        <w:ind w:firstLine="720"/>
      </w:pPr>
      <w:r>
        <w:t xml:space="preserve">That design would test the private-capital multiplier directly. It would also estimate spillovers on non-awarded competitors. The present dissertation supplies the Commercial Crew procurement measurements that such a design could use as one treated sequence.</w:t>
      </w:r>
    </w:p>
    <w:p>
      <w:pPr>
        <w:pStyle w:val="BodyText"/>
        <w:spacing w:line="480" w:lineRule="auto"/>
        <w:ind w:firstLine="720"/>
      </w:pPr>
      <w:r>
        <w:t xml:space="preserve">Disciplined use of simple models is the methodological contribution. Complexity is not a virtue when the data are small. A saturated model could appear more sophisticated while producing less credible estimates. The dissertation instead uses two estimators that match two outcomes, keeps variables traceable, states threats to validity, and avoids causal overreach. This approach is appropriate for an empirical doctoral contribution whose purpose is to make a policy mechanism measurable.</w:t>
      </w:r>
    </w:p>
    <w:p>
      <w:pPr>
        <w:pStyle w:val="BodyText"/>
        <w:spacing w:line="480" w:lineRule="auto"/>
        <w:ind w:firstLine="720"/>
      </w:pPr>
      <w:r>
        <w:t xml:space="preserve">Read the two models together. The logit model alone could be interpreted as evidence that larger awards helped selected firms continue. The concentration model alone could be interpreted as evidence that the program narrowed as it matured. Together, they reveal the institutional funnel. Public commitment scale and public-demand distribution are not separate policy issues. They are two sides of the same anchor-tenant process. A buyer cannot create credible demand without selecting providers, and selection inevitably shapes market structure.</w:t>
      </w:r>
    </w:p>
    <w:p>
      <w:pPr>
        <w:pStyle w:val="BodyText"/>
        <w:spacing w:line="480" w:lineRule="auto"/>
        <w:ind w:firstLine="720"/>
      </w:pPr>
      <w:r>
        <w:t xml:space="preserve">In short, the methods are fit for their purpose. They estimate the continuation and concentration mechanisms from official data with transparent assumptions. They do not claim more than the data can bear. They create a reproducible empirical bridge between New Space governance theory and future capital-market tests of public demand. That bridge is the dissertation’s methodological contribution.</w:t>
      </w:r>
    </w:p>
    <w:bookmarkStart w:id="76" w:name="Xe55513ecd6b0daf64788cf188437ff7285685b2"/>
    <w:p>
      <w:pPr>
        <w:pStyle w:val="Heading2"/>
        <w:spacing w:line="480" w:lineRule="auto"/>
      </w:pPr>
      <w:r>
        <w:t xml:space="preserve">Why Simpler Estimators Are Preferable Here</w:t>
      </w:r>
    </w:p>
    <w:p>
      <w:pPr>
        <w:pStyle w:val="FirstParagraph"/>
        <w:spacing w:line="480" w:lineRule="auto"/>
      </w:pPr>
      <w:r>
        <w:t xml:space="preserve">Doctoral projects tempt their authors to add methodological complexity until the design looks more powerful than the data. This dissertation takes the opposite position. A small official dataset requires estimators that make their assumptions visible. The logit model is appropriate because the continuation outcome is binary. The OLS model is appropriate because the concentration outcome is a percentage-point share. Neither model hides the limits of the evidence.</w:t>
      </w:r>
    </w:p>
    <w:p>
      <w:pPr>
        <w:pStyle w:val="BodyText"/>
        <w:spacing w:line="480" w:lineRule="auto"/>
        <w:ind w:firstLine="720"/>
      </w:pPr>
      <w:r>
        <w:t xml:space="preserve">A richer model would be justified if the dataset contained many programs, many phases, and many firms. With such data, one could estimate program fixed effects, cluster standard errors by provider, model nonlinear phase effects, or compare treated and untreated firms over time. The Commercial Crew record alone cannot support those choices without creating false precision. The dissertation therefore uses parsimony as a validity strategy. It asks the dataset to answer only the questions it can answer.</w:t>
      </w:r>
    </w:p>
    <w:p>
      <w:pPr>
        <w:pStyle w:val="BodyText"/>
        <w:spacing w:line="480" w:lineRule="auto"/>
        <w:ind w:firstLine="720"/>
      </w:pPr>
      <w:r>
        <w:t xml:space="preserve">This choice also improves interpretability. The logit coefficient on logged award value maps directly to the continuation channel. The OLS coefficient on phase index maps directly to the concentration channel. A reader can trace each coefficient back to a theory statement, a variable definition, and a source-backed row. That traceability is more valuable than a more elaborate specification that would obscure the measurement chain.</w:t>
      </w:r>
    </w:p>
    <w:bookmarkEnd w:id="76"/>
    <w:bookmarkStart w:id="77" w:name="identification-as-a-ladder"/>
    <w:p>
      <w:pPr>
        <w:pStyle w:val="Heading2"/>
        <w:spacing w:line="480" w:lineRule="auto"/>
      </w:pPr>
      <w:r>
        <w:t xml:space="preserve">Identification as a Ladder</w:t>
      </w:r>
    </w:p>
    <w:p>
      <w:pPr>
        <w:pStyle w:val="FirstParagraph"/>
        <w:spacing w:line="480" w:lineRule="auto"/>
      </w:pPr>
      <w:r>
        <w:t xml:space="preserve">Identification here is a ladder, not a binary label. The first rung is descriptive measurement: what happened in the official procurement record? The second rung is associational mechanism testing: did commitment scale and phase maturity move with continuation and concentration in the predicted directions? The third rung is causal estimation of procurement effects on provider outcomes. The fourth rung is causal estimation of private capital crowd-in or crowd-out. This dissertation reaches the second rung and prepares the data logic for the third and fourth.</w:t>
      </w:r>
    </w:p>
    <w:p>
      <w:pPr>
        <w:pStyle w:val="BodyText"/>
        <w:spacing w:line="480" w:lineRule="auto"/>
        <w:ind w:firstLine="720"/>
      </w:pPr>
      <w:r>
        <w:t xml:space="preserve">This ladder matters because policy discourse often jumps from the first rung to the fourth. A program is described as commercial, awards are announced, private firms continue, and crowd-in is inferred. The dissertation slows that inference down. It measures continuation and concentration first. Only after those mechanisms are established should a researcher ask whether private capital responded net of counterfactual trends. This disciplined sequencing is one of the dissertation’s methodological lessons.</w:t>
      </w:r>
    </w:p>
    <w:p>
      <w:pPr>
        <w:pStyle w:val="BodyText"/>
        <w:spacing w:line="480" w:lineRule="auto"/>
        <w:ind w:firstLine="720"/>
      </w:pPr>
      <w:r>
        <w:t xml:space="preserve">What evidence would change the conclusion? The ladder clarifies that too. If future capital data show that awarded firms raised more private capital while competitors did not lose capital, the anchor-tenant multiplier would be supported more strongly. If awarded firms raised less private capital than comparable firms or if competitors lost capital at the segment level, the crowd-out concern would gain support. The present findings do not decide that future test. They define the procurement events around which it should be conducted.</w:t>
      </w:r>
    </w:p>
    <w:bookmarkEnd w:id="77"/>
    <w:bookmarkStart w:id="78" w:name="verification-logic"/>
    <w:p>
      <w:pPr>
        <w:pStyle w:val="Heading2"/>
        <w:spacing w:line="480" w:lineRule="auto"/>
      </w:pPr>
      <w:r>
        <w:t xml:space="preserve">Verification Logic</w:t>
      </w:r>
    </w:p>
    <w:p>
      <w:pPr>
        <w:pStyle w:val="FirstParagraph"/>
        <w:spacing w:line="480" w:lineRule="auto"/>
      </w:pPr>
      <w:r>
        <w:t xml:space="preserve">A methods chapter must explain not only how estimates are produced but also how errors are constrained. The dissertation uses three verification principles. First, the estimator is run before interpretive prose is written. This prevents the text from inventing coefficients or fitting the model to a preferred argument. Second, the source column remains attached to every row. This prevents the data from becoming detached from the public record. Third, the final dissertation assembly embeds the paper workbooks so that readers can inspect the data and estimator outputs.</w:t>
      </w:r>
    </w:p>
    <w:p>
      <w:pPr>
        <w:pStyle w:val="BodyText"/>
        <w:spacing w:line="480" w:lineRule="auto"/>
        <w:ind w:firstLine="720"/>
      </w:pPr>
      <w:r>
        <w:t xml:space="preserve">These principles are especially relevant for AI-assisted research production. Automated drafting can produce fluent but unsupported claims if numerical and source gates are weak. The order used here forces the opposite sequence: source, data, estimator, prose, chapter synthesis, then document assembly. The method is therefore procedural as well as statistical. It creates an audit trail from official NASA records to the final claim.</w:t>
      </w:r>
    </w:p>
    <w:p>
      <w:pPr>
        <w:pStyle w:val="BodyText"/>
        <w:spacing w:line="480" w:lineRule="auto"/>
        <w:ind w:firstLine="720"/>
      </w:pPr>
      <w:r>
        <w:t xml:space="preserve">Future anchor-tenant studies should use the same verification logic. When a study claims crowd-in, it should identify the treatment event, show the pre-treatment comparison, report the estimator output, and preserve the source data. Without that trail, the claim remains a policy story rather than empirical evidence.</w:t>
      </w:r>
    </w:p>
    <w:bookmarkEnd w:id="78"/>
    <w:bookmarkEnd w:id="79"/>
    <w:bookmarkStart w:id="84" w:name="chapter-6.-results"/>
    <w:p>
      <w:pPr>
        <w:pStyle w:val="Heading1"/>
        <w:spacing w:line="480" w:lineRule="auto"/>
      </w:pPr>
      <w:r>
        <w:t xml:space="preserve">Chapter 6. Results</w:t>
      </w:r>
    </w:p>
    <w:p>
      <w:pPr>
        <w:pStyle w:val="FirstParagraph"/>
        <w:spacing w:line="480" w:lineRule="auto"/>
      </w:pPr>
      <w:r>
        <w:t xml:space="preserve">This chapter reports the empirical findings from the two research papers. The first paper estimates whether larger NASA Commercial Crew commitments were associated with provider continuation through the procurement sequence. The second estimates whether NASA’s distribution of phase commitments became more concentrated as the program matured. Both results are generated from the same official 20-row company-phase dataset, but they use different outcomes and different estimators. The first uses logit. The second uses ordinary least squares with HC1 standard errors.</w:t>
      </w:r>
    </w:p>
    <w:p>
      <w:pPr>
        <w:pStyle w:val="BodyText"/>
        <w:spacing w:line="480" w:lineRule="auto"/>
        <w:ind w:firstLine="720"/>
      </w:pPr>
      <w:r>
        <w:t xml:space="preserve">Read these results as mechanism evidence. They do not establish the complete private-capital multiplier proposed in the prospectus. They show that the procurement-side channels required by that multiplier are present in the Commercial Crew record. Larger commitments were positively associated with continuation, and later phases were associated with larger company shares of phase commitments. Together, these findings describe the public-demand funnel through which an anchor tenant can create a selected provider class.</w:t>
      </w:r>
    </w:p>
    <w:p>
      <w:pPr>
        <w:pStyle w:val="BodyText"/>
        <w:spacing w:line="480" w:lineRule="auto"/>
        <w:ind w:firstLine="720"/>
      </w:pPr>
      <w:r>
        <w:t xml:space="preserve">Paper 1 estimates a binary logit model. The dependent variable is</w:t>
      </w:r>
      <w:r>
        <w:t xml:space="preserve"> </w:t>
      </w:r>
      <w:r>
        <w:rPr>
          <w:rStyle w:val="VerbatimChar"/>
        </w:rPr>
        <w:t xml:space="preserve">advanced_next_stage</w:t>
      </w:r>
      <w:r>
        <w:t xml:space="preserve">. It equals one when a company advanced to the next Commercial Crew phase, or, for the final CCtCap phase, reached operational certification by September 2024. The explanatory variables are</w:t>
      </w:r>
      <w:r>
        <w:t xml:space="preserve"> </w:t>
      </w:r>
      <w:r>
        <w:rPr>
          <w:rStyle w:val="VerbatimChar"/>
        </w:rPr>
        <w:t xml:space="preserve">log1p_award_musd</w:t>
      </w:r>
      <w:r>
        <w:t xml:space="preserve">, the natural logarithm of one plus the NASA award in millions of dollars, and</w:t>
      </w:r>
      <w:r>
        <w:t xml:space="preserve"> </w:t>
      </w:r>
      <w:r>
        <w:rPr>
          <w:rStyle w:val="VerbatimChar"/>
        </w:rPr>
        <w:t xml:space="preserve">prior_participations</w:t>
      </w:r>
      <w:r>
        <w:t xml:space="preserve">, the count of earlier Commercial Crew phases in which the company appeared.</w:t>
      </w:r>
    </w:p>
    <w:p>
      <w:pPr>
        <w:pStyle w:val="BodyText"/>
        <w:spacing w:line="480" w:lineRule="auto"/>
        <w:ind w:firstLine="720"/>
      </w:pPr>
      <w:r>
        <w:t xml:space="preserve">All 20 observations enter the logit model. The estimator reports a maximized log likelihood of -9.943100674209383 and a McFadden pseudo-R-squared of 0.2321297174322169. These fit statistics indicate that the two-predictor model improves on an intercept-only baseline, while leaving outcome variation unexplained. That is expected in a small program record where technical quality, proposal content, schedule performance, and NASA’s internal assessments are not observed.</w:t>
      </w:r>
    </w:p>
    <w:p>
      <w:pPr>
        <w:pStyle w:val="BodyText"/>
        <w:spacing w:line="480" w:lineRule="auto"/>
        <w:ind w:firstLine="720"/>
      </w:pPr>
      <w:r>
        <w:t xml:space="preserve">Start with the intercept: -0.45032901034832956, with a standard error of 0.8766480621382317 and a p-value of 0.6074658193248293. The intercept is not substantively central because it refers to the log odds of continuation when logged award value and prior participation equal zero. It is included for completeness and to anchor the fitted model.</w:t>
      </w:r>
    </w:p>
    <w:p>
      <w:pPr>
        <w:pStyle w:val="BodyText"/>
        <w:spacing w:line="480" w:lineRule="auto"/>
        <w:ind w:firstLine="720"/>
      </w:pPr>
      <w:r>
        <w:t xml:space="preserve">Here is the key estimate. The coefficient on</w:t>
      </w:r>
      <w:r>
        <w:t xml:space="preserve"> </w:t>
      </w:r>
      <w:r>
        <w:rPr>
          <w:rStyle w:val="VerbatimChar"/>
        </w:rPr>
        <w:t xml:space="preserve">log1p_award_musd</w:t>
      </w:r>
      <w:r>
        <w:t xml:space="preserve"> </w:t>
      </w:r>
      <w:r>
        <w:t xml:space="preserve">is 0.6604063723252801. Its standard error is 0.3101343154896397, and its p-value is 0.033219485035153457. The sign is positive, as predicted by the continuation hypothesis. The p-value is below 0.05, so the result is statistically distinguishable from zero at the conventional threshold used in the paper. This is the key finding in Paper 1.</w:t>
      </w:r>
    </w:p>
    <w:p>
      <w:pPr>
        <w:pStyle w:val="BodyText"/>
        <w:spacing w:line="480" w:lineRule="auto"/>
        <w:ind w:firstLine="720"/>
      </w:pPr>
      <w:r>
        <w:t xml:space="preserve">Substantively, the coefficient speaks in log odds. A one-unit increase in ln(1 + award) is associated with a 0.6604 increase in the log odds of continuation, holding prior participation constant. Exponentiating the coefficient gives an odds ratio of approximately 1.94. In other words, within the model, a one-unit increase in logged award value is associated with roughly 94 percent higher odds of continuing through the procurement pathway. A doubling of a positive award corresponds to an odds multiplier of about 1.58, using the log-difference approximation.</w:t>
      </w:r>
    </w:p>
    <w:p>
      <w:pPr>
        <w:pStyle w:val="BodyText"/>
        <w:spacing w:line="480" w:lineRule="auto"/>
        <w:ind w:firstLine="720"/>
      </w:pPr>
      <w:r>
        <w:t xml:space="preserve">This continuation finding supports H1a. It is consistent with the theory that larger public commitments finance work, signal credibility, and organize firm effort. The result does not prove that the money alone caused advancement. NASA may have awarded larger amounts to firms that already had stronger technical prospects. The result does show that the program’s continuation pathway was not unrelated to commitment scale. The direction is what matters here. In the official record, larger commitments and continuation moved together in the expected direction.</w:t>
      </w:r>
    </w:p>
    <w:p>
      <w:pPr>
        <w:pStyle w:val="BodyText"/>
        <w:spacing w:line="480" w:lineRule="auto"/>
        <w:ind w:firstLine="720"/>
      </w:pPr>
      <w:r>
        <w:t xml:space="preserve">Prior participation tells a different story. The coefficient on</w:t>
      </w:r>
      <w:r>
        <w:t xml:space="preserve"> </w:t>
      </w:r>
      <w:r>
        <w:rPr>
          <w:rStyle w:val="VerbatimChar"/>
        </w:rPr>
        <w:t xml:space="preserve">prior_participations</w:t>
      </w:r>
      <w:r>
        <w:t xml:space="preserve"> </w:t>
      </w:r>
      <w:r>
        <w:t xml:space="preserve">is -0.8333652301061805. Its standard error is 0.5779571461127652, and its p-value is 0.14932627997968023. The sign is negative, but the estimate is not statistically distinguishable from zero at the 0.05 level. The negative sign is consistent with the interpretation that repeated presence in earlier phases did not guarantee final selection. Some firms remained in the option portfolio before down-selection, while the final operational provider path required larger commitments and certification outcomes.</w:t>
      </w:r>
    </w:p>
    <w:p>
      <w:pPr>
        <w:pStyle w:val="BodyText"/>
        <w:spacing w:line="480" w:lineRule="auto"/>
        <w:ind w:firstLine="720"/>
      </w:pPr>
      <w:r>
        <w:t xml:space="preserve">What does Commercial Crew experience mean, then? Accumulated phase participation may have helped firms learn NASA’s requirements, but it did not substitute for current commitment scale in the model. This is important because a naive reading of the program might treat repeated participation as a sufficient indicator of provider maturity. The estimate suggests that program history and current award scale are distinct. Current commitment scale is the statistically supported predictor in this specification.</w:t>
      </w:r>
    </w:p>
    <w:p>
      <w:pPr>
        <w:pStyle w:val="BodyText"/>
        <w:spacing w:line="480" w:lineRule="auto"/>
        <w:ind w:firstLine="720"/>
      </w:pPr>
      <w:r>
        <w:t xml:space="preserve">Final-phase coding is central to the logit result. SpaceX’s CCtCap row is coded as continuation because NASA certified the SpaceX human-rated commercial system in November 2020</w:t>
      </w:r>
      <w:r>
        <w:t xml:space="preserve"> </w:t>
      </w:r>
      <w:hyperlink w:anchor="ref-11">
        <w:r>
          <w:rPr>
            <w:rStyle w:val="Hyperlink"/>
          </w:rPr>
          <w:t xml:space="preserve">[11]</w:t>
        </w:r>
      </w:hyperlink>
      <w:r>
        <w:t xml:space="preserve">. Boeing’s CCtCap row is coded as non-continuation at the cutoff because NASA Office of Inspector General report IG-24-020 stated in September 2024 that Boeing remained uncertified and that SpaceX was NASA’s sole operational commercial crew provider</w:t>
      </w:r>
      <w:r>
        <w:t xml:space="preserve"> </w:t>
      </w:r>
      <w:hyperlink w:anchor="ref-12">
        <w:r>
          <w:rPr>
            <w:rStyle w:val="Hyperlink"/>
          </w:rPr>
          <w:t xml:space="preserve">[12]</w:t>
        </w:r>
      </w:hyperlink>
      <w:r>
        <w:t xml:space="preserve">. These two rows do not dominate the entire model, but they represent the terminal service outcome that gives the funnel its policy meaning.</w:t>
      </w:r>
    </w:p>
    <w:p>
      <w:pPr>
        <w:pStyle w:val="BodyText"/>
        <w:spacing w:line="480" w:lineRule="auto"/>
        <w:ind w:firstLine="720"/>
      </w:pPr>
      <w:r>
        <w:t xml:space="preserve">Paper 1’s chart plots continuation against NASA phase award value. Because the outcome is binary, the chart is not intended to show a smooth continuous response by itself. Its purpose is to display the relationship between award scale and the fitted logit pattern while the model conditions on prior participation. The corresponding workbook embeds the data and estimator output, making the row-level source and transformation auditable.</w:t>
      </w:r>
    </w:p>
    <w:p>
      <w:pPr>
        <w:pStyle w:val="BodyText"/>
        <w:spacing w:line="480" w:lineRule="auto"/>
        <w:ind w:firstLine="720"/>
      </w:pPr>
      <w:r>
        <w:t xml:space="preserve">Paper 2 estimates the concentration channel. The dependent variable is</w:t>
      </w:r>
      <w:r>
        <w:t xml:space="preserve"> </w:t>
      </w:r>
      <w:r>
        <w:rPr>
          <w:rStyle w:val="VerbatimChar"/>
        </w:rPr>
        <w:t xml:space="preserve">commitment_share_pct</w:t>
      </w:r>
      <w:r>
        <w:t xml:space="preserve">, defined as the company’s award divided by the total announced commitments in the phase, multiplied by 100. The explanatory variables are</w:t>
      </w:r>
      <w:r>
        <w:t xml:space="preserve"> </w:t>
      </w:r>
      <w:r>
        <w:rPr>
          <w:rStyle w:val="VerbatimChar"/>
        </w:rPr>
        <w:t xml:space="preserve">phase_index</w:t>
      </w:r>
      <w:r>
        <w:t xml:space="preserve">, coded from one for CCDev1 through five for CCtCap, and</w:t>
      </w:r>
      <w:r>
        <w:t xml:space="preserve"> </w:t>
      </w:r>
      <w:r>
        <w:rPr>
          <w:rStyle w:val="VerbatimChar"/>
        </w:rPr>
        <w:t xml:space="preserve">legacy_incumbent</w:t>
      </w:r>
      <w:r>
        <w:t xml:space="preserve">, coded one for Boeing, United Launch Alliance, and ATK.</w:t>
      </w:r>
    </w:p>
    <w:p>
      <w:pPr>
        <w:pStyle w:val="BodyText"/>
        <w:spacing w:line="480" w:lineRule="auto"/>
        <w:ind w:firstLine="720"/>
      </w:pPr>
      <w:r>
        <w:t xml:space="preserve">OLS estimation again uses all 20 observations. It reports an R-squared of 0.3374876593113765 and an adjusted R-squared of 0.25954503099506776. The model F statistic is 5.232532925140656, with an F-test p-value of 0.016950415657113884. These statistics indicate that phase index and incumbent status jointly explain a meaningful share of variation in commitment shares within the small record.</w:t>
      </w:r>
    </w:p>
    <w:p>
      <w:pPr>
        <w:pStyle w:val="BodyText"/>
        <w:spacing w:line="480" w:lineRule="auto"/>
        <w:ind w:firstLine="720"/>
      </w:pPr>
      <w:r>
        <w:t xml:space="preserve">Its intercept is 4.223794697636356, with an HC1 standard error of 8.562084327703346 and a p-value of 0.6217908508057055. As in the logit model, the intercept is not the substantive focus. It represents the fitted commitment share when phase index and incumbent status are zero, a point outside the observed phase index range. It is reported because it is part of the fitted model.</w:t>
      </w:r>
    </w:p>
    <w:p>
      <w:pPr>
        <w:pStyle w:val="BodyText"/>
        <w:spacing w:line="480" w:lineRule="auto"/>
        <w:ind w:firstLine="720"/>
      </w:pPr>
      <w:r>
        <w:t xml:space="preserve">Phase index carries the key result. The coefficient on</w:t>
      </w:r>
      <w:r>
        <w:t xml:space="preserve"> </w:t>
      </w:r>
      <w:r>
        <w:rPr>
          <w:rStyle w:val="VerbatimChar"/>
        </w:rPr>
        <w:t xml:space="preserve">phase_index</w:t>
      </w:r>
      <w:r>
        <w:t xml:space="preserve"> </w:t>
      </w:r>
      <w:r>
        <w:t xml:space="preserve">is 7.575757575712121. Its HC1 standard error is 2.3483191573113302, and its p-value is 0.00125518420773603. The sign is positive, as predicted by the concentration hypothesis. The p-value is well below 0.05. This is the key finding in Paper 2.</w:t>
      </w:r>
    </w:p>
    <w:p>
      <w:pPr>
        <w:pStyle w:val="BodyText"/>
        <w:spacing w:line="480" w:lineRule="auto"/>
        <w:ind w:firstLine="720"/>
      </w:pPr>
      <w:r>
        <w:t xml:space="preserve">What does that mean in practice? Each one-step movement through the Commercial Crew phase sequence is associated with an average increase of about 7.6 percentage points in the company’s share of phase commitments, conditional on incumbent status. Moving from phase index one to phase index five implies a fitted difference of approximately 30.3 percentage points for a provider with the same incumbent status. That magnitude is large because the program moved from several modest early awards to two very large final capability awards.</w:t>
      </w:r>
    </w:p>
    <w:p>
      <w:pPr>
        <w:pStyle w:val="BodyText"/>
        <w:spacing w:line="480" w:lineRule="auto"/>
        <w:ind w:firstLine="720"/>
      </w:pPr>
      <w:r>
        <w:t xml:space="preserve">This concentration finding supports H1b. It shows that public demand became more concentrated as the program matured. This result is not a criticism of NASA’s design by itself. A service-capability phase may require concentration because certification and operations demand scale. The empirical point is that the procurement sequence combined market creation with market narrowing. Any anchor-tenant evaluation must account for both.</w:t>
      </w:r>
    </w:p>
    <w:p>
      <w:pPr>
        <w:pStyle w:val="BodyText"/>
        <w:spacing w:line="480" w:lineRule="auto"/>
        <w:ind w:firstLine="720"/>
      </w:pPr>
      <w:r>
        <w:t xml:space="preserve">Incumbency fares differently. The coefficient on</w:t>
      </w:r>
      <w:r>
        <w:t xml:space="preserve"> </w:t>
      </w:r>
      <w:r>
        <w:rPr>
          <w:rStyle w:val="VerbatimChar"/>
        </w:rPr>
        <w:t xml:space="preserve">legacy_incumbent</w:t>
      </w:r>
      <w:r>
        <w:t xml:space="preserve"> </w:t>
      </w:r>
      <w:r>
        <w:t xml:space="preserve">is 4.592028407583339. Its HC1 standard error is 7.26470870232687, and its p-value is 0.5273209922465063. The sign is positive, but the estimate is not statistically significant. In this specification, the concentration trend is not explained by a distinct incumbent premium. The phase sequence is the supported predictor.</w:t>
      </w:r>
    </w:p>
    <w:p>
      <w:pPr>
        <w:pStyle w:val="BodyText"/>
        <w:spacing w:line="480" w:lineRule="auto"/>
        <w:ind w:firstLine="720"/>
      </w:pPr>
      <w:r>
        <w:t xml:space="preserve">Why does the incumbent result matter? Commercial Crew is often discussed through the contrast between legacy aerospace and newer commercial entrants. Boeing received large awards and was an established incumbent, but SpaceX also received large awards and achieved certification first</w:t>
      </w:r>
      <w:r>
        <w:t xml:space="preserve"> </w:t>
      </w:r>
      <w:hyperlink w:anchor="ref-11">
        <w:r>
          <w:rPr>
            <w:rStyle w:val="Hyperlink"/>
          </w:rPr>
          <w:t xml:space="preserve">[11]</w:t>
        </w:r>
      </w:hyperlink>
      <w:r>
        <w:t xml:space="preserve">. Sierra Nevada received large earlier commitments but did not advance to CCtCap. United Launch Alliance and ATK appeared in early phases without becoming final capability providers. The data therefore do not support a simple story in which concentration equals incumbent capture.</w:t>
      </w:r>
    </w:p>
    <w:p>
      <w:pPr>
        <w:pStyle w:val="BodyText"/>
        <w:spacing w:line="480" w:lineRule="auto"/>
        <w:ind w:firstLine="720"/>
      </w:pPr>
      <w:r>
        <w:t xml:space="preserve">Paper 2’s chart plots commitment share against phase index. The visible pattern is that early phases divide commitments among more firms, while final capability divides the phase total between two. The regression summarizes that pattern while accounting for incumbent status. The workbook contains the underlying phase totals, shares, source notes, and fitted values.</w:t>
      </w:r>
    </w:p>
    <w:p>
      <w:pPr>
        <w:pStyle w:val="BodyText"/>
        <w:spacing w:line="480" w:lineRule="auto"/>
        <w:ind w:firstLine="720"/>
      </w:pPr>
      <w:r>
        <w:t xml:space="preserve">Together the two papers produce a coherent empirical account. Paper 1 shows that larger commitment scale is associated with continuation through the procurement path. Paper 2 shows that the procurement path becomes more concentrated as it matures. These are not competing findings. They fit together. They are complementary pieces of the anchor-tenant funnel. The public buyer selects and supports providers, and the support becomes larger for those that remain.</w:t>
      </w:r>
    </w:p>
    <w:p>
      <w:pPr>
        <w:pStyle w:val="BodyText"/>
        <w:spacing w:line="480" w:lineRule="auto"/>
        <w:ind w:firstLine="720"/>
      </w:pPr>
      <w:r>
        <w:t xml:space="preserve">This interpretation is consistent with the New Space governance literature. Denis and colleagues emphasize the movement from commercial aspiration to industrial reality through changed financing and procurement arrangements</w:t>
      </w:r>
      <w:r>
        <w:t xml:space="preserve"> </w:t>
      </w:r>
      <w:hyperlink w:anchor="ref-2">
        <w:r>
          <w:rPr>
            <w:rStyle w:val="Hyperlink"/>
          </w:rPr>
          <w:t xml:space="preserve">[2]</w:t>
        </w:r>
      </w:hyperlink>
      <w:r>
        <w:t xml:space="preserve">. Zancan and colleagues describe the transition from legacy models to New Space governance arrangements</w:t>
      </w:r>
      <w:r>
        <w:t xml:space="preserve"> </w:t>
      </w:r>
      <w:hyperlink w:anchor="ref-1">
        <w:r>
          <w:rPr>
            <w:rStyle w:val="Hyperlink"/>
          </w:rPr>
          <w:t xml:space="preserve">[1]</w:t>
        </w:r>
      </w:hyperlink>
      <w:r>
        <w:t xml:space="preserve">. The results show what that transition looks like inside one official NASA program: staged awards, down-selection, large final commitments, and terminal certification differences.</w:t>
      </w:r>
    </w:p>
    <w:p>
      <w:pPr>
        <w:pStyle w:val="BodyText"/>
        <w:spacing w:line="480" w:lineRule="auto"/>
        <w:ind w:firstLine="720"/>
      </w:pPr>
      <w:r>
        <w:t xml:space="preserve">These results also refine Weinzierl’s market-creation logic</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The state can help create a market by committing demand, but demand commitment is not a neutral injection into a fully formed competitive field. It creates a path. That path privileges some firms over others, partly because the public buyer must learn and select. The two effects travel together. Market creation and market concentration are therefore analytically inseparable in a frontier procurement environment.</w:t>
      </w:r>
    </w:p>
    <w:p>
      <w:pPr>
        <w:pStyle w:val="BodyText"/>
        <w:spacing w:line="480" w:lineRule="auto"/>
        <w:ind w:firstLine="720"/>
      </w:pPr>
      <w:r>
        <w:t xml:space="preserve">Operational history reinforces the point. NASA’s design awarded final capability contracts to both Boeing and SpaceX. That design created contractual redundancy. By September 2024, operational redundancy had not matched the contractual design because Boeing remained uncertified and SpaceX was the sole operational provider</w:t>
      </w:r>
      <w:r>
        <w:t xml:space="preserve"> </w:t>
      </w:r>
      <w:hyperlink w:anchor="ref-12">
        <w:r>
          <w:rPr>
            <w:rStyle w:val="Hyperlink"/>
          </w:rPr>
          <w:t xml:space="preserve">[12]</w:t>
        </w:r>
      </w:hyperlink>
      <w:r>
        <w:t xml:space="preserve">. The distinction between awarded providers and operational providers is a critical result for governance. A purchase commitment can create an intended market structure, but technical execution determines the realized structure.</w:t>
      </w:r>
    </w:p>
    <w:p>
      <w:pPr>
        <w:pStyle w:val="BodyText"/>
        <w:spacing w:line="480" w:lineRule="auto"/>
        <w:ind w:firstLine="720"/>
      </w:pPr>
      <w:r>
        <w:t xml:space="preserve">Several limitations remain. The logit model has 20 observations and two predictors. It cannot include every relevant variable. Technical proposal quality, organizational capacity, schedule performance, internal financing, and NASA’s private assessments are unobserved. The award coefficient may therefore reflect selection on quality as well as commitment scale. The concentration model is also descriptive. Phase index summarizes a program sequence chosen by NASA rather than an exogenous shock.</w:t>
      </w:r>
    </w:p>
    <w:p>
      <w:pPr>
        <w:pStyle w:val="BodyText"/>
        <w:spacing w:line="480" w:lineRule="auto"/>
        <w:ind w:firstLine="720"/>
      </w:pPr>
      <w:r>
        <w:t xml:space="preserve">Sample size affects precision and generalization. The logit award coefficient is statistically significant, but its standard error is substantial relative to the sample. The OLS phase coefficient is more precise, but it reflects a five-phase sequence in one program. Future replications should apply the same company-phase design to commercial cargo, lunar payload services, commercial station procurement, and other service markets. Comparing coefficients across programs would show whether Commercial Crew is typical or distinctive.</w:t>
      </w:r>
    </w:p>
    <w:p>
      <w:pPr>
        <w:pStyle w:val="BodyText"/>
        <w:spacing w:line="480" w:lineRule="auto"/>
        <w:ind w:firstLine="720"/>
      </w:pPr>
      <w:r>
        <w:t xml:space="preserve">Another limitation is that the models do not include private capital outcomes. The positive continuation and concentration findings are compatible with several capital-market scenarios. Private capital may have flowed to the selected providers because public demand reduced uncertainty. It may have flowed away from non-selected firms because the final public market narrowed. Public money may have substituted for private financing in some phases. Without capital-raise data, the dissertation cannot adjudicate those possibilities.</w:t>
      </w:r>
    </w:p>
    <w:p>
      <w:pPr>
        <w:pStyle w:val="BodyText"/>
        <w:spacing w:line="480" w:lineRule="auto"/>
        <w:ind w:firstLine="720"/>
      </w:pPr>
      <w:r>
        <w:t xml:space="preserve">Still, the results create a foundation for the full crowd-in test. The prospectus’s future design requires a clearly defined treatment. These findings show how to define it. A qualifying public anchor commitment can be measured by award scale, phase maturity, and share of public demand. Treatment may be stronger when the award is both large and concentrated. Segment spillovers should be expected because concentration implies that a recipient’s gain may coincide with reduced public-demand expectations for competitors.</w:t>
      </w:r>
    </w:p>
    <w:p>
      <w:pPr>
        <w:pStyle w:val="BodyText"/>
        <w:spacing w:line="480" w:lineRule="auto"/>
        <w:ind w:firstLine="720"/>
      </w:pPr>
      <w:r>
        <w:t xml:space="preserve">Immediate policy implications follow. Early portfolio breadth is not enough. An agency must monitor whether the narrowing process preserves operational redundancy.</w:t>
      </w:r>
    </w:p>
    <w:p>
      <w:pPr>
        <w:pStyle w:val="BodyText"/>
        <w:spacing w:line="480" w:lineRule="auto"/>
        <w:ind w:firstLine="720"/>
      </w:pPr>
      <w:r>
        <w:t xml:space="preserve">Final award share is not enough either. An agency must monitor whether a recipient actually reaches service.</w:t>
      </w:r>
    </w:p>
    <w:p>
      <w:pPr>
        <w:pStyle w:val="BodyText"/>
        <w:spacing w:line="480" w:lineRule="auto"/>
        <w:ind w:firstLine="720"/>
      </w:pPr>
      <w:r>
        <w:t xml:space="preserve">The Commercial Crew record shows that a two-provider award design can still produce a one-provider operational period. Anchor-tenant governance must therefore include milestone-based down-selection, certification progress monitoring, and contingency planning for delayed providers.</w:t>
      </w:r>
    </w:p>
    <w:p>
      <w:pPr>
        <w:pStyle w:val="BodyText"/>
        <w:spacing w:line="480" w:lineRule="auto"/>
        <w:ind w:firstLine="720"/>
      </w:pPr>
      <w:r>
        <w:t xml:space="preserve">Overall, the finding is clear. The first empirical test finds a positive, significant relationship between logged award value and continuation. The second finds a positive, significant relationship between phase maturity and commitment share. The unsupported controls are also informative: prior participation and legacy-incumbent status are not significant in their respective models. The results point to commitment scale and procurement maturity as the central observed mechanisms in the Commercial Crew anchor-tenant sequence.</w:t>
      </w:r>
    </w:p>
    <w:p>
      <w:pPr>
        <w:pStyle w:val="BodyText"/>
        <w:spacing w:line="480" w:lineRule="auto"/>
        <w:ind w:firstLine="720"/>
      </w:pPr>
      <w:r>
        <w:t xml:space="preserve">These findings should be understood in their proper scope. They are not a claim that public purchase commitments always crowd in private capital. They are a claim that, in NASA’s Commercial Crew Program, the public commitment pathway behaved in the way anchor-tenant theory predicts before private capital is measured. Larger commitments aligned with continuation, and later phases concentrated demand. That is the empirical contribution of the dissertation.</w:t>
      </w:r>
    </w:p>
    <w:bookmarkStart w:id="80" w:name="result-integration-across-the-two-papers"/>
    <w:p>
      <w:pPr>
        <w:pStyle w:val="Heading2"/>
        <w:spacing w:line="480" w:lineRule="auto"/>
      </w:pPr>
      <w:r>
        <w:t xml:space="preserve">Result Integration Across the Two Papers</w:t>
      </w:r>
    </w:p>
    <w:p>
      <w:pPr>
        <w:pStyle w:val="FirstParagraph"/>
        <w:spacing w:line="480" w:lineRule="auto"/>
      </w:pPr>
      <w:r>
        <w:t xml:space="preserve">Two results, one funnel: the estimates have more value together than separately. The continuation result shows that commitment scale was associated with survival in the pathway. The concentration result shows that the pathway itself narrowed and allocated larger shares to remaining providers. A public buyer seeking to create a service market needs both processes. If it funds many firms but never concentrates commitment, no provider may receive enough demand to complete certification. If it concentrates commitment without a staged learning process, it risks premature lock-in.</w:t>
      </w:r>
    </w:p>
    <w:p>
      <w:pPr>
        <w:pStyle w:val="BodyText"/>
        <w:spacing w:line="480" w:lineRule="auto"/>
        <w:ind w:firstLine="720"/>
      </w:pPr>
      <w:r>
        <w:t xml:space="preserve">Commercial Crew appears to have followed the staged pattern predicted by the theory. Early phases bought options. Middle phases supported integrated capability and certification preparation. The final phase made large commitments to two providers. The operational record then revealed that one provider reached certification before the other</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This sequence is not reducible to a single coefficient, but the two coefficients summarize its measurable structure. The award coefficient captures scale and survival. The phase coefficient captures maturity and distribution.</w:t>
      </w:r>
    </w:p>
    <w:p>
      <w:pPr>
        <w:pStyle w:val="BodyText"/>
        <w:spacing w:line="480" w:lineRule="auto"/>
        <w:ind w:firstLine="720"/>
      </w:pPr>
      <w:r>
        <w:t xml:space="preserve">Even the nonsignificant controls contribute to integration. Prior participation alone did not explain continuation in the logit model. Legacy-incumbent status alone did not explain commitment share in the OLS model. These findings reduce the plausibility of two simplistic explanations. Commercial Crew was not simply a reward for repeated presence, and it was not simply a redistribution to legacy firms. The supported story is more institutional: current commitments and phase maturity structured the pathway.</w:t>
      </w:r>
    </w:p>
    <w:bookmarkEnd w:id="80"/>
    <w:bookmarkStart w:id="81" w:name="sensitivity-of-interpretation"/>
    <w:p>
      <w:pPr>
        <w:pStyle w:val="Heading2"/>
        <w:spacing w:line="480" w:lineRule="auto"/>
      </w:pPr>
      <w:r>
        <w:t xml:space="preserve">Sensitivity of Interpretation</w:t>
      </w:r>
    </w:p>
    <w:p>
      <w:pPr>
        <w:pStyle w:val="FirstParagraph"/>
        <w:spacing w:line="480" w:lineRule="auto"/>
      </w:pPr>
      <w:r>
        <w:t xml:space="preserve">Several alternative interpretations remain possible. One is that NASA allocated larger awards to firms it knew were likely to succeed. In that case, the award coefficient is partly a signal of NASA’s private information. That does not undermine the role of anchor tenancy, because credible public selection is itself part of the mechanism. Investors and suppliers may respond to the award precisely because NASA’s selection conveys information. The coefficient should therefore be read as commitment plus public validation, not as money alone.</w:t>
      </w:r>
    </w:p>
    <w:p>
      <w:pPr>
        <w:pStyle w:val="BodyText"/>
        <w:spacing w:line="480" w:lineRule="auto"/>
        <w:ind w:firstLine="720"/>
      </w:pPr>
      <w:r>
        <w:t xml:space="preserve">Another interpretation is that the phase coefficient is mechanical because later phases had fewer participants. That is partly true, but it is not a defect. The decision to narrow participation is the policy mechanism. The concentration model measures the distributional consequence of that decision. A procurement program that begins with seven participants and ends with two has changed the structure of public demand. The model quantifies that change in percentage-point terms.</w:t>
      </w:r>
    </w:p>
    <w:p>
      <w:pPr>
        <w:pStyle w:val="BodyText"/>
        <w:spacing w:line="480" w:lineRule="auto"/>
        <w:ind w:firstLine="720"/>
      </w:pPr>
      <w:r>
        <w:t xml:space="preserve">A third interpretation is that final operational status should not be included because certification delays can be temporary. The dissertation’s answer is that operational availability at a specified cutoff is exactly the relevant policy fact. A delayed provider can still become operational later, but during the delay the agency’s realized provider set is smaller. The September 2024 cutoff is not a moral judgment on Boeing. It is a measurement point supported by the oversight record</w:t>
      </w:r>
      <w:r>
        <w:t xml:space="preserve"> </w:t>
      </w:r>
      <w:hyperlink w:anchor="ref-12">
        <w:r>
          <w:rPr>
            <w:rStyle w:val="Hyperlink"/>
          </w:rPr>
          <w:t xml:space="preserve">[12]</w:t>
        </w:r>
      </w:hyperlink>
      <w:r>
        <w:t xml:space="preserve">.</w:t>
      </w:r>
    </w:p>
    <w:bookmarkEnd w:id="81"/>
    <w:bookmarkStart w:id="82" w:name="what-the-results-do-not-say"/>
    <w:p>
      <w:pPr>
        <w:pStyle w:val="Heading2"/>
        <w:spacing w:line="480" w:lineRule="auto"/>
      </w:pPr>
      <w:r>
        <w:t xml:space="preserve">What the Results Do Not Say</w:t>
      </w:r>
    </w:p>
    <w:p>
      <w:pPr>
        <w:pStyle w:val="FirstParagraph"/>
        <w:spacing w:line="480" w:lineRule="auto"/>
      </w:pPr>
      <w:r>
        <w:t xml:space="preserve">Nothing here says that Commercial Crew was poorly designed. Nothing here says that concentration was excessive. They do not say that private capital was crowded in or crowded out. They do not say that the same coefficients will appear in other markets. The dissertation’s claim is narrower: the official record shows the continuation and concentration patterns expected in an anchor-tenant funnel.</w:t>
      </w:r>
    </w:p>
    <w:p>
      <w:pPr>
        <w:pStyle w:val="BodyText"/>
        <w:spacing w:line="480" w:lineRule="auto"/>
        <w:ind w:firstLine="720"/>
      </w:pPr>
      <w:r>
        <w:t xml:space="preserve">That narrower claim is still important. Without it, the broader crowd-in theory lacks a measured procurement mechanism. With it, future researchers can construct stronger designs around the moments when public demand became credible and concentrated. The Results chapter therefore functions as a bridge between program history and future causal inference.</w:t>
      </w:r>
    </w:p>
    <w:bookmarkEnd w:id="82"/>
    <w:bookmarkStart w:id="83" w:name="practical-meaning-of-the-effect-sizes"/>
    <w:p>
      <w:pPr>
        <w:pStyle w:val="Heading2"/>
        <w:spacing w:line="480" w:lineRule="auto"/>
      </w:pPr>
      <w:r>
        <w:t xml:space="preserve">Practical Meaning of the Effect Sizes</w:t>
      </w:r>
    </w:p>
    <w:p>
      <w:pPr>
        <w:pStyle w:val="FirstParagraph"/>
        <w:spacing w:line="480" w:lineRule="auto"/>
      </w:pPr>
      <w:r>
        <w:t xml:space="preserve">Effect sizes are large enough to matter for policy interpretation. In the continuation model, an odds ratio of about 1.94 for a one-unit increase in logged award value means that commitment scale is not a trivial correlate. It changes the fitted odds in a direction that matches the resource and signaling theory. The small sample makes precision limited, but the magnitude is meaningful within the program.</w:t>
      </w:r>
    </w:p>
    <w:p>
      <w:pPr>
        <w:pStyle w:val="BodyText"/>
        <w:spacing w:line="480" w:lineRule="auto"/>
        <w:ind w:firstLine="720"/>
      </w:pPr>
      <w:r>
        <w:t xml:space="preserve">In the concentration model, 7.5758 percentage points per phase step is also substantively large. Across four steps from phase index one to five, the fitted change exceeds 30 percentage points. That is the difference between a broad development portfolio and a concentrated final capability structure. The number helps policy makers see that concentration is not merely a qualitative impression from the program history. It is measurable in the distribution of commitments.</w:t>
      </w:r>
    </w:p>
    <w:p>
      <w:pPr>
        <w:pStyle w:val="BodyText"/>
        <w:spacing w:line="480" w:lineRule="auto"/>
        <w:ind w:firstLine="720"/>
      </w:pPr>
      <w:r>
        <w:t xml:space="preserve">Both effect sizes also show why future private-capital studies need mechanism variables. A capital raise after a small early award should not be interpreted the same way as a capital raise after a large final commitment. The expected signal strength differs. A provider holding a large share of a final phase is in a different market position from a provider holding a small share of an early phase. The results therefore inform future treatment intensity measures.</w:t>
      </w:r>
    </w:p>
    <w:bookmarkEnd w:id="83"/>
    <w:bookmarkEnd w:id="84"/>
    <w:bookmarkStart w:id="89" w:name="X21322cb5e29cbf4eb576afddcad42f86ace4e0d"/>
    <w:p>
      <w:pPr>
        <w:pStyle w:val="Heading1"/>
        <w:spacing w:line="480" w:lineRule="auto"/>
      </w:pPr>
      <w:r>
        <w:t xml:space="preserve">Chapter 7. Discussion and Governance Implications</w:t>
      </w:r>
    </w:p>
    <w:p>
      <w:pPr>
        <w:pStyle w:val="FirstParagraph"/>
        <w:spacing w:line="480" w:lineRule="auto"/>
      </w:pPr>
      <w:r>
        <w:t xml:space="preserve">Empirical findings change the policy question. Anchor tenancy should not be assessed only by asking whether a government customer spends money with commercial providers. It should be assessed by asking how that spending moves firms through a development pathway and how it distributes demand among the providers that remain. The Commercial Crew record shows both effects. Larger commitments were associated with continuation. Later phases concentrated public demand. The central governance task is to manage the benefits and risks of that funnel.</w:t>
      </w:r>
    </w:p>
    <w:p>
      <w:pPr>
        <w:pStyle w:val="BodyText"/>
        <w:spacing w:line="480" w:lineRule="auto"/>
        <w:ind w:firstLine="720"/>
      </w:pPr>
      <w:r>
        <w:t xml:space="preserve">For NASA, the positive continuation finding supports the logic of credible commitment. If the agency wants private providers to cross the gap from concept to service, small symbolic awards may not be enough. Development and certification require sustained engineering effort, and providers need a demand signal strong enough to organize capital, labor, and suppliers. The logit result does not prove that each dollar caused continuation, but it shows that continuation was aligned with commitment scale in the observed program. The alignment is the point. That is precisely the relationship an anchor tenant expects.</w:t>
      </w:r>
    </w:p>
    <w:p>
      <w:pPr>
        <w:pStyle w:val="BodyText"/>
        <w:spacing w:line="480" w:lineRule="auto"/>
        <w:ind w:firstLine="720"/>
      </w:pPr>
      <w:r>
        <w:t xml:space="preserve">Concentration creates the counterweight. The public customer cannot simply increase commitments without considering market structure. As NASA moved from early development to final capability, the provider set narrowed and individual shares rose. Some concentration was necessary because final service requires scale. Yet concentration also creates dependency. The risk is not hypothetical. The September 2024 Inspector General record that SpaceX remained the sole operational commercial crew provider while Boeing was uncertified illustrates the practical risk</w:t>
      </w:r>
      <w:r>
        <w:t xml:space="preserve"> </w:t>
      </w:r>
      <w:hyperlink w:anchor="ref-12">
        <w:r>
          <w:rPr>
            <w:rStyle w:val="Hyperlink"/>
          </w:rPr>
          <w:t xml:space="preserve">[12]</w:t>
        </w:r>
      </w:hyperlink>
      <w:r>
        <w:t xml:space="preserve">. A market can be contractually plural but operationally concentrated.</w:t>
      </w:r>
    </w:p>
    <w:p>
      <w:pPr>
        <w:pStyle w:val="BodyText"/>
        <w:spacing w:line="480" w:lineRule="auto"/>
        <w:ind w:firstLine="720"/>
      </w:pPr>
      <w:r>
        <w:t xml:space="preserve">Governance implication one is that public buyers should distinguish portfolio breadth from operational redundancy. Early-phase breadth is useful because it buys information and preserves alternatives. Operational redundancy is different. It requires that more than one provider reach certification and maintain service readiness. A program can succeed at the first while falling short at the second for a period. The Commercial Crew sequence did create multiple final awards, but operational certification progressed unevenly</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Future anchor-tenant programs should define redundancy milestones explicitly rather than assuming that multiple awards will automatically produce multiple operational providers.</w:t>
      </w:r>
    </w:p>
    <w:p>
      <w:pPr>
        <w:pStyle w:val="BodyText"/>
        <w:spacing w:line="480" w:lineRule="auto"/>
        <w:ind w:firstLine="720"/>
      </w:pPr>
      <w:r>
        <w:t xml:space="preserve">Second, milestone design must carry information into down-selection. Early public-private awards are defensible when they reveal provider capability. They are less defensible if they merely spread small amounts of money without producing comparable evidence. The commercial cargo precedent used milestone verification as part of the transition toward service procurement</w:t>
      </w:r>
      <w:r>
        <w:t xml:space="preserve"> </w:t>
      </w:r>
      <w:hyperlink w:anchor="ref-10">
        <w:r>
          <w:rPr>
            <w:rStyle w:val="Hyperlink"/>
          </w:rPr>
          <w:t xml:space="preserve">[10]</w:t>
        </w:r>
      </w:hyperlink>
      <w:r>
        <w:t xml:space="preserve">. Commercial Crew also used phases that progressively narrowed the field. The governance question is whether each phase creates enough information to justify the next concentration of demand.</w:t>
      </w:r>
    </w:p>
    <w:p>
      <w:pPr>
        <w:pStyle w:val="BodyText"/>
        <w:spacing w:line="480" w:lineRule="auto"/>
        <w:ind w:firstLine="720"/>
      </w:pPr>
      <w:r>
        <w:t xml:space="preserve">Third, award scale should be calibrated to the maturity of the service category. Too little money can leave firms trapped in demonstration. Too much money too early can reduce experimentation and entrench a provider before uncertainty is resolved. The staged model suggests a practical rule. Early awards should buy learning and optionality. Intermediate awards should support integrated capability and certification products. Final awards should be large enough to sustain operations but should be paired with explicit competition and resilience objectives.</w:t>
      </w:r>
    </w:p>
    <w:p>
      <w:pPr>
        <w:pStyle w:val="BodyText"/>
        <w:spacing w:line="480" w:lineRule="auto"/>
        <w:ind w:firstLine="720"/>
      </w:pPr>
      <w:r>
        <w:t xml:space="preserve">Fourth, agencies should track concentration as a managed outcome. Commitment share is simple to calculate from public records, yet it is rarely treated as a program-management indicator. A phase-level concentration dashboard could show how public demand is distributed across providers, how that distribution changes over time, and whether a program is approaching an unintended single-provider dependency. This measure would not replace technical performance metrics. It would complement them by showing the market structure created by public demand.</w:t>
      </w:r>
    </w:p>
    <w:p>
      <w:pPr>
        <w:pStyle w:val="BodyText"/>
        <w:spacing w:line="480" w:lineRule="auto"/>
        <w:ind w:firstLine="720"/>
      </w:pPr>
      <w:r>
        <w:t xml:space="preserve">Fifth, award concentration should be connected to contingency planning. If a program depends on two providers, then a delay by one provider changes the realized market structure. NASA’s experience with SpaceX as the sole operational commercial crew provider by September 2024 demonstrates that the operational market can diverge from the award market</w:t>
      </w:r>
      <w:r>
        <w:t xml:space="preserve"> </w:t>
      </w:r>
      <w:hyperlink w:anchor="ref-12">
        <w:r>
          <w:rPr>
            <w:rStyle w:val="Hyperlink"/>
          </w:rPr>
          <w:t xml:space="preserve">[12]</w:t>
        </w:r>
      </w:hyperlink>
      <w:r>
        <w:t xml:space="preserve">. Agencies should therefore plan for certification delay, performance interruption, and supplier disruption as concentration risks, not only as technical risks.</w:t>
      </w:r>
    </w:p>
    <w:p>
      <w:pPr>
        <w:pStyle w:val="BodyText"/>
        <w:spacing w:line="480" w:lineRule="auto"/>
        <w:ind w:firstLine="720"/>
      </w:pPr>
      <w:r>
        <w:t xml:space="preserve">Sixth comes private capital. A public commitment can make a provider more attractive to investors because it supplies credible revenue and validation. But a concentrated final award can also discourage investment in firms outside the selected set. The same procurement action may crowd in capital for the recipient and crowd out capital for competitors. The future firm-month design proposed in the prospectus should therefore estimate both awarded-firm and segment-level effects. Without the segment effect, policy could mistake a redistribution of private capital for net crowd-in.</w:t>
      </w:r>
    </w:p>
    <w:p>
      <w:pPr>
        <w:pStyle w:val="BodyText"/>
        <w:spacing w:line="480" w:lineRule="auto"/>
        <w:ind w:firstLine="720"/>
      </w:pPr>
      <w:r>
        <w:t xml:space="preserve">How should fixed-price service procurement be read? Fixed-price commercial procurement is often defended as a way to shift risk from government to industry. That statement is incomplete. The public buyer still shapes the risk environment through award timing, milestone content, certification requirements, and demand credibility. A fixed-price contract does not remove the public role. It relocates it. It changes the channel through which the public role operates. The continuation and concentration findings show that this channel is measurable.</w:t>
      </w:r>
    </w:p>
    <w:p>
      <w:pPr>
        <w:pStyle w:val="BodyText"/>
        <w:spacing w:line="480" w:lineRule="auto"/>
        <w:ind w:firstLine="720"/>
      </w:pPr>
      <w:r>
        <w:t xml:space="preserve">For NASA program managers, the dissertation recommends three practical metrics. The first is continuation probability by award scale, estimated after each phase when enough observations exist. The second is phase commitment share by provider type, which reveals concentration and incumbent or entrant patterns. The third is operational conversion, measured as the time from final award to certification or service.</w:t>
      </w:r>
    </w:p>
    <w:p>
      <w:pPr>
        <w:pStyle w:val="BodyText"/>
        <w:spacing w:line="480" w:lineRule="auto"/>
        <w:ind w:firstLine="720"/>
      </w:pPr>
      <w:r>
        <w:t xml:space="preserve">These metrics together distinguish money awarded, providers selected, and services actually available.</w:t>
      </w:r>
    </w:p>
    <w:p>
      <w:pPr>
        <w:pStyle w:val="BodyText"/>
        <w:spacing w:line="480" w:lineRule="auto"/>
        <w:ind w:firstLine="720"/>
      </w:pPr>
      <w:r>
        <w:t xml:space="preserve">For policy officials, the dissertation recommends treating anchor tenancy as an industrial-policy instrument with explicit competition safeguards. The goal should not be maximum fragmentation. A safety-critical or infrastructure-like service may require sustained demand for a small number of capable providers. The goal should be credible competitive resilience. That means enough providers to avoid single-point dependency, enough demand per provider to sustain capability, and enough milestone evidence to justify down-selection.</w:t>
      </w:r>
    </w:p>
    <w:p>
      <w:pPr>
        <w:pStyle w:val="BodyText"/>
        <w:spacing w:line="480" w:lineRule="auto"/>
        <w:ind w:firstLine="720"/>
      </w:pPr>
      <w:r>
        <w:t xml:space="preserve">For investors, the results clarify why public awards matter. An award is a signal, but its meaning depends on phase and share. A small early award may indicate participation in an option portfolio. A large final award may indicate a stronger revenue basis but also more demanding execution obligations. An investor interpreting anchor-tenant commitments should therefore look beyond the headline dollar value to the phase context, remaining competitors, certification status, and actual service cadence.</w:t>
      </w:r>
    </w:p>
    <w:p>
      <w:pPr>
        <w:pStyle w:val="BodyText"/>
        <w:spacing w:line="480" w:lineRule="auto"/>
        <w:ind w:firstLine="720"/>
      </w:pPr>
      <w:r>
        <w:t xml:space="preserve">For suppliers, the findings imply that public-demand concentration can restructure the industrial base. Suppliers may organize around providers with larger commitments and higher continuation odds. That can help scale production, but it can also expose suppliers to provider-specific risk. If a delayed provider loses operational relevance, suppliers tied to that provider may face demand uncertainty. Anchor-tenant governance should therefore consider supplier-network resilience as part of market creation.</w:t>
      </w:r>
    </w:p>
    <w:p>
      <w:pPr>
        <w:pStyle w:val="BodyText"/>
        <w:spacing w:line="480" w:lineRule="auto"/>
        <w:ind w:firstLine="720"/>
      </w:pPr>
      <w:r>
        <w:t xml:space="preserve">For international partners, Commercial Crew shows both the strength and fragility of commercial service dependence. A certified provider can restore domestic crew transportation capability and create new options for human spaceflight</w:t>
      </w:r>
      <w:r>
        <w:t xml:space="preserve"> </w:t>
      </w:r>
      <w:hyperlink w:anchor="ref-11">
        <w:r>
          <w:rPr>
            <w:rStyle w:val="Hyperlink"/>
          </w:rPr>
          <w:t xml:space="preserve">[11]</w:t>
        </w:r>
      </w:hyperlink>
      <w:r>
        <w:t xml:space="preserve">. Yet reliance on a single operational provider during another provider’s delay can affect schedule planning and diplomatic commitments</w:t>
      </w:r>
      <w:r>
        <w:t xml:space="preserve"> </w:t>
      </w:r>
      <w:hyperlink w:anchor="ref-12">
        <w:r>
          <w:rPr>
            <w:rStyle w:val="Hyperlink"/>
          </w:rPr>
          <w:t xml:space="preserve">[12]</w:t>
        </w:r>
      </w:hyperlink>
      <w:r>
        <w:t xml:space="preserve">. International partners that depend on commercial services should therefore understand the distinction between awarded providers and operationally certified providers.</w:t>
      </w:r>
    </w:p>
    <w:p>
      <w:pPr>
        <w:pStyle w:val="BodyText"/>
        <w:spacing w:line="480" w:lineRule="auto"/>
        <w:ind w:firstLine="720"/>
      </w:pPr>
      <w:r>
        <w:t xml:space="preserve">Other NASA service markets face the same questions. Commercial Lunar Payload Services, future commercial space station services, communications services, Earth observation data buys, and in-space servicing all involve public demand in immature or partially mature markets. Each program should be evaluated as a staged portfolio. How many providers enter? How much does each receive? Which providers continue? How concentrated is the final demand? Which providers actually deliver service? The same questions can be asked even when the technical domain differs.</w:t>
      </w:r>
    </w:p>
    <w:p>
      <w:pPr>
        <w:pStyle w:val="BodyText"/>
        <w:spacing w:line="480" w:lineRule="auto"/>
        <w:ind w:firstLine="720"/>
      </w:pPr>
      <w:r>
        <w:t xml:space="preserve">Nor is the framework limited to NASA. The U.S. Space Force, NOAA, and other agencies use purchase commitments and service contracts in space. Their markets may have different security constraints, data-rights issues, or classification limits, but the mechanism remains similar. A public customer defines demand, selects providers, and shapes market structure. The Commercial Crew findings should therefore be treated as a warning against unmeasured anchor tenancy, not as a claim unique to human spaceflight.</w:t>
      </w:r>
    </w:p>
    <w:p>
      <w:pPr>
        <w:pStyle w:val="BodyText"/>
        <w:spacing w:line="480" w:lineRule="auto"/>
        <w:ind w:firstLine="720"/>
      </w:pPr>
      <w:r>
        <w:t xml:space="preserve">Limitations should shape the governance conclusions. The sample is small. The models are associational. The program is distinctive. No private-capital outcome is estimated. These limits mean that the policy implications should not be overstated. The evidence supports monitoring and design recommendations rather than a universal rule that larger awards are always better or that concentration is always harmful.</w:t>
      </w:r>
    </w:p>
    <w:p>
      <w:pPr>
        <w:pStyle w:val="BodyText"/>
        <w:spacing w:line="480" w:lineRule="auto"/>
        <w:ind w:firstLine="720"/>
      </w:pPr>
      <w:r>
        <w:t xml:space="preserve">Selection, the first limitation, is especially important for policy. If NASA gives larger awards to firms it already believes are stronger, then commitment scale partly reflects information. That is not a policy defect. It means the award is both a resource and a signal. The governance challenge is to make the information basis for down-selection as transparent and milestone-based as possible. A credible anchor tenant should be able to explain why the portfolio narrowed.</w:t>
      </w:r>
    </w:p>
    <w:p>
      <w:pPr>
        <w:pStyle w:val="BodyText"/>
        <w:spacing w:line="480" w:lineRule="auto"/>
        <w:ind w:firstLine="720"/>
      </w:pPr>
      <w:r>
        <w:t xml:space="preserve">Missing private capital, the second limitation, affects claims about crowd-in. A positive continuation channel does not guarantee that private investors supplied additional capital. A provider could continue because NASA funding substituted for private financing. Conversely, public selection could attract private financing to the winner while discouraging financing for competitors. The dissertation’s results therefore motivate, but do not complete, a capital-market analysis.</w:t>
      </w:r>
    </w:p>
    <w:p>
      <w:pPr>
        <w:pStyle w:val="BodyText"/>
        <w:spacing w:line="480" w:lineRule="auto"/>
        <w:ind w:firstLine="720"/>
      </w:pPr>
      <w:r>
        <w:t xml:space="preserve">Operational cutoff, the third limitation, affects temporal interpretation. Boeing’s terminal coding is tied to September 2024</w:t>
      </w:r>
      <w:r>
        <w:t xml:space="preserve"> </w:t>
      </w:r>
      <w:hyperlink w:anchor="ref-12">
        <w:r>
          <w:rPr>
            <w:rStyle w:val="Hyperlink"/>
          </w:rPr>
          <w:t xml:space="preserve">[12]</w:t>
        </w:r>
      </w:hyperlink>
      <w:r>
        <w:t xml:space="preserve">. If Boeing later completes certification, the operational market structure changes. This reinforces rather than weakens the governance lesson. Anchor-tenant outcomes are time-dependent. Programs should track not only final awards but also the duration of single-provider dependence, certification delay, and recovery of redundancy.</w:t>
      </w:r>
    </w:p>
    <w:p>
      <w:pPr>
        <w:pStyle w:val="BodyText"/>
        <w:spacing w:line="480" w:lineRule="auto"/>
        <w:ind w:firstLine="720"/>
      </w:pPr>
      <w:r>
        <w:t xml:space="preserve">Incumbency measurement is the fourth limitation. The dissertation uses a coarse binary indicator. Future work should refine provider typologies by prior government-contracting experience, vertical integration, capital structure, launch heritage, and certification experience. A richer provider-type measure might reveal patterns hidden by the simple incumbent control. The current result only shows that the phase concentration effect is not reducible to the simple incumbent indicator used here.</w:t>
      </w:r>
    </w:p>
    <w:p>
      <w:pPr>
        <w:pStyle w:val="BodyText"/>
        <w:spacing w:line="480" w:lineRule="auto"/>
        <w:ind w:firstLine="720"/>
      </w:pPr>
      <w:r>
        <w:t xml:space="preserve">Prices and service quality go unmeasured, a fifth limitation. Concentration could be acceptable if it produces reliable service at lower life-cycle cost. It could be problematic if it produces dependency, schedule fragility, or reduced bargaining power. Future work should link commitment share to price, cadence, service reliability, and mission delay. The present dissertation provides the demand-distribution side of that future analysis.</w:t>
      </w:r>
    </w:p>
    <w:p>
      <w:pPr>
        <w:pStyle w:val="BodyText"/>
        <w:spacing w:line="480" w:lineRule="auto"/>
        <w:ind w:firstLine="720"/>
      </w:pPr>
      <w:r>
        <w:t xml:space="preserve">Despite these limits, the results support a clear governance principle: an anchor tenant must manage both creation and concentration. Creation requires credible demand, milestone funding, and final commitments. Concentration requires competition safeguards, redundancy goals, and contingency planning. Treating only the creation side produces overly optimistic policy. Treating only the concentration side ignores the fact that frontier services may not emerge without public demand.</w:t>
      </w:r>
    </w:p>
    <w:p>
      <w:pPr>
        <w:pStyle w:val="BodyText"/>
        <w:spacing w:line="480" w:lineRule="auto"/>
        <w:ind w:firstLine="720"/>
      </w:pPr>
      <w:r>
        <w:t xml:space="preserve">This principle reframes the crowd-in versus crowd-out debate. The debate should not ask whether public demand is good or bad in general. It should ask where the public demand falls in the sequence, how it changes continuation odds, how it changes the distribution of demand, and how private capital responds in recipients and competitors. A mature empirical program would estimate all four pieces. This dissertation estimates the first two in a clean official record.</w:t>
      </w:r>
    </w:p>
    <w:p>
      <w:pPr>
        <w:pStyle w:val="BodyText"/>
        <w:spacing w:line="480" w:lineRule="auto"/>
        <w:ind w:firstLine="720"/>
      </w:pPr>
      <w:r>
        <w:t xml:space="preserve">Humility about market rhetoric follows too. Calling a procurement</w:t>
      </w:r>
      <w:r>
        <w:t xml:space="preserve"> </w:t>
      </w:r>
      <w:r>
        <w:t xml:space="preserve">“commercial”</w:t>
      </w:r>
      <w:r>
        <w:t xml:space="preserve"> </w:t>
      </w:r>
      <w:r>
        <w:t xml:space="preserve">does not mean the market is already self-sustaining. It means the government is choosing a different institutional form for buying capability. The public customer remains central, particularly when it is the anchor tenant. Commercial Crew’s success in certifying SpaceX did not eliminate public governance questions. It made them more concrete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One last implication is organizational. Agencies should preserve the data needed to evaluate anchor tenancy. Phase records, award amounts, participant lists, milestone outcomes, certification dates, and service-cadence data should be published in machine-readable form when security and proprietary constraints permit. Without such records, policy claims about crowd-in and competition cannot be tested. NASA’s Commercial Crew record is good enough to support this dissertation’s analysis. Future programs should make that level of transparency routine.</w:t>
      </w:r>
    </w:p>
    <w:p>
      <w:pPr>
        <w:pStyle w:val="BodyText"/>
        <w:spacing w:line="480" w:lineRule="auto"/>
        <w:ind w:firstLine="720"/>
      </w:pPr>
      <w:r>
        <w:t xml:space="preserve">In sum, the dissertation shows that anchor tenancy is a portfolio-governance problem. NASA’s Commercial Crew pathway used public commitments to move firms through development and toward service. The empirical findings show that commitment scale and phase maturity were associated with continuation and concentration. The governance task is to use that power deliberately: seed options, learn from milestones, concentrate only when justified, preserve operational redundancy, and measure the private-capital response rather than assuming it.</w:t>
      </w:r>
    </w:p>
    <w:bookmarkStart w:id="85" w:name="implications-for-portfolio-governance"/>
    <w:p>
      <w:pPr>
        <w:pStyle w:val="Heading2"/>
        <w:spacing w:line="480" w:lineRule="auto"/>
      </w:pPr>
      <w:r>
        <w:t xml:space="preserve">Implications for Portfolio Governance</w:t>
      </w:r>
    </w:p>
    <w:p>
      <w:pPr>
        <w:pStyle w:val="FirstParagraph"/>
        <w:spacing w:line="480" w:lineRule="auto"/>
      </w:pPr>
      <w:r>
        <w:t xml:space="preserve">Anchor-tenant programs, on this evidence, should be managed like investment portfolios with public missions, not like ordinary stand-alone procurements. In a portfolio, early diversity has value because it preserves options under uncertainty. Later concentration has value because it lets the buyer commit to the most promising options. The hard problem is timing. Concentrating too early can suppress alternatives. Concentrating too late can leave every provider under-resourced. Commercial Crew illustrates both the usefulness and difficulty of this timing problem.</w:t>
      </w:r>
    </w:p>
    <w:p>
      <w:pPr>
        <w:pStyle w:val="BodyText"/>
        <w:spacing w:line="480" w:lineRule="auto"/>
        <w:ind w:firstLine="720"/>
      </w:pPr>
      <w:r>
        <w:t xml:space="preserve">A portfolio-governance approach would make several practices routine. It would define what evidence each phase is meant to generate. It would state how that evidence affects the next phase’s allocation.</w:t>
      </w:r>
    </w:p>
    <w:p>
      <w:pPr>
        <w:pStyle w:val="BodyText"/>
        <w:spacing w:line="480" w:lineRule="auto"/>
        <w:ind w:firstLine="720"/>
      </w:pPr>
      <w:r>
        <w:t xml:space="preserve">It would track whether the program is preserving enough alternatives to maintain future competition. It would also track whether the remaining providers have enough demand to sustain the service. These practices would turn down-selection from an opaque administrative result into a managed economic process.</w:t>
      </w:r>
    </w:p>
    <w:p>
      <w:pPr>
        <w:pStyle w:val="BodyText"/>
        <w:spacing w:line="480" w:lineRule="auto"/>
        <w:ind w:firstLine="720"/>
      </w:pPr>
      <w:r>
        <w:t xml:space="preserve">Provider diversity and capability diversity also need to be distinguished. Several firms may appear in an early phase while relying on similar suppliers, similar architectures, or similar business assumptions. Conversely, two final providers may create more resilience than several early participants if their systems and supply chains are genuinely independent. The commitment-share measure used in this dissertation is only one indicator. Future governance should combine it with technical architecture, supplier concentration, launch cadence, and certification status.</w:t>
      </w:r>
    </w:p>
    <w:bookmarkEnd w:id="85"/>
    <w:bookmarkStart w:id="86" w:name="X714982205fd42786a8357b015291a917e074be4"/>
    <w:p>
      <w:pPr>
        <w:pStyle w:val="Heading2"/>
        <w:spacing w:line="480" w:lineRule="auto"/>
      </w:pPr>
      <w:r>
        <w:t xml:space="preserve">Implications for Transparency and Oversight</w:t>
      </w:r>
    </w:p>
    <w:p>
      <w:pPr>
        <w:pStyle w:val="FirstParagraph"/>
        <w:spacing w:line="480" w:lineRule="auto"/>
      </w:pPr>
      <w:r>
        <w:t xml:space="preserve">Oversight bodies should ask anchor-tenant programs to report both financial and structural indicators. Financial indicators include obligated amounts, milestone payments, and expected service costs. Structural indicators include number of providers by phase, commitment shares, operational certification status, and realized service cadence. The September 2024 Inspector General report is valuable because it connects program status to operational dependence</w:t>
      </w:r>
      <w:r>
        <w:t xml:space="preserve"> </w:t>
      </w:r>
      <w:hyperlink w:anchor="ref-12">
        <w:r>
          <w:rPr>
            <w:rStyle w:val="Hyperlink"/>
          </w:rPr>
          <w:t xml:space="preserve">[12]</w:t>
        </w:r>
      </w:hyperlink>
      <w:r>
        <w:t xml:space="preserve">. Similar oversight products should be expected for other commercial-service markets.</w:t>
      </w:r>
    </w:p>
    <w:p>
      <w:pPr>
        <w:pStyle w:val="BodyText"/>
        <w:spacing w:line="480" w:lineRule="auto"/>
        <w:ind w:firstLine="720"/>
      </w:pPr>
      <w:r>
        <w:t xml:space="preserve">Transparency also matters for industry. When agencies publish phase records and award values, firms and investors can better understand the opportunity structure. Clear milestones reduce speculation about why a provider advanced or did not advance. Public reporting cannot reveal every proprietary or safety-sensitive detail, but it can reveal enough to make the market-creation process accountable. The NASA Commercial Crew record is sufficiently transparent to support this dissertation. That should be treated as a standard to preserve.</w:t>
      </w:r>
    </w:p>
    <w:bookmarkEnd w:id="86"/>
    <w:bookmarkStart w:id="87" w:name="implications-for-comparative-research"/>
    <w:p>
      <w:pPr>
        <w:pStyle w:val="Heading2"/>
        <w:spacing w:line="480" w:lineRule="auto"/>
      </w:pPr>
      <w:r>
        <w:t xml:space="preserve">Implications for Comparative Research</w:t>
      </w:r>
    </w:p>
    <w:p>
      <w:pPr>
        <w:pStyle w:val="FirstParagraph"/>
        <w:spacing w:line="480" w:lineRule="auto"/>
      </w:pPr>
      <w:r>
        <w:t xml:space="preserve">What comes next is comparison. Commercial Crew should be compared with commercial cargo, lunar payload delivery, commercial station efforts, and data-service buys. Each case should be coded by phase, provider, award, continuation, commitment share, and operational conversion. Such a comparative dataset would reveal whether the continuation and concentration patterns in this dissertation are general features of space anchor tenancy or distinctive features of crew transportation.</w:t>
      </w:r>
    </w:p>
    <w:p>
      <w:pPr>
        <w:pStyle w:val="BodyText"/>
        <w:spacing w:line="480" w:lineRule="auto"/>
        <w:ind w:firstLine="720"/>
      </w:pPr>
      <w:r>
        <w:t xml:space="preserve">Comparison would also help identify design choices. Some programs may preserve more providers deeper into the sequence. Others may concentrate earlier. Some may achieve operational redundancy faster. Others may remain dependent on one provider longer. These differences can then be linked to mission risk, technical complexity, contract form, and private-market depth. The dissertation’s framework makes those comparisons possible because it defines a common unit of analysis.</w:t>
      </w:r>
    </w:p>
    <w:bookmarkEnd w:id="87"/>
    <w:bookmarkStart w:id="88" w:name="X6f1e86935ec6f6a363784a3144f0673095f1f57"/>
    <w:p>
      <w:pPr>
        <w:pStyle w:val="Heading2"/>
        <w:spacing w:line="480" w:lineRule="auto"/>
      </w:pPr>
      <w:r>
        <w:t xml:space="preserve">Governance Risks if the Mechanism Is Ignored</w:t>
      </w:r>
    </w:p>
    <w:p>
      <w:pPr>
        <w:pStyle w:val="FirstParagraph"/>
        <w:spacing w:line="480" w:lineRule="auto"/>
      </w:pPr>
      <w:r>
        <w:t xml:space="preserve">If agencies ignore the continuation mechanism, they may underfund providers and then interpret non-continuation as market failure. A provider that receives a small early award but no credible path to service may rationally redirect resources elsewhere. If agencies ignore the concentration mechanism, they may celebrate commercial market creation while drifting into single-provider dependence. Both errors are avoidable if continuation and concentration are tracked from the beginning.</w:t>
      </w:r>
    </w:p>
    <w:p>
      <w:pPr>
        <w:pStyle w:val="BodyText"/>
        <w:spacing w:line="480" w:lineRule="auto"/>
        <w:ind w:firstLine="720"/>
      </w:pPr>
      <w:r>
        <w:t xml:space="preserve">This risk is not hypothetical. Commercial Crew produced a certified operational provider, but by September 2024 the operational market was still concentrated in SpaceX</w:t>
      </w:r>
      <w:r>
        <w:t xml:space="preserve"> </w:t>
      </w:r>
      <w:hyperlink w:anchor="ref-12">
        <w:r>
          <w:rPr>
            <w:rStyle w:val="Hyperlink"/>
          </w:rPr>
          <w:t xml:space="preserve">[12]</w:t>
        </w:r>
      </w:hyperlink>
      <w:r>
        <w:t xml:space="preserve">. That concentration may be temporary, but temporary concentration can still affect mission schedules, bargaining power, and contingency planning. A program can be successful and still expose the agency to concentration risk. Good governance recognizes both facts at once.</w:t>
      </w:r>
    </w:p>
    <w:p>
      <w:pPr>
        <w:pStyle w:val="BodyText"/>
        <w:spacing w:line="480" w:lineRule="auto"/>
        <w:ind w:firstLine="720"/>
      </w:pPr>
      <w:r>
        <w:t xml:space="preserve">None of this argues for avoiding anchor tenancy. In frontier space services, refusing to act as an anchor customer may leave useful markets underdeveloped. The remedy is to govern anchor tenancy with explicit metrics. Programs should state how many providers they seek at each stage, what evidence is required for down-selection, how final demand will sustain redundancy, and what contingency plan applies if one provider lags certification. The dissertation’s measurements give those questions empirical content.</w:t>
      </w:r>
    </w:p>
    <w:bookmarkEnd w:id="88"/>
    <w:bookmarkEnd w:id="89"/>
    <w:bookmarkStart w:id="135" w:name="chapter-8.-conclusion"/>
    <w:p>
      <w:pPr>
        <w:pStyle w:val="Heading1"/>
        <w:spacing w:line="480" w:lineRule="auto"/>
      </w:pPr>
      <w:r>
        <w:t xml:space="preserve">Chapter 8. Conclusion</w:t>
      </w:r>
    </w:p>
    <w:p>
      <w:pPr>
        <w:pStyle w:val="FirstParagraph"/>
        <w:spacing w:line="480" w:lineRule="auto"/>
      </w:pPr>
      <w:r>
        <w:t xml:space="preserve">This dissertation began with a practical question in space industrial policy: do government purchase commitments create commercial markets, or do they merely concentrate public demand among selected firms? The answer developed here is deliberately bounded. In NASA’s Commercial Crew Program, larger commitments were associated with provider continuation, and later phases were associated with larger shares of public commitments for the providers that remained. These results support the procurement-side mechanisms of anchor-tenant theory. They do not, by themselves, prove a full private-capital crowd-in multiplier.</w:t>
      </w:r>
    </w:p>
    <w:p>
      <w:pPr>
        <w:pStyle w:val="BodyText"/>
        <w:spacing w:line="480" w:lineRule="auto"/>
        <w:ind w:firstLine="720"/>
      </w:pPr>
      <w:r>
        <w:t xml:space="preserve">That distinction matters. Anchor tenancy is often discussed as if the public customer can create a market by announcing demand. The dissertation shows that the process is more structured. A public customer defines a service, funds early options, learns from milestones, narrows the portfolio, makes larger commitments, and waits for providers to convert awards into operational capability. The market that emerges is shaped by that sequence. The order of operations is the point. Public demand is not merely additive. It selects, concentrates, and signals.</w:t>
      </w:r>
    </w:p>
    <w:p>
      <w:pPr>
        <w:pStyle w:val="BodyText"/>
        <w:spacing w:line="480" w:lineRule="auto"/>
        <w:ind w:firstLine="720"/>
      </w:pPr>
      <w:r>
        <w:t xml:space="preserve">First came the continuation channel. Using 20 official company-phase observations from Commercial Crew, it estimated a logit model in which the outcome was advancement to the next phase or terminal operational certification by September 2024. The coefficient on logged award value was positive and statistically significant. The estimate was 0.6604063723252801, with a standard error of 0.3101343154896397 and a p-value of 0.033219485035153457. The associated odds ratio was about 1.94. Larger NASA commitments were linked to higher continuation odds, conditional on prior participation.</w:t>
      </w:r>
    </w:p>
    <w:p>
      <w:pPr>
        <w:pStyle w:val="BodyText"/>
        <w:spacing w:line="480" w:lineRule="auto"/>
        <w:ind w:firstLine="720"/>
      </w:pPr>
      <w:r>
        <w:t xml:space="preserve">Next, the second paper measured the concentration channel. Using the same official record, it estimated an OLS model of company commitment share within each Commercial Crew phase. The coefficient on phase index was 7.575757575712121, with an HC1 standard error of 2.3483191573113302 and a p-value of 0.00125518420773603. Each movement through the procurement sequence was associated with an average increase of about 7.6 percentage points in a company’s share of phase commitments, conditional on legacy-incumbent status. The program became more concentrated as it matured.</w:t>
      </w:r>
    </w:p>
    <w:p>
      <w:pPr>
        <w:pStyle w:val="BodyText"/>
        <w:spacing w:line="480" w:lineRule="auto"/>
        <w:ind w:firstLine="720"/>
      </w:pPr>
      <w:r>
        <w:t xml:space="preserve">Unsupported controls are informative too. Prior participation in the logit model was negative and not statistically significant. Legacy-incumbent status in the OLS model was positive and not statistically significant. These results caution against simple narratives. Commercial Crew was not merely a story of accumulated participation, and it was not merely a story of legacy incumbents. The supported predictors were current commitment scale and phase maturity.</w:t>
      </w:r>
    </w:p>
    <w:p>
      <w:pPr>
        <w:pStyle w:val="BodyText"/>
        <w:spacing w:line="480" w:lineRule="auto"/>
        <w:ind w:firstLine="720"/>
      </w:pPr>
      <w:r>
        <w:t xml:space="preserve">Decomposing anchor tenancy into stages is the theoretical contribution. The continuation stage asks whether commitment scale is associated with survival in the public pathway. The concentration stage asks whether the pathway distributes demand more narrowly as it matures. The private-capital stage, left for future work, asks whether selected providers and their segments attract or lose private capital after public commitments. Separating these stages prevents overclaiming and gives policy makers a clearer diagnostic structure.</w:t>
      </w:r>
    </w:p>
    <w:p>
      <w:pPr>
        <w:pStyle w:val="BodyText"/>
        <w:spacing w:line="480" w:lineRule="auto"/>
        <w:ind w:firstLine="720"/>
      </w:pPr>
      <w:r>
        <w:t xml:space="preserve">On the empirical side, the contribution is the company-phase dataset. Every row is sourced to official NASA or NASA Office of Inspector General records</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No illustrative values are used. The dataset is small, but it is auditable. It allows the dissertation to test mechanisms directly tied to public decisions rather than relying only on sector aggregates or retrospective narratives. The final workbooks embedded with the dissertation preserve the data, transformations, and estimator outputs.</w:t>
      </w:r>
    </w:p>
    <w:p>
      <w:pPr>
        <w:pStyle w:val="BodyText"/>
        <w:spacing w:line="480" w:lineRule="auto"/>
        <w:ind w:firstLine="720"/>
      </w:pPr>
      <w:r>
        <w:t xml:space="preserve">For policy, the contribution is a governance warning. Anchor tenancy can help create markets, but it also creates market structure. The same commitments that support provider maturation can narrow the provider base. That narrowing may be efficient if it sustains certification and operations. It may be risky if it creates dependency. NASA’s experience by September 2024, when SpaceX was the only operational commercial crew provider while Boeing remained uncertified, shows why awarded redundancy and operational redundancy must be distinguished</w:t>
      </w:r>
      <w:r>
        <w:t xml:space="preserve"> </w:t>
      </w:r>
      <w:hyperlink w:anchor="ref-12">
        <w:r>
          <w:rPr>
            <w:rStyle w:val="Hyperlink"/>
          </w:rPr>
          <w:t xml:space="preserve">[12]</w:t>
        </w:r>
      </w:hyperlink>
      <w:r>
        <w:t xml:space="preserve">.</w:t>
      </w:r>
    </w:p>
    <w:p>
      <w:pPr>
        <w:pStyle w:val="BodyText"/>
        <w:spacing w:line="480" w:lineRule="auto"/>
        <w:ind w:firstLine="720"/>
      </w:pPr>
      <w:r>
        <w:t xml:space="preserve">Agencies using purchase commitments should therefore track three things. First, they should track continuation by award scale, because commitment is valuable only if it helps providers move toward service. Second, they should track commitment share by phase, because market creation can become market concentration.</w:t>
      </w:r>
    </w:p>
    <w:p>
      <w:pPr>
        <w:pStyle w:val="BodyText"/>
        <w:spacing w:line="480" w:lineRule="auto"/>
        <w:ind w:firstLine="720"/>
      </w:pPr>
      <w:r>
        <w:t xml:space="preserve">Third, they should track operational conversion, because an award is not the same as a certified and available service. These metrics would make future anchor-tenant programs more transparent and easier to evaluate.</w:t>
      </w:r>
    </w:p>
    <w:p>
      <w:pPr>
        <w:pStyle w:val="BodyText"/>
        <w:spacing w:line="480" w:lineRule="auto"/>
        <w:ind w:firstLine="720"/>
      </w:pPr>
      <w:r>
        <w:t xml:space="preserve">Future empirical work follows directly. The full anchor-tenant multiplier should be estimated with firm-month capital data, treatment by qualifying public service awards, and comparison firms in the same segment. It should measure recipient effects and competitor spillovers separately. A positive recipient effect with a negative segment effect would indicate redistribution rather than net crowd-in. A positive effect for both would support a stronger market-creation claim. The present dissertation supplies the procurement-side measurements that such a design requires.</w:t>
      </w:r>
    </w:p>
    <w:p>
      <w:pPr>
        <w:pStyle w:val="BodyText"/>
        <w:spacing w:line="480" w:lineRule="auto"/>
        <w:ind w:firstLine="720"/>
      </w:pPr>
      <w:r>
        <w:t xml:space="preserve">Several limitations remain. The Commercial Crew sample has only 20 observations. NASA selected providers nonrandomly. Award size reflects both commitment and information about provider quality. Phase index reflects the program’s own design. The final Boeing outcome is tied to a September 2024 cutoff and could change in later replications. The models do not include private capital, prices, service quality, supplier networks, or consumer demand. These limitations are not incidental. They are the frame, not the footnote. They define the boundary between mechanism evidence and causal capital-market evidence.</w:t>
      </w:r>
    </w:p>
    <w:p>
      <w:pPr>
        <w:pStyle w:val="BodyText"/>
        <w:spacing w:line="480" w:lineRule="auto"/>
        <w:ind w:firstLine="720"/>
      </w:pPr>
      <w:r>
        <w:t xml:space="preserve">Within those boundaries, the results are meaningful. The logit model supports the claim that public commitment scale was associated with continuation. The OLS model supports the claim that public demand became more concentrated as the program matured. The official record shows that Commercial Crew moved from a broad early portfolio to large final commitments and uneven operational certification. That is the anchor-tenant funnel in empirical form.</w:t>
      </w:r>
    </w:p>
    <w:p>
      <w:pPr>
        <w:pStyle w:val="BodyText"/>
        <w:spacing w:line="480" w:lineRule="auto"/>
        <w:ind w:firstLine="720"/>
      </w:pPr>
      <w:r>
        <w:t xml:space="preserve">A broader lesson follows: commercial space policy should not treat</w:t>
      </w:r>
      <w:r>
        <w:t xml:space="preserve"> </w:t>
      </w:r>
      <w:r>
        <w:t xml:space="preserve">“commercial”</w:t>
      </w:r>
      <w:r>
        <w:t xml:space="preserve"> </w:t>
      </w:r>
      <w:r>
        <w:t xml:space="preserve">as a synonym for</w:t>
      </w:r>
      <w:r>
        <w:t xml:space="preserve"> </w:t>
      </w:r>
      <w:r>
        <w:t xml:space="preserve">“private without public shaping.”</w:t>
      </w:r>
      <w:r>
        <w:t xml:space="preserve"> </w:t>
      </w:r>
      <w:r>
        <w:t xml:space="preserve">In frontier space markets, the government often remains the defining customer, certifier, and organizer of demand. The policy choice is not whether the state matters. It is how the state matters, whether its commitments are transparent, whether its down-selection is evidence-based, and whether the resulting market structure serves public objectives.</w:t>
      </w:r>
    </w:p>
    <w:p>
      <w:pPr>
        <w:pStyle w:val="BodyText"/>
        <w:spacing w:line="480" w:lineRule="auto"/>
        <w:ind w:firstLine="720"/>
      </w:pPr>
      <w:r>
        <w:t xml:space="preserve">This dissertation closes by returning to the central question. Do government purchase commitments crowd in or crowd out private investment in commercial space? The final answer requires capital data beyond the scope of the present analysis. The evidence here answers the prior question: how does the public commitment pathway behave before private capital is measured? In Commercial Crew, the pathway behaved as an anchor-tenant funnel. Larger commitments predicted continuation, and later phases concentrated demand. Future crowd-in claims must begin from those facts.</w:t>
      </w:r>
    </w:p>
    <w:bookmarkStart w:id="90" w:name="future-research-agenda"/>
    <w:p>
      <w:pPr>
        <w:pStyle w:val="Heading2"/>
        <w:spacing w:line="480" w:lineRule="auto"/>
      </w:pPr>
      <w:r>
        <w:t xml:space="preserve">Future Research Agenda</w:t>
      </w:r>
    </w:p>
    <w:p>
      <w:pPr>
        <w:pStyle w:val="FirstParagraph"/>
        <w:spacing w:line="480" w:lineRule="auto"/>
      </w:pPr>
      <w:r>
        <w:t xml:space="preserve">Joining the procurement dataset to private capital data is the next empirical step. A firm-month panel should identify award dates, award scale, commitment share, provider segment, and operational status. It should measure capital raised in windows before and after public commitments.</w:t>
      </w:r>
    </w:p>
    <w:p>
      <w:pPr>
        <w:pStyle w:val="BodyText"/>
        <w:spacing w:line="480" w:lineRule="auto"/>
        <w:ind w:firstLine="720"/>
      </w:pPr>
      <w:r>
        <w:t xml:space="preserve">It should include non-awarded firms in the same commercial-space segment so that recipient effects can be separated from segment trends. It should test for pre-award anticipation because firms and investors may respond to expected selection before a formal announcement.</w:t>
      </w:r>
    </w:p>
    <w:p>
      <w:pPr>
        <w:pStyle w:val="BodyText"/>
        <w:spacing w:line="480" w:lineRule="auto"/>
        <w:ind w:firstLine="720"/>
      </w:pPr>
      <w:r>
        <w:t xml:space="preserve">A second research stream should study operational conversion. Award announcements receive attention, but service availability is what public missions ultimately need. Future work should estimate time from final award to certification or first service, the duration of single-provider dependence, and the relation between award concentration and service resilience. NASA’s distinction between SpaceX certification and Boeing’s delayed certification shows why this matters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A third research stream should examine supplier networks. Anchor-tenant commitments may crowd in investment not only at the prime provider but also among suppliers, test facilities, software vendors, and workforce pipelines. These spillovers may be positive even if competitor capital declines. Measuring them would require procurement subaward data, employment records, patent records, and industry interviews. The company-phase dataset provides the event structure around which those spillovers could be analyzed.</w:t>
      </w:r>
    </w:p>
    <w:p>
      <w:pPr>
        <w:pStyle w:val="BodyText"/>
        <w:spacing w:line="480" w:lineRule="auto"/>
        <w:ind w:firstLine="720"/>
      </w:pPr>
      <w:r>
        <w:t xml:space="preserve">A fourth research stream should compare international anchor-tenant strategies. Different governments use different mixes of grants, prizes, cost-sharing, direct procurement, and service contracts. The New Space governance literature suggests that these institutional forms matter</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A comparative dataset could show whether some arrangements create broader provider bases, faster operational conversion, or stronger private capital responses.</w:t>
      </w:r>
    </w:p>
    <w:bookmarkEnd w:id="90"/>
    <w:bookmarkStart w:id="91" w:name="final-synthesis"/>
    <w:p>
      <w:pPr>
        <w:pStyle w:val="Heading2"/>
        <w:spacing w:line="480" w:lineRule="auto"/>
      </w:pPr>
      <w:r>
        <w:t xml:space="preserve">Final Synthesis</w:t>
      </w:r>
    </w:p>
    <w:p>
      <w:pPr>
        <w:pStyle w:val="FirstParagraph"/>
        <w:spacing w:line="480" w:lineRule="auto"/>
      </w:pPr>
      <w:r>
        <w:t xml:space="preserve">Cautious but useful: that is the shape of the answer. NASA’s Commercial Crew record supports the claim that public purchase commitments shaped provider continuation and demand concentration. It does not prove that private investment was crowded in. The distinction is not a weakness. It is the dissertation’s main act of clarification. A policy concept that tries to explain everything at once becomes impossible to test. Separation is the discipline. A policy concept separated into mechanisms can be measured, challenged, and improved.</w:t>
      </w:r>
    </w:p>
    <w:p>
      <w:pPr>
        <w:pStyle w:val="BodyText"/>
        <w:spacing w:line="480" w:lineRule="auto"/>
        <w:ind w:firstLine="720"/>
      </w:pPr>
      <w:r>
        <w:t xml:space="preserve">An anchor tenant is powerful because it is both customer and market designer. That power should be used with evidence. Commercial Crew shows that public demand can help move a commercial provider to certified service</w:t>
      </w:r>
      <w:r>
        <w:t xml:space="preserve"> </w:t>
      </w:r>
      <w:hyperlink w:anchor="ref-11">
        <w:r>
          <w:rPr>
            <w:rStyle w:val="Hyperlink"/>
          </w:rPr>
          <w:t xml:space="preserve">[11]</w:t>
        </w:r>
      </w:hyperlink>
      <w:r>
        <w:t xml:space="preserve">. It also shows that intended redundancy can remain incomplete for years</w:t>
      </w:r>
      <w:r>
        <w:t xml:space="preserve"> </w:t>
      </w:r>
      <w:hyperlink w:anchor="ref-12">
        <w:r>
          <w:rPr>
            <w:rStyle w:val="Hyperlink"/>
          </w:rPr>
          <w:t xml:space="preserve">[12]</w:t>
        </w:r>
      </w:hyperlink>
      <w:r>
        <w:t xml:space="preserve">. Future programs should learn from both sides of that record. They should commit strongly enough to create services, measure carefully enough to avoid hidden concentration risks, and preserve enough transparency for researchers and overseers to test whether public demand is creating a durable commercial market.</w:t>
      </w:r>
    </w:p>
    <w:bookmarkEnd w:id="91"/>
    <w:bookmarkStart w:id="92" w:name="closing-reflection-on-scope"/>
    <w:p>
      <w:pPr>
        <w:pStyle w:val="Heading2"/>
        <w:spacing w:line="480" w:lineRule="auto"/>
      </w:pPr>
      <w:r>
        <w:t xml:space="preserve">Closing Reflection on Scope</w:t>
      </w:r>
    </w:p>
    <w:p>
      <w:pPr>
        <w:pStyle w:val="FirstParagraph"/>
        <w:spacing w:line="480" w:lineRule="auto"/>
      </w:pPr>
      <w:r>
        <w:t xml:space="preserve">Restraint in scope is intentional. A stronger claim would have been easier to state but weaker to defend. It would have been tempting to say that Commercial Crew proves anchor tenancy crowds in private investment. The evidence assembled here does not prove that. It proves something prior and still important: the public commitment path has measurable structure. Larger commitments align with continuation, and maturing procurement aligns with concentration.</w:t>
      </w:r>
    </w:p>
    <w:p>
      <w:pPr>
        <w:pStyle w:val="BodyText"/>
        <w:spacing w:line="480" w:lineRule="auto"/>
        <w:ind w:firstLine="720"/>
      </w:pPr>
      <w:r>
        <w:t xml:space="preserve">That conclusion is useful because it gives future research a firmer starting point. Researchers can now ask whether private capital follows the continuation and concentration patterns measured here. Policy makers can ask whether their own programs are creating similar funnels. Oversight bodies can ask whether final operational redundancy matches the market structure promised by awards. The dissertation therefore closes not with a final answer to all anchor-tenant questions, but with a clearer map of the questions that must be answered next.</w:t>
      </w:r>
    </w:p>
    <w:p>
      <w:pPr>
        <w:pStyle w:val="BodyText"/>
        <w:spacing w:line="480" w:lineRule="auto"/>
        <w:ind w:firstLine="720"/>
      </w:pPr>
      <w:r>
        <w:t xml:space="preserve">Neither maximizing public spending nor minimizing it reflexively is the ultimate policy aim. The aim is to use public demand where it can create capabilities that serve public missions and support a durable commercial sector. That requires credible commitment, evidence-based down-selection, competition where it matters, and transparency about concentration risk. NASA’s Commercial Crew record shows the power of that approach and the need to govern it carefully</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One final lesson is procedural. Space-economy claims should be built from auditable links between policy instruments and market outcomes. Public agencies announce awards, firms continue or exit, certification converts commitments into service, and private capital responds in ways that may benefit recipients, competitors, or neither. Treating these links separately is slower than telling a simple success story, but it produces evidence that can guide future programs. That is the standard this dissertation applies to Commercial Crew and recommends for every anchor-tenant market that follows.</w:t>
      </w:r>
    </w:p>
    <w:p>
      <w:pPr>
        <w:pStyle w:val="BodyText"/>
        <w:spacing w:line="480" w:lineRule="auto"/>
        <w:ind w:firstLine="720"/>
      </w:pPr>
      <w:r>
        <w:t xml:space="preserve">This is the minimum evidence discipline required for credible space industrial policy.</w:t>
      </w:r>
    </w:p>
    <w:bookmarkEnd w:id="92"/>
    <w:bookmarkStart w:id="134" w:name="references"/>
    <w:p>
      <w:pPr>
        <w:pStyle w:val="Heading2"/>
        <w:spacing w:line="480" w:lineRule="auto"/>
      </w:pPr>
      <w:r>
        <w:t xml:space="preserve">References</w:t>
      </w:r>
    </w:p>
    <w:p>
      <w:pPr>
        <w:pStyle w:val="FirstParagraph"/>
        <w:spacing w:line="480" w:lineRule="auto"/>
      </w:pPr>
      <w:bookmarkStart w:id="93" w:name="ref-1"/>
      <w:bookmarkEnd w:id="93"/>
      <w:r>
        <w:t xml:space="preserve">1. V. Zancan, A. Paravano, G. Locatelli, and P. Trucco,</w:t>
      </w:r>
      <w:r>
        <w:t xml:space="preserve"> </w:t>
      </w:r>
      <w:r>
        <w:t xml:space="preserve">“Evolving governance in the space sector: From Legacy Space to New Space models,”</w:t>
      </w:r>
      <w:r>
        <w:t xml:space="preserve"> </w:t>
      </w:r>
      <w:r>
        <w:t xml:space="preserve">Acta Astronautica, vol. 225, 2024. doi:</w:t>
      </w:r>
      <w:r>
        <w:t xml:space="preserve"> </w:t>
      </w:r>
      <w:hyperlink r:id="rId94">
        <w:r>
          <w:rPr>
            <w:rStyle w:val="Hyperlink"/>
          </w:rPr>
          <w:t xml:space="preserve">10.1016/j.actaastro.2024.09.005</w:t>
        </w:r>
      </w:hyperlink>
    </w:p>
    <w:p>
      <w:pPr>
        <w:pStyle w:val="BodyText"/>
        <w:spacing w:line="480" w:lineRule="auto"/>
        <w:ind w:firstLine="720"/>
      </w:pPr>
      <w:bookmarkStart w:id="95" w:name="ref-2"/>
      <w:bookmarkEnd w:id="95"/>
      <w:r>
        <w:t xml:space="preserve">2. G. Denis, D. Alary, X. Pasco, N. Pisot, D. Texier, and S. Toulza,</w:t>
      </w:r>
      <w:r>
        <w:t xml:space="preserve"> </w:t>
      </w:r>
      <w:r>
        <w:t xml:space="preserve">“From new space to big space: How commercial space dream is becoming a reality,”</w:t>
      </w:r>
      <w:r>
        <w:t xml:space="preserve"> </w:t>
      </w:r>
      <w:r>
        <w:t xml:space="preserve">Acta Astronautica, vol. 166, 2019. doi:</w:t>
      </w:r>
      <w:r>
        <w:t xml:space="preserve"> </w:t>
      </w:r>
      <w:hyperlink r:id="rId96">
        <w:r>
          <w:rPr>
            <w:rStyle w:val="Hyperlink"/>
          </w:rPr>
          <w:t xml:space="preserve">10.1016/j.actaastro.2019.08.031</w:t>
        </w:r>
      </w:hyperlink>
    </w:p>
    <w:p>
      <w:pPr>
        <w:pStyle w:val="BodyText"/>
        <w:spacing w:line="480" w:lineRule="auto"/>
        <w:ind w:firstLine="720"/>
      </w:pPr>
      <w:bookmarkStart w:id="97" w:name="ref-3"/>
      <w:bookmarkEnd w:id="97"/>
      <w:r>
        <w:t xml:space="preserve">3. OCEA,</w:t>
      </w:r>
      <w:r>
        <w:t xml:space="preserve"> </w:t>
      </w:r>
      <w:r>
        <w:t xml:space="preserve">“Forecasting the Space Economy”</w:t>
      </w:r>
      <w:r>
        <w:t xml:space="preserve"> </w:t>
      </w:r>
      <w:r>
        <w:t xml:space="preserve">(SD08), Space Economy Papers corpus, D:/Claude_Code/Space_Economy_Papers.</w:t>
      </w:r>
    </w:p>
    <w:p>
      <w:pPr>
        <w:pStyle w:val="BodyText"/>
        <w:spacing w:line="480" w:lineRule="auto"/>
        <w:ind w:firstLine="720"/>
      </w:pPr>
      <w:bookmarkStart w:id="98" w:name="ref-4"/>
      <w:bookmarkEnd w:id="98"/>
      <w:r>
        <w:t xml:space="preserve">4. M. Weinzierl,</w:t>
      </w:r>
      <w:r>
        <w:t xml:space="preserve"> </w:t>
      </w:r>
      <w:r>
        <w:t xml:space="preserve">“Space, the Final Economic Frontier”</w:t>
      </w:r>
      <w:r>
        <w:t xml:space="preserve"> </w:t>
      </w:r>
      <w:r>
        <w:t xml:space="preserve">(SD18), Space Economy Papers corpus, 2018.</w:t>
      </w:r>
    </w:p>
    <w:p>
      <w:pPr>
        <w:pStyle w:val="BodyText"/>
        <w:spacing w:line="480" w:lineRule="auto"/>
        <w:ind w:firstLine="720"/>
      </w:pPr>
      <w:bookmarkStart w:id="99" w:name="ref-5"/>
      <w:bookmarkEnd w:id="99"/>
      <w:r>
        <w:t xml:space="preserve">5.</w:t>
      </w:r>
      <w:r>
        <w:t xml:space="preserve"> </w:t>
      </w:r>
      <w:r>
        <w:t xml:space="preserve">“Roadmap: Australia Economic-Technological Renaissance in Space”</w:t>
      </w:r>
      <w:r>
        <w:t xml:space="preserve"> </w:t>
      </w:r>
      <w:r>
        <w:t xml:space="preserve">(SD16), Space Economy Papers corpus.</w:t>
      </w:r>
    </w:p>
    <w:p>
      <w:pPr>
        <w:pStyle w:val="BodyText"/>
        <w:spacing w:line="480" w:lineRule="auto"/>
        <w:ind w:firstLine="720"/>
      </w:pPr>
      <w:bookmarkStart w:id="100" w:name="ref-6"/>
      <w:bookmarkEnd w:id="100"/>
      <w:r>
        <w:t xml:space="preserve">6. G. Denis, A. Claverie, X. Pasco, J.-P. Darnis, B. de Maupeou, M. Lafaye, and E. Morel,</w:t>
      </w:r>
      <w:r>
        <w:t xml:space="preserve"> </w:t>
      </w:r>
      <w:r>
        <w:t xml:space="preserve">“Towards disruptions in Earth observation? New Earth Observation systems and markets evolution: Possible scenarios and impacts,”</w:t>
      </w:r>
      <w:r>
        <w:t xml:space="preserve"> </w:t>
      </w:r>
      <w:r>
        <w:t xml:space="preserve">Acta Astronautica, vol. 137, 2017. doi:</w:t>
      </w:r>
      <w:r>
        <w:t xml:space="preserve"> </w:t>
      </w:r>
      <w:hyperlink r:id="rId101">
        <w:r>
          <w:rPr>
            <w:rStyle w:val="Hyperlink"/>
          </w:rPr>
          <w:t xml:space="preserve">10.1016/j.actaastro.2017.04.034</w:t>
        </w:r>
      </w:hyperlink>
    </w:p>
    <w:p>
      <w:pPr>
        <w:pStyle w:val="BodyText"/>
        <w:spacing w:line="480" w:lineRule="auto"/>
        <w:ind w:firstLine="720"/>
      </w:pPr>
      <w:bookmarkStart w:id="102" w:name="ref-7"/>
      <w:bookmarkEnd w:id="102"/>
      <w:r>
        <w:t xml:space="preserve">7.</w:t>
      </w:r>
      <w:r>
        <w:t xml:space="preserve"> </w:t>
      </w:r>
      <w:r>
        <w:t xml:space="preserve">“The Role of Space in Driving Sustainability, Security, and Development”</w:t>
      </w:r>
      <w:r>
        <w:t xml:space="preserve"> </w:t>
      </w:r>
      <w:r>
        <w:t xml:space="preserve">(SD13), Space Economy Papers corpus.</w:t>
      </w:r>
    </w:p>
    <w:p>
      <w:pPr>
        <w:pStyle w:val="BodyText"/>
        <w:spacing w:line="480" w:lineRule="auto"/>
        <w:ind w:firstLine="720"/>
      </w:pPr>
      <w:bookmarkStart w:id="103" w:name="ref-8"/>
      <w:bookmarkEnd w:id="103"/>
      <w:r>
        <w:t xml:space="preserve">8. M. Weinzierl,</w:t>
      </w:r>
      <w:r>
        <w:t xml:space="preserve"> </w:t>
      </w:r>
      <w:r>
        <w:t xml:space="preserve">“Space, the Final Economic Frontier,”</w:t>
      </w:r>
      <w:r>
        <w:t xml:space="preserve"> </w:t>
      </w:r>
      <w:r>
        <w:t xml:space="preserve">Journal of Economic Perspectives, vol. 32, no. 2, 2018. doi:</w:t>
      </w:r>
      <w:r>
        <w:t xml:space="preserve"> </w:t>
      </w:r>
      <w:hyperlink r:id="rId104">
        <w:r>
          <w:rPr>
            <w:rStyle w:val="Hyperlink"/>
          </w:rPr>
          <w:t xml:space="preserve">10.1257/jep.32.2.173</w:t>
        </w:r>
      </w:hyperlink>
    </w:p>
    <w:p>
      <w:pPr>
        <w:pStyle w:val="BodyText"/>
        <w:spacing w:line="480" w:lineRule="auto"/>
        <w:ind w:firstLine="720"/>
      </w:pPr>
      <w:bookmarkStart w:id="105" w:name="ref-9"/>
      <w:bookmarkEnd w:id="105"/>
      <w:r>
        <w:t xml:space="preserve">9. NASA,</w:t>
      </w:r>
      <w:r>
        <w:t xml:space="preserve"> </w:t>
      </w:r>
      <w:r>
        <w:t xml:space="preserve">“Commercial Crew Program Essentials,”</w:t>
      </w:r>
      <w:r>
        <w:t xml:space="preserve"> </w:t>
      </w:r>
      <w:r>
        <w:t xml:space="preserve">official program history and phase-award record, updated March 14, 2025.</w:t>
      </w:r>
    </w:p>
    <w:p>
      <w:pPr>
        <w:pStyle w:val="BodyText"/>
        <w:spacing w:line="480" w:lineRule="auto"/>
        <w:ind w:firstLine="720"/>
      </w:pPr>
      <w:bookmarkStart w:id="106" w:name="ref-10"/>
      <w:bookmarkEnd w:id="106"/>
      <w:r>
        <w:t xml:space="preserve">10. NASA Office of Inspector General, Report IG-13-016, June 13, 2013.</w:t>
      </w:r>
    </w:p>
    <w:p>
      <w:pPr>
        <w:pStyle w:val="BodyText"/>
        <w:spacing w:line="480" w:lineRule="auto"/>
        <w:ind w:firstLine="720"/>
      </w:pPr>
      <w:bookmarkStart w:id="107" w:name="ref-11"/>
      <w:bookmarkEnd w:id="107"/>
      <w:r>
        <w:t xml:space="preserve">11. NASA,</w:t>
      </w:r>
      <w:r>
        <w:t xml:space="preserve"> </w:t>
      </w:r>
      <w:r>
        <w:t xml:space="preserve">“NASA and SpaceX Complete Certification of First Human-Rated Commercial Space System,”</w:t>
      </w:r>
      <w:r>
        <w:t xml:space="preserve"> </w:t>
      </w:r>
      <w:r>
        <w:t xml:space="preserve">November 10, 2020.</w:t>
      </w:r>
    </w:p>
    <w:p>
      <w:pPr>
        <w:pStyle w:val="BodyText"/>
        <w:spacing w:line="480" w:lineRule="auto"/>
        <w:ind w:firstLine="720"/>
      </w:pPr>
      <w:bookmarkStart w:id="108" w:name="ref-12"/>
      <w:bookmarkEnd w:id="108"/>
      <w:r>
        <w:t xml:space="preserve">12. NASA Office of Inspector General, Report IG-24-020, September 26, 2024.</w:t>
      </w:r>
    </w:p>
    <w:p>
      <w:pPr>
        <w:pStyle w:val="BodyText"/>
        <w:spacing w:line="480" w:lineRule="auto"/>
        <w:ind w:firstLine="720"/>
      </w:pPr>
      <w:bookmarkStart w:id="109" w:name="ref-13"/>
      <w:bookmarkEnd w:id="109"/>
      <w:r>
        <w:t xml:space="preserve">13. Mark Graham, Defence Science and Technology Group, Department of Defence. Operations Analysis of Australian-Based Systems for Surveillance of Space (2015).</w:t>
      </w:r>
    </w:p>
    <w:p>
      <w:pPr>
        <w:pStyle w:val="BodyText"/>
        <w:spacing w:line="480" w:lineRule="auto"/>
        <w:ind w:firstLine="720"/>
      </w:pPr>
      <w:bookmarkStart w:id="110" w:name="ref-14"/>
      <w:bookmarkEnd w:id="110"/>
      <w:r>
        <w:t xml:space="preserve">14. Garry Newsam (Defence Science and Technology Organisation). Surveillance of Space in Australia (2008).</w:t>
      </w:r>
    </w:p>
    <w:p>
      <w:pPr>
        <w:pStyle w:val="BodyText"/>
        <w:spacing w:line="480" w:lineRule="auto"/>
        <w:ind w:firstLine="720"/>
      </w:pPr>
      <w:bookmarkStart w:id="111" w:name="ref-15"/>
      <w:bookmarkEnd w:id="111"/>
      <w:r>
        <w:t xml:space="preserve">15. Ofer Dagan, University of Colorado Boulder; Tyler Becker, University of Colorado Boulder; Zachary Sunberg, University of Colorado Boulder. Hypothesis-Driven Sensor Tasking for Space Domain Awareness (2025). doi:</w:t>
      </w:r>
      <w:r>
        <w:t xml:space="preserve"> </w:t>
      </w:r>
      <w:hyperlink r:id="rId112">
        <w:r>
          <w:rPr>
            <w:rStyle w:val="Hyperlink"/>
          </w:rPr>
          <w:t xml:space="preserve">10.64861/JHKF6115</w:t>
        </w:r>
      </w:hyperlink>
    </w:p>
    <w:p>
      <w:pPr>
        <w:pStyle w:val="BodyText"/>
        <w:spacing w:line="480" w:lineRule="auto"/>
        <w:ind w:firstLine="720"/>
      </w:pPr>
      <w:bookmarkStart w:id="113" w:name="ref-16"/>
      <w:bookmarkEnd w:id="113"/>
      <w:r>
        <w:t xml:space="preserve">16. Richard Stottler, Stottler Henke Associates, Inc.. Automatic, Intelligent Commercial SSA Sensor Scheduling (2019).</w:t>
      </w:r>
    </w:p>
    <w:p>
      <w:pPr>
        <w:pStyle w:val="BodyText"/>
        <w:spacing w:line="480" w:lineRule="auto"/>
        <w:ind w:firstLine="720"/>
      </w:pPr>
      <w:bookmarkStart w:id="114" w:name="ref-17"/>
      <w:bookmarkEnd w:id="114"/>
      <w:r>
        <w:t xml:space="preserve">17. Todd Harrison, Center for Strategic and International Studies. International Perspectives on Space Weapons (2020).</w:t>
      </w:r>
    </w:p>
    <w:p>
      <w:pPr>
        <w:pStyle w:val="BodyText"/>
        <w:spacing w:line="480" w:lineRule="auto"/>
        <w:ind w:firstLine="720"/>
      </w:pPr>
      <w:bookmarkStart w:id="115" w:name="ref-18"/>
      <w:bookmarkEnd w:id="115"/>
      <w:r>
        <w:t xml:space="preserve">18. Geoffrey Carrigan, Bluestaq LLC; Seth Harvey, Bluestaq LLC. The Right Data to the Right Place at the Right Time: A Marketplace Approach (2023). doi:</w:t>
      </w:r>
      <w:r>
        <w:t xml:space="preserve"> </w:t>
      </w:r>
      <w:hyperlink r:id="rId116">
        <w:r>
          <w:rPr>
            <w:rStyle w:val="Hyperlink"/>
          </w:rPr>
          <w:t xml:space="preserve">10.64861/NRCS3123</w:t>
        </w:r>
      </w:hyperlink>
    </w:p>
    <w:p>
      <w:pPr>
        <w:pStyle w:val="BodyText"/>
        <w:spacing w:line="480" w:lineRule="auto"/>
        <w:ind w:firstLine="720"/>
      </w:pPr>
      <w:bookmarkStart w:id="117" w:name="ref-19"/>
      <w:bookmarkEnd w:id="117"/>
      <w:r>
        <w:t xml:space="preserve">19. Matthew Bold, Lockheed Martin Space Systems. Laser Remote Maneuver of Space Debris at the Space Environment Research Center (2016).</w:t>
      </w:r>
    </w:p>
    <w:p>
      <w:pPr>
        <w:pStyle w:val="BodyText"/>
        <w:spacing w:line="480" w:lineRule="auto"/>
        <w:ind w:firstLine="720"/>
      </w:pPr>
      <w:bookmarkStart w:id="118" w:name="ref-20"/>
      <w:bookmarkEnd w:id="118"/>
      <w:r>
        <w:t xml:space="preserve">20. Mark Skinner, The Aerospace Corporation. Conceptual Development of a Civil Space Traffic Management System (CSTM) Capability (2018).</w:t>
      </w:r>
    </w:p>
    <w:p>
      <w:pPr>
        <w:pStyle w:val="BodyText"/>
        <w:spacing w:line="480" w:lineRule="auto"/>
        <w:ind w:firstLine="720"/>
      </w:pPr>
      <w:bookmarkStart w:id="119" w:name="ref-21"/>
      <w:bookmarkEnd w:id="119"/>
      <w:r>
        <w:t xml:space="preserve">21. Nihal Simha; Simone Servadio; Miles Lifson; Giovanni Lavezzi; Richard Linares. Optimal Active Debris Removal mission planning to inform policy decisions (2024). doi:</w:t>
      </w:r>
      <w:r>
        <w:t xml:space="preserve"> </w:t>
      </w:r>
      <w:hyperlink r:id="rId120">
        <w:r>
          <w:rPr>
            <w:rStyle w:val="Hyperlink"/>
          </w:rPr>
          <w:t xml:space="preserve">10.1016/j.actaastro.2024.11.050</w:t>
        </w:r>
      </w:hyperlink>
    </w:p>
    <w:p>
      <w:pPr>
        <w:pStyle w:val="BodyText"/>
        <w:spacing w:line="480" w:lineRule="auto"/>
        <w:ind w:firstLine="720"/>
      </w:pPr>
      <w:bookmarkStart w:id="121" w:name="ref-22"/>
      <w:bookmarkEnd w:id="121"/>
      <w:r>
        <w:t xml:space="preserve">22. Ben McKeown; Andrew G. Dempster; Serkan Saydam; Jeff Coulton. How should potential space resources markets be evaluated? (2026). doi:</w:t>
      </w:r>
      <w:r>
        <w:t xml:space="preserve"> </w:t>
      </w:r>
      <w:hyperlink r:id="rId122">
        <w:r>
          <w:rPr>
            <w:rStyle w:val="Hyperlink"/>
          </w:rPr>
          <w:t xml:space="preserve">10.1016/j.actaastro.2026.03.026</w:t>
        </w:r>
      </w:hyperlink>
    </w:p>
    <w:p>
      <w:pPr>
        <w:pStyle w:val="BodyText"/>
        <w:spacing w:line="480" w:lineRule="auto"/>
        <w:ind w:firstLine="720"/>
      </w:pPr>
      <w:bookmarkStart w:id="123" w:name="ref-23"/>
      <w:bookmarkEnd w:id="123"/>
      <w:r>
        <w:t xml:space="preserve">23. T.P. Graham; Kathiravan Thangavel; Anne-Sophie Martin. Navigating AI-lien Terrain: Legal liability for artificial intelligence in outer space (2024). doi:</w:t>
      </w:r>
      <w:r>
        <w:t xml:space="preserve"> </w:t>
      </w:r>
      <w:hyperlink r:id="rId124">
        <w:r>
          <w:rPr>
            <w:rStyle w:val="Hyperlink"/>
          </w:rPr>
          <w:t xml:space="preserve">10.1016/j.actaastro.2024.01.039</w:t>
        </w:r>
      </w:hyperlink>
    </w:p>
    <w:p>
      <w:pPr>
        <w:pStyle w:val="BodyText"/>
        <w:spacing w:line="480" w:lineRule="auto"/>
        <w:ind w:firstLine="720"/>
      </w:pPr>
      <w:bookmarkStart w:id="125" w:name="ref-24"/>
      <w:bookmarkEnd w:id="125"/>
      <w:r>
        <w:t xml:space="preserve">24. Gil Denis; A. Claverie; Xavier Pasco; Jean‐Pierre Darnis; Benoît de Maupeou; Murielle Lafaye; Eric Morel. Towards disruptions in Earth observation? New Earth Observation systems and markets evolution: Possible scenarios and impacts (2017). doi:</w:t>
      </w:r>
      <w:r>
        <w:t xml:space="preserve"> </w:t>
      </w:r>
      <w:hyperlink r:id="rId101">
        <w:r>
          <w:rPr>
            <w:rStyle w:val="Hyperlink"/>
          </w:rPr>
          <w:t xml:space="preserve">10.1016/j.actaastro.2017.04.034</w:t>
        </w:r>
      </w:hyperlink>
    </w:p>
    <w:p>
      <w:pPr>
        <w:pStyle w:val="BodyText"/>
        <w:spacing w:line="480" w:lineRule="auto"/>
        <w:ind w:firstLine="720"/>
      </w:pPr>
      <w:bookmarkStart w:id="126" w:name="ref-25"/>
      <w:bookmarkEnd w:id="126"/>
      <w:r>
        <w:t xml:space="preserve">25. Anna Marie Brennan. Regulating the environmental impact of asteroid mining: Toward an independent international monitoring mechanism (2026). doi:</w:t>
      </w:r>
      <w:r>
        <w:t xml:space="preserve"> </w:t>
      </w:r>
      <w:hyperlink r:id="rId127">
        <w:r>
          <w:rPr>
            <w:rStyle w:val="Hyperlink"/>
          </w:rPr>
          <w:t xml:space="preserve">10.1016/j.actaastro.2026.02.013</w:t>
        </w:r>
      </w:hyperlink>
    </w:p>
    <w:p>
      <w:pPr>
        <w:pStyle w:val="BodyText"/>
        <w:spacing w:line="480" w:lineRule="auto"/>
        <w:ind w:firstLine="720"/>
      </w:pPr>
      <w:bookmarkStart w:id="128" w:name="ref-26"/>
      <w:bookmarkEnd w:id="128"/>
      <w:r>
        <w:t xml:space="preserve">26. n.a.. Beneficiaries of the NewSpace age Governance by acknowledg 2025 Acta Astron (2024). doi:</w:t>
      </w:r>
      <w:r>
        <w:t xml:space="preserve"> </w:t>
      </w:r>
      <w:hyperlink r:id="rId129">
        <w:r>
          <w:rPr>
            <w:rStyle w:val="Hyperlink"/>
          </w:rPr>
          <w:t xml:space="preserve">10.1016/j.actaastro.2024.12.060</w:t>
        </w:r>
      </w:hyperlink>
    </w:p>
    <w:p>
      <w:pPr>
        <w:pStyle w:val="BodyText"/>
        <w:spacing w:line="480" w:lineRule="auto"/>
        <w:ind w:firstLine="720"/>
      </w:pPr>
      <w:bookmarkStart w:id="130" w:name="ref-27"/>
      <w:bookmarkEnd w:id="130"/>
      <w:r>
        <w:t xml:space="preserve">27. Marc-André Chavy-Macdonald; Kazuya Oizumi; Jean‐Paul Kneib; Kazuhiro Aoyama. The cis-lunar ecosystem : A systems model and scenarios of the resource industry and its impact (2021). doi:</w:t>
      </w:r>
      <w:r>
        <w:t xml:space="preserve"> </w:t>
      </w:r>
      <w:hyperlink r:id="rId131">
        <w:r>
          <w:rPr>
            <w:rStyle w:val="Hyperlink"/>
          </w:rPr>
          <w:t xml:space="preserve">10.1016/j.actaastro.2021.06.017</w:t>
        </w:r>
      </w:hyperlink>
    </w:p>
    <w:p>
      <w:pPr>
        <w:pStyle w:val="BodyText"/>
        <w:spacing w:line="480" w:lineRule="auto"/>
        <w:ind w:firstLine="720"/>
      </w:pPr>
      <w:bookmarkStart w:id="132" w:name="ref-28"/>
      <w:bookmarkEnd w:id="132"/>
      <w:r>
        <w:t xml:space="preserve">28. Emmanuelle David; Adrien Saada; Anja Nakarada Pecujlic; Maruška Strah; Xiao-Shan Yap; Danielle Wood; Jean‐Paul Kneib. Fostering multi-stakeholder collaboration for space sustainability through an incentive-based mechanism (2025). doi:</w:t>
      </w:r>
      <w:r>
        <w:t xml:space="preserve"> </w:t>
      </w:r>
      <w:hyperlink r:id="rId133">
        <w:r>
          <w:rPr>
            <w:rStyle w:val="Hyperlink"/>
          </w:rPr>
          <w:t xml:space="preserve">10.1016/j.actaastro.2025.06.029</w:t>
        </w:r>
      </w:hyperlink>
    </w:p>
    <w:bookmarkEnd w:id="134"/>
    <w:bookmarkEnd w:id="135"/>
    <w:bookmarkStart w:id="15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43" w:name="X3e9de58299971bca923eb519143b4b30b6059e3"/>
    <w:p>
      <w:pPr>
        <w:pStyle w:val="Heading2"/>
        <w:spacing w:line="480" w:lineRule="auto"/>
      </w:pPr>
      <w:r>
        <w:t xml:space="preserve">A.1 From Seed Award to Operational Service: A Logit Test of Continuation in NASA’s Commercial Crew Portfolio</w:t>
      </w:r>
    </w:p>
    <w:p>
      <w:pPr>
        <w:pStyle w:val="FirstParagraph"/>
        <w:spacing w:line="480" w:lineRule="auto"/>
      </w:pPr>
      <m:oMathPara>
        <m:oMathParaPr>
          <m:jc m:val="center"/>
        </m:oMathParaPr>
        <m:oMath>
          <m:r>
            <m:rPr>
              <m:sty m:val="p"/>
            </m:rPr>
            <m:t>logit</m:t>
          </m:r>
          <m:r>
            <m:rPr>
              <m:sty m:val="p"/>
            </m:rPr>
            <m:t>{</m:t>
          </m:r>
          <m:r>
            <m:t>P</m:t>
          </m:r>
          <m:r>
            <m:rPr>
              <m:sty m:val="p"/>
            </m:rPr>
            <m:t>(</m:t>
          </m:r>
          <m:sSub>
            <m:e>
              <m:r>
                <m:t>A</m:t>
              </m:r>
            </m:e>
            <m:sub>
              <m:r>
                <m:t>i</m:t>
              </m:r>
            </m:sub>
          </m:sSub>
          <m:r>
            <m:rPr>
              <m:sty m:val="p"/>
            </m:rPr>
            <m:t>=</m:t>
          </m:r>
          <m:r>
            <m:t>1</m:t>
          </m:r>
          <m:r>
            <m:rPr>
              <m:sty m:val="p"/>
            </m:rPr>
            <m:t>)</m:t>
          </m:r>
          <m:r>
            <m:rPr>
              <m:sty m:val="p"/>
            </m:rPr>
            <m:t>}</m:t>
          </m:r>
          <m:r>
            <m:rPr>
              <m:sty m:val="p"/>
            </m:rPr>
            <m:t>=</m:t>
          </m:r>
          <m:r>
            <m:t>α</m:t>
          </m:r>
          <m:r>
            <m:rPr>
              <m:sty m:val="p"/>
            </m:rPr>
            <m:t>+</m:t>
          </m:r>
          <m:sSub>
            <m:e>
              <m:r>
                <m:t>β</m:t>
              </m:r>
            </m:e>
            <m:sub>
              <m:r>
                <m:t>1</m:t>
              </m:r>
            </m:sub>
          </m:sSub>
          <m:r>
            <m:rPr>
              <m:sty m:val="p"/>
            </m:rPr>
            <m:t>ln</m:t>
          </m:r>
          <m:r>
            <m:rPr>
              <m:sty m:val="p"/>
            </m:rPr>
            <m:t>(</m:t>
          </m:r>
          <m:r>
            <m:t>1</m:t>
          </m:r>
          <m:r>
            <m:rPr>
              <m:sty m:val="p"/>
            </m:rPr>
            <m:t>+</m:t>
          </m:r>
          <m:sSub>
            <m:e>
              <m:r>
                <m:t>G</m:t>
              </m:r>
            </m:e>
            <m:sub>
              <m:r>
                <m:t>i</m:t>
              </m:r>
            </m:sub>
          </m:sSub>
          <m:r>
            <m:rPr>
              <m:sty m:val="p"/>
            </m:rPr>
            <m:t>)</m:t>
          </m:r>
          <m:r>
            <m:rPr>
              <m:sty m:val="p"/>
            </m:rPr>
            <m:t>+</m:t>
          </m:r>
          <m:sSub>
            <m:e>
              <m:r>
                <m:t>β</m:t>
              </m:r>
            </m:e>
            <m:sub>
              <m:r>
                <m:t>2</m:t>
              </m:r>
            </m:sub>
          </m:sSub>
          <m:sSub>
            <m:e>
              <m:r>
                <m:t>H</m:t>
              </m:r>
            </m:e>
            <m:sub>
              <m:r>
                <m:t>i</m:t>
              </m:r>
            </m:sub>
          </m:sSub>
        </m:oMath>
      </m:oMathPara>
    </w:p>
    <w:bookmarkStart w:id="13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-0.4503</w:t>
            </w:r>
          </w:p>
        </w:tc>
        <w:tc>
          <w:tcPr>
            <w:tcW w:w="0" w:type="auto"/>
          </w:tcPr>
          <w:p>
            <w:pPr>
              <w:spacing w:line="240" w:lineRule="auto" w:before="0" w:after="0"/>
              <w:pStyle w:val="Compact"/>
            </w:pPr>
            <w:r>
              <w:rPr>
                <w:sz w:val="20"/>
                <w:szCs w:val="20"/>
              </w:rPr>
              <w:t xml:space="preserve">0.8766</w:t>
            </w:r>
          </w:p>
        </w:tc>
        <w:tc>
          <w:tcPr>
            <w:tcW w:w="0" w:type="auto"/>
          </w:tcPr>
          <w:p>
            <w:pPr>
              <w:spacing w:line="240" w:lineRule="auto" w:before="0" w:after="0"/>
              <w:pStyle w:val="Compact"/>
            </w:pPr>
            <w:r>
              <w:rPr>
                <w:sz w:val="20"/>
                <w:szCs w:val="20"/>
              </w:rPr>
              <w:t xml:space="preserve">-0.5137</w:t>
            </w:r>
          </w:p>
        </w:tc>
        <w:tc>
          <w:tcPr>
            <w:tcW w:w="0" w:type="auto"/>
          </w:tcPr>
          <w:p>
            <w:pPr>
              <w:spacing w:line="240" w:lineRule="auto" w:before="0" w:after="0"/>
              <w:pStyle w:val="Compact"/>
            </w:pPr>
            <w:r>
              <w:rPr>
                <w:sz w:val="20"/>
                <w:szCs w:val="20"/>
              </w:rPr>
              <w:t xml:space="preserve">0.6075</w:t>
            </w:r>
          </w:p>
        </w:tc>
        <w:tc>
          <w:tcPr>
            <w:tcW w:w="0" w:type="auto"/>
          </w:tcPr>
          <w:p>
            <w:pPr>
              <w:spacing w:line="240" w:lineRule="auto" w:before="0" w:after="0"/>
              <w:pStyle w:val="Compact"/>
            </w:pPr>
            <w:r>
              <w:rPr>
                <w:sz w:val="20"/>
                <w:szCs w:val="20"/>
              </w:rPr>
              <w:t xml:space="preserve">[-2.1685, 1.2679]</w:t>
            </w:r>
          </w:p>
        </w:tc>
      </w:tr>
      <w:tr>
        <w:tc>
          <w:tcPr>
            <w:tcW w:w="0" w:type="auto"/>
          </w:tcPr>
          <w:p>
            <w:pPr>
              <w:spacing w:line="240" w:lineRule="auto" w:before="0" w:after="0"/>
              <w:pStyle w:val="Compact"/>
            </w:pPr>
            <w:r>
              <w:rPr>
                <w:sz w:val="20"/>
                <w:szCs w:val="20"/>
              </w:rPr>
              <w:t xml:space="preserve">log1p_award_musd</w:t>
            </w:r>
          </w:p>
        </w:tc>
        <w:tc>
          <w:tcPr>
            <w:tcW w:w="0" w:type="auto"/>
          </w:tcPr>
          <w:p>
            <w:pPr>
              <w:spacing w:line="240" w:lineRule="auto" w:before="0" w:after="0"/>
              <w:pStyle w:val="Compact"/>
            </w:pPr>
            <w:r>
              <w:rPr>
                <w:sz w:val="20"/>
                <w:szCs w:val="20"/>
              </w:rPr>
              <w:t xml:space="preserve">0.6604</w:t>
            </w:r>
          </w:p>
        </w:tc>
        <w:tc>
          <w:tcPr>
            <w:tcW w:w="0" w:type="auto"/>
          </w:tcPr>
          <w:p>
            <w:pPr>
              <w:spacing w:line="240" w:lineRule="auto" w:before="0" w:after="0"/>
              <w:pStyle w:val="Compact"/>
            </w:pPr>
            <w:r>
              <w:rPr>
                <w:sz w:val="20"/>
                <w:szCs w:val="20"/>
              </w:rPr>
              <w:t xml:space="preserve">0.3101</w:t>
            </w:r>
          </w:p>
        </w:tc>
        <w:tc>
          <w:tcPr>
            <w:tcW w:w="0" w:type="auto"/>
          </w:tcPr>
          <w:p>
            <w:pPr>
              <w:spacing w:line="240" w:lineRule="auto" w:before="0" w:after="0"/>
              <w:pStyle w:val="Compact"/>
            </w:pPr>
            <w:r>
              <w:rPr>
                <w:sz w:val="20"/>
                <w:szCs w:val="20"/>
              </w:rPr>
              <w:t xml:space="preserve">2.1294</w:t>
            </w:r>
          </w:p>
        </w:tc>
        <w:tc>
          <w:tcPr>
            <w:tcW w:w="0" w:type="auto"/>
          </w:tcPr>
          <w:p>
            <w:pPr>
              <w:spacing w:line="240" w:lineRule="auto" w:before="0" w:after="0"/>
              <w:pStyle w:val="Compact"/>
            </w:pPr>
            <w:r>
              <w:rPr>
                <w:sz w:val="20"/>
                <w:szCs w:val="20"/>
              </w:rPr>
              <w:t xml:space="preserve">0.0332</w:t>
            </w:r>
          </w:p>
        </w:tc>
        <w:tc>
          <w:tcPr>
            <w:tcW w:w="0" w:type="auto"/>
          </w:tcPr>
          <w:p>
            <w:pPr>
              <w:spacing w:line="240" w:lineRule="auto" w:before="0" w:after="0"/>
              <w:pStyle w:val="Compact"/>
            </w:pPr>
            <w:r>
              <w:rPr>
                <w:sz w:val="20"/>
                <w:szCs w:val="20"/>
              </w:rPr>
              <w:t xml:space="preserve">[0.0526, 1.2683]</w:t>
            </w:r>
          </w:p>
        </w:tc>
      </w:tr>
      <w:tr>
        <w:tc>
          <w:tcPr>
            <w:tcW w:w="0" w:type="auto"/>
          </w:tcPr>
          <w:p>
            <w:pPr>
              <w:spacing w:line="240" w:lineRule="auto" w:before="0" w:after="0"/>
              <w:pStyle w:val="Compact"/>
            </w:pPr>
            <w:r>
              <w:rPr>
                <w:sz w:val="20"/>
                <w:szCs w:val="20"/>
              </w:rPr>
              <w:t xml:space="preserve">prior_participations</w:t>
            </w:r>
          </w:p>
        </w:tc>
        <w:tc>
          <w:tcPr>
            <w:tcW w:w="0" w:type="auto"/>
          </w:tcPr>
          <w:p>
            <w:pPr>
              <w:spacing w:line="240" w:lineRule="auto" w:before="0" w:after="0"/>
              <w:pStyle w:val="Compact"/>
            </w:pPr>
            <w:r>
              <w:rPr>
                <w:sz w:val="20"/>
                <w:szCs w:val="20"/>
              </w:rPr>
              <w:t xml:space="preserve">-0.8334</w:t>
            </w:r>
          </w:p>
        </w:tc>
        <w:tc>
          <w:tcPr>
            <w:tcW w:w="0" w:type="auto"/>
          </w:tcPr>
          <w:p>
            <w:pPr>
              <w:spacing w:line="240" w:lineRule="auto" w:before="0" w:after="0"/>
              <w:pStyle w:val="Compact"/>
            </w:pPr>
            <w:r>
              <w:rPr>
                <w:sz w:val="20"/>
                <w:szCs w:val="20"/>
              </w:rPr>
              <w:t xml:space="preserve">0.578</w:t>
            </w:r>
          </w:p>
        </w:tc>
        <w:tc>
          <w:tcPr>
            <w:tcW w:w="0" w:type="auto"/>
          </w:tcPr>
          <w:p>
            <w:pPr>
              <w:spacing w:line="240" w:lineRule="auto" w:before="0" w:after="0"/>
              <w:pStyle w:val="Compact"/>
            </w:pPr>
            <w:r>
              <w:rPr>
                <w:sz w:val="20"/>
                <w:szCs w:val="20"/>
              </w:rPr>
              <w:t xml:space="preserve">-1.4419</w:t>
            </w:r>
          </w:p>
        </w:tc>
        <w:tc>
          <w:tcPr>
            <w:tcW w:w="0" w:type="auto"/>
          </w:tcPr>
          <w:p>
            <w:pPr>
              <w:spacing w:line="240" w:lineRule="auto" w:before="0" w:after="0"/>
              <w:pStyle w:val="Compact"/>
            </w:pPr>
            <w:r>
              <w:rPr>
                <w:sz w:val="20"/>
                <w:szCs w:val="20"/>
              </w:rPr>
              <w:t xml:space="preserve">0.1493</w:t>
            </w:r>
          </w:p>
        </w:tc>
        <w:tc>
          <w:tcPr>
            <w:tcW w:w="0" w:type="auto"/>
          </w:tcPr>
          <w:p>
            <w:pPr>
              <w:spacing w:line="240" w:lineRule="auto" w:before="0" w:after="0"/>
              <w:pStyle w:val="Compact"/>
            </w:pPr>
            <w:r>
              <w:rPr>
                <w:sz w:val="20"/>
                <w:szCs w:val="20"/>
              </w:rPr>
              <w:t xml:space="preserve">[-1.9661, 0.2994]</w:t>
            </w:r>
          </w:p>
        </w:tc>
      </w:tr>
    </w:tbl>
    <w:p>
      <w:pPr>
        <w:pStyle w:val="BodyText"/>
        <w:spacing w:line="480" w:lineRule="auto"/>
        <w:ind w:firstLine="720"/>
      </w:pPr>
      <w:r>
        <w:t xml:space="preserve">Fit: N = 20 pseudo_R2 = 0.2321 LL = -9.9431</w:t>
      </w:r>
    </w:p>
    <w:bookmarkEnd w:id="136"/>
    <w:bookmarkStart w:id="14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rovider continuation against announced NASA Commercial Crew award value. The fitted logit conditions on the provider’s prior participation in the program." title="" id="138" name="Picture"/>
            <a:graphic>
              <a:graphicData uri="http://schemas.openxmlformats.org/drawingml/2006/picture">
                <pic:pic>
                  <pic:nvPicPr>
                    <pic:cNvPr descr="D:/Claude_Code/brain/collegium/candidates/dissertations/SPACE_ECON_03/research_papers/p1/paper_fig1.png" id="139" name="Picture"/>
                    <pic:cNvPicPr>
                      <a:picLocks noChangeArrowheads="1" noChangeAspect="1"/>
                    </pic:cNvPicPr>
                  </pic:nvPicPr>
                  <pic:blipFill>
                    <a:blip r:embed="rId13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Provider continuation against announced NASA Commercial Crew award value. The fitted logit conditions on the provider’s prior participation in the program.</w:t>
      </w:r>
    </w:p>
    <w:bookmarkEnd w:id="140"/>
    <w:bookmarkStart w:id="14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phase</w:t>
            </w:r>
          </w:p>
        </w:tc>
        <w:tc>
          <w:tcPr>
            <w:tcW w:w="0" w:type="auto"/>
          </w:tcPr>
          <w:p>
            <w:pPr>
              <w:spacing w:line="240" w:lineRule="auto" w:before="0" w:after="0"/>
              <w:pStyle w:val="Compact"/>
            </w:pPr>
            <w:r>
              <w:rPr>
                <w:sz w:val="20"/>
                <w:szCs w:val="20"/>
              </w:rPr>
              <w:t xml:space="preserve">phase_index</w:t>
            </w:r>
          </w:p>
        </w:tc>
        <w:tc>
          <w:tcPr>
            <w:tcW w:w="0" w:type="auto"/>
          </w:tcPr>
          <w:p>
            <w:pPr>
              <w:spacing w:line="240" w:lineRule="auto" w:before="0" w:after="0"/>
              <w:pStyle w:val="Compact"/>
            </w:pPr>
            <w:r>
              <w:rPr>
                <w:sz w:val="20"/>
                <w:szCs w:val="20"/>
              </w:rPr>
              <w:t xml:space="preserve">company</w:t>
            </w:r>
          </w:p>
        </w:tc>
        <w:tc>
          <w:tcPr>
            <w:tcW w:w="0" w:type="auto"/>
          </w:tcPr>
          <w:p>
            <w:pPr>
              <w:spacing w:line="240" w:lineRule="auto" w:before="0" w:after="0"/>
              <w:pStyle w:val="Compact"/>
            </w:pPr>
            <w:r>
              <w:rPr>
                <w:sz w:val="20"/>
                <w:szCs w:val="20"/>
              </w:rPr>
              <w:t xml:space="preserve">award_musd</w:t>
            </w:r>
          </w:p>
        </w:tc>
        <w:tc>
          <w:tcPr>
            <w:tcW w:w="0" w:type="auto"/>
          </w:tcPr>
          <w:p>
            <w:pPr>
              <w:spacing w:line="240" w:lineRule="auto" w:before="0" w:after="0"/>
              <w:pStyle w:val="Compact"/>
            </w:pPr>
            <w:r>
              <w:rPr>
                <w:sz w:val="20"/>
                <w:szCs w:val="20"/>
              </w:rPr>
              <w:t xml:space="preserve">log1p_award_musd</w:t>
            </w:r>
          </w:p>
        </w:tc>
        <w:tc>
          <w:tcPr>
            <w:tcW w:w="0" w:type="auto"/>
          </w:tcPr>
          <w:p>
            <w:pPr>
              <w:spacing w:line="240" w:lineRule="auto" w:before="0" w:after="0"/>
              <w:pStyle w:val="Compact"/>
            </w:pPr>
            <w:r>
              <w:rPr>
                <w:sz w:val="20"/>
                <w:szCs w:val="20"/>
              </w:rPr>
              <w:t xml:space="preserve">prior_participations</w:t>
            </w:r>
          </w:p>
        </w:tc>
        <w:tc>
          <w:tcPr>
            <w:tcW w:w="0" w:type="auto"/>
          </w:tcPr>
          <w:p>
            <w:pPr>
              <w:spacing w:line="240" w:lineRule="auto" w:before="0" w:after="0"/>
              <w:pStyle w:val="Compact"/>
            </w:pPr>
            <w:r>
              <w:rPr>
                <w:sz w:val="20"/>
                <w:szCs w:val="20"/>
              </w:rPr>
              <w:t xml:space="preserve">advanced_next_stage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1.5476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Paragon</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0.8755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Sierra Nevada</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2.0412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ATK</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CCDev2 participant and optional milestone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3.1355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CCDev2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112.9</w:t>
            </w:r>
          </w:p>
        </w:tc>
        <w:tc>
          <w:tcPr>
            <w:tcW w:w="0" w:type="auto"/>
          </w:tcPr>
          <w:p>
            <w:pPr>
              <w:spacing w:line="240" w:lineRule="auto" w:before="0" w:after="0"/>
              <w:pStyle w:val="Compact"/>
            </w:pPr>
            <w:r>
              <w:rPr>
                <w:sz w:val="20"/>
                <w:szCs w:val="20"/>
              </w:rPr>
              <w:t xml:space="preserve">4.7353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CCDev2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Excalibur Almaz</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CCDev2 participant and optional milestone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Sierra Nevada</w:t>
            </w:r>
          </w:p>
        </w:tc>
        <w:tc>
          <w:tcPr>
            <w:tcW w:w="0" w:type="auto"/>
          </w:tcPr>
          <w:p>
            <w:pPr>
              <w:spacing w:line="240" w:lineRule="auto" w:before="0" w:after="0"/>
              <w:pStyle w:val="Compact"/>
            </w:pPr>
            <w:r>
              <w:rPr>
                <w:sz w:val="20"/>
                <w:szCs w:val="20"/>
              </w:rPr>
              <w:t xml:space="preserve">105.6</w:t>
            </w:r>
          </w:p>
        </w:tc>
        <w:tc>
          <w:tcPr>
            <w:tcW w:w="0" w:type="auto"/>
          </w:tcPr>
          <w:p>
            <w:pPr>
              <w:spacing w:line="240" w:lineRule="auto" w:before="0" w:after="0"/>
              <w:pStyle w:val="Compact"/>
            </w:pPr>
            <w:r>
              <w:rPr>
                <w:sz w:val="20"/>
                <w:szCs w:val="20"/>
              </w:rPr>
              <w:t xml:space="preserve">4.6691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CCDev2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4.3307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CCDev2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CCDev2 participant and optional milestone table</w:t>
            </w:r>
          </w:p>
        </w:tc>
      </w:tr>
      <w:tr>
        <w:tc>
          <w:tcPr>
            <w:tcW w:w="0" w:type="auto"/>
          </w:tcPr>
          <w:p>
            <w:pPr>
              <w:spacing w:line="240" w:lineRule="auto" w:before="0" w:after="0"/>
              <w:pStyle w:val="Compact"/>
            </w:pPr>
            <w:r>
              <w:rPr>
                <w:sz w:val="20"/>
                <w:szCs w:val="20"/>
              </w:rPr>
              <w:t xml:space="preserve">CCiCap</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6.1759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CCiCap award table</w:t>
            </w:r>
          </w:p>
        </w:tc>
      </w:tr>
      <w:tr>
        <w:tc>
          <w:tcPr>
            <w:tcW w:w="0" w:type="auto"/>
          </w:tcPr>
          <w:p>
            <w:pPr>
              <w:spacing w:line="240" w:lineRule="auto" w:before="0" w:after="0"/>
              <w:pStyle w:val="Compact"/>
            </w:pPr>
            <w:r>
              <w:rPr>
                <w:sz w:val="20"/>
                <w:szCs w:val="20"/>
              </w:rPr>
              <w:t xml:space="preserve">CCiCap</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Sierra Nevada</w:t>
            </w:r>
          </w:p>
        </w:tc>
        <w:tc>
          <w:tcPr>
            <w:tcW w:w="0" w:type="auto"/>
          </w:tcPr>
          <w:p>
            <w:pPr>
              <w:spacing w:line="240" w:lineRule="auto" w:before="0" w:after="0"/>
              <w:pStyle w:val="Compact"/>
            </w:pPr>
            <w:r>
              <w:rPr>
                <w:sz w:val="20"/>
                <w:szCs w:val="20"/>
              </w:rPr>
              <w:t xml:space="preserve">227.5</w:t>
            </w:r>
          </w:p>
        </w:tc>
        <w:tc>
          <w:tcPr>
            <w:tcW w:w="0" w:type="auto"/>
          </w:tcPr>
          <w:p>
            <w:pPr>
              <w:spacing w:line="240" w:lineRule="auto" w:before="0" w:after="0"/>
              <w:pStyle w:val="Compact"/>
            </w:pPr>
            <w:r>
              <w:rPr>
                <w:sz w:val="20"/>
                <w:szCs w:val="20"/>
              </w:rPr>
              <w:t xml:space="preserve">5.4318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CCiCap award table</w:t>
            </w:r>
          </w:p>
        </w:tc>
      </w:tr>
      <w:tr>
        <w:tc>
          <w:tcPr>
            <w:tcW w:w="0" w:type="auto"/>
          </w:tcPr>
          <w:p>
            <w:pPr>
              <w:spacing w:line="240" w:lineRule="auto" w:before="0" w:after="0"/>
              <w:pStyle w:val="Compact"/>
            </w:pPr>
            <w:r>
              <w:rPr>
                <w:sz w:val="20"/>
                <w:szCs w:val="20"/>
              </w:rPr>
              <w:t xml:space="preserve">CCiCap</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460</w:t>
            </w:r>
          </w:p>
        </w:tc>
        <w:tc>
          <w:tcPr>
            <w:tcW w:w="0" w:type="auto"/>
          </w:tcPr>
          <w:p>
            <w:pPr>
              <w:spacing w:line="240" w:lineRule="auto" w:before="0" w:after="0"/>
              <w:pStyle w:val="Compact"/>
            </w:pPr>
            <w:r>
              <w:rPr>
                <w:sz w:val="20"/>
                <w:szCs w:val="20"/>
              </w:rPr>
              <w:t xml:space="preserve">6.1334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CCiCap award table</w:t>
            </w:r>
          </w:p>
        </w:tc>
      </w:tr>
      <w:tr>
        <w:tc>
          <w:tcPr>
            <w:tcW w:w="0" w:type="auto"/>
          </w:tcPr>
          <w:p>
            <w:pPr>
              <w:spacing w:line="240" w:lineRule="auto" w:before="0" w:after="0"/>
              <w:pStyle w:val="Compact"/>
            </w:pPr>
            <w:r>
              <w:rPr>
                <w:sz w:val="20"/>
                <w:szCs w:val="20"/>
              </w:rPr>
              <w:t xml:space="preserve">CPC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9.993</w:t>
            </w:r>
          </w:p>
        </w:tc>
        <w:tc>
          <w:tcPr>
            <w:tcW w:w="0" w:type="auto"/>
          </w:tcPr>
          <w:p>
            <w:pPr>
              <w:spacing w:line="240" w:lineRule="auto" w:before="0" w:after="0"/>
              <w:pStyle w:val="Compact"/>
            </w:pPr>
            <w:r>
              <w:rPr>
                <w:sz w:val="20"/>
                <w:szCs w:val="20"/>
              </w:rPr>
              <w:t xml:space="preserve">2.3972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CPC award table</w:t>
            </w:r>
          </w:p>
        </w:tc>
      </w:tr>
      <w:tr>
        <w:tc>
          <w:tcPr>
            <w:tcW w:w="0" w:type="auto"/>
          </w:tcPr>
          <w:p>
            <w:pPr>
              <w:spacing w:line="240" w:lineRule="auto" w:before="0" w:after="0"/>
              <w:pStyle w:val="Compact"/>
            </w:pPr>
            <w:r>
              <w:rPr>
                <w:sz w:val="20"/>
                <w:szCs w:val="20"/>
              </w:rPr>
              <w:t xml:space="preserve">CPC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Sierra Nevada</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CPC award table</w:t>
            </w:r>
          </w:p>
        </w:tc>
      </w:tr>
      <w:tr>
        <w:tc>
          <w:tcPr>
            <w:tcW w:w="0" w:type="auto"/>
          </w:tcPr>
          <w:p>
            <w:pPr>
              <w:spacing w:line="240" w:lineRule="auto" w:before="0" w:after="0"/>
              <w:pStyle w:val="Compact"/>
            </w:pPr>
            <w:r>
              <w:rPr>
                <w:sz w:val="20"/>
                <w:szCs w:val="20"/>
              </w:rPr>
              <w:t xml:space="preserve">CPC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9.589</w:t>
            </w:r>
          </w:p>
        </w:tc>
        <w:tc>
          <w:tcPr>
            <w:tcW w:w="0" w:type="auto"/>
          </w:tcPr>
          <w:p>
            <w:pPr>
              <w:spacing w:line="240" w:lineRule="auto" w:before="0" w:after="0"/>
              <w:pStyle w:val="Compact"/>
            </w:pPr>
            <w:r>
              <w:rPr>
                <w:sz w:val="20"/>
                <w:szCs w:val="20"/>
              </w:rPr>
              <w:t xml:space="preserve">2.3598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CPC award table</w:t>
            </w:r>
          </w:p>
        </w:tc>
      </w:tr>
      <w:tr>
        <w:tc>
          <w:tcPr>
            <w:tcW w:w="0" w:type="auto"/>
          </w:tcPr>
          <w:p>
            <w:pPr>
              <w:spacing w:line="240" w:lineRule="auto" w:before="0" w:after="0"/>
              <w:pStyle w:val="Compact"/>
            </w:pPr>
            <w:r>
              <w:rPr>
                <w:sz w:val="20"/>
                <w:szCs w:val="20"/>
              </w:rPr>
              <w:t xml:space="preserve">CCtCap</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4200</w:t>
            </w:r>
          </w:p>
        </w:tc>
        <w:tc>
          <w:tcPr>
            <w:tcW w:w="0" w:type="auto"/>
          </w:tcPr>
          <w:p>
            <w:pPr>
              <w:spacing w:line="240" w:lineRule="auto" w:before="0" w:after="0"/>
              <w:pStyle w:val="Compact"/>
            </w:pPr>
            <w:r>
              <w:rPr>
                <w:sz w:val="20"/>
                <w:szCs w:val="20"/>
              </w:rPr>
              <w:t xml:space="preserve">8.3431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CCtCap award table; NASA OIG IG-24-020, Boeing remained uncertified as of September 2024</w:t>
            </w:r>
          </w:p>
        </w:tc>
      </w:tr>
      <w:tr>
        <w:tc>
          <w:tcPr>
            <w:tcW w:w="0" w:type="auto"/>
          </w:tcPr>
          <w:p>
            <w:pPr>
              <w:spacing w:line="240" w:lineRule="auto" w:before="0" w:after="0"/>
              <w:pStyle w:val="Compact"/>
            </w:pPr>
            <w:r>
              <w:rPr>
                <w:sz w:val="20"/>
                <w:szCs w:val="20"/>
              </w:rPr>
              <w:t xml:space="preserve">CCtCap</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7.8637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CCtCap award table; NASA, NASA and SpaceX Complete Certification of First Human-Rated Commercial Space System, November 10, 2020</w:t>
            </w:r>
          </w:p>
        </w:tc>
      </w:tr>
    </w:tbl>
    <w:bookmarkEnd w:id="141"/>
    <w:bookmarkStart w:id="142"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advanced_next_stage</w:t>
            </w:r>
          </w:p>
        </w:tc>
        <w:tc>
          <w:tcPr>
            <w:tcW w:w="0" w:type="auto"/>
          </w:tcPr>
          <w:p>
            <w:pPr>
              <w:spacing w:line="240" w:lineRule="auto" w:before="0" w:after="0"/>
              <w:pStyle w:val="Compact"/>
            </w:pPr>
            <w:r>
              <w:rPr>
                <w:sz w:val="20"/>
                <w:szCs w:val="20"/>
              </w:rPr>
              <w:t xml:space="preserve">Binary indicator that the company advanced to the next Commercial Crew phase, or achieved operational certification for the final CCtCap phase by September 2024</w:t>
            </w:r>
          </w:p>
        </w:tc>
        <w:tc>
          <w:tcPr>
            <w:tcW w:w="0" w:type="auto"/>
          </w:tcPr>
          <w:p>
            <w:pPr>
              <w:spacing w:line="240" w:lineRule="auto" w:before="0" w:after="0"/>
              <w:pStyle w:val="Compact"/>
            </w:pPr>
            <w:r>
              <w:rPr>
                <w:sz w:val="20"/>
                <w:szCs w:val="20"/>
              </w:rPr>
              <w:t xml:space="preserve">NASA Commercial Crew Program Essentials; NASA certification announcement; NASA OIG IG-24-020</w:t>
            </w:r>
          </w:p>
        </w:tc>
      </w:tr>
      <w:tr>
        <w:tc>
          <w:tcPr>
            <w:tcW w:w="0" w:type="auto"/>
          </w:tcPr>
          <w:p>
            <w:pPr>
              <w:spacing w:line="240" w:lineRule="auto" w:before="0" w:after="0"/>
              <w:pStyle w:val="Compact"/>
            </w:pPr>
            <w:r>
              <w:rPr>
                <w:sz w:val="20"/>
                <w:szCs w:val="20"/>
              </w:rPr>
              <w:t xml:space="preserve">log1p_award_musd</w:t>
            </w:r>
          </w:p>
        </w:tc>
        <w:tc>
          <w:tcPr>
            <w:tcW w:w="0" w:type="auto"/>
          </w:tcPr>
          <w:p>
            <w:pPr>
              <w:spacing w:line="240" w:lineRule="auto" w:before="0" w:after="0"/>
              <w:pStyle w:val="Compact"/>
            </w:pPr>
            <w:r>
              <w:rPr>
                <w:sz w:val="20"/>
                <w:szCs w:val="20"/>
              </w:rPr>
              <w:t xml:space="preserve">Natural logarithm of one plus the company’s announced NASA award amount in millions of nominal dollars</w:t>
            </w:r>
          </w:p>
        </w:tc>
        <w:tc>
          <w:tcPr>
            <w:tcW w:w="0" w:type="auto"/>
          </w:tcPr>
          <w:p>
            <w:pPr>
              <w:spacing w:line="240" w:lineRule="auto" w:before="0" w:after="0"/>
              <w:pStyle w:val="Compact"/>
            </w:pPr>
            <w:r>
              <w:rPr>
                <w:sz w:val="20"/>
                <w:szCs w:val="20"/>
              </w:rPr>
              <w:t xml:space="preserve">Award values transcribed from NASA Commercial Crew Program Essentials</w:t>
            </w:r>
          </w:p>
        </w:tc>
      </w:tr>
      <w:tr>
        <w:tc>
          <w:tcPr>
            <w:tcW w:w="0" w:type="auto"/>
          </w:tcPr>
          <w:p>
            <w:pPr>
              <w:spacing w:line="240" w:lineRule="auto" w:before="0" w:after="0"/>
              <w:pStyle w:val="Compact"/>
            </w:pPr>
            <w:r>
              <w:rPr>
                <w:sz w:val="20"/>
                <w:szCs w:val="20"/>
              </w:rPr>
              <w:t xml:space="preserve">prior_participations</w:t>
            </w:r>
          </w:p>
        </w:tc>
        <w:tc>
          <w:tcPr>
            <w:tcW w:w="0" w:type="auto"/>
          </w:tcPr>
          <w:p>
            <w:pPr>
              <w:spacing w:line="240" w:lineRule="auto" w:before="0" w:after="0"/>
              <w:pStyle w:val="Compact"/>
            </w:pPr>
            <w:r>
              <w:rPr>
                <w:sz w:val="20"/>
                <w:szCs w:val="20"/>
              </w:rPr>
              <w:t xml:space="preserve">Count of earlier Commercial Crew phases in which the company appeared before the observed award</w:t>
            </w:r>
          </w:p>
        </w:tc>
        <w:tc>
          <w:tcPr>
            <w:tcW w:w="0" w:type="auto"/>
          </w:tcPr>
          <w:p>
            <w:pPr>
              <w:spacing w:line="240" w:lineRule="auto" w:before="0" w:after="0"/>
              <w:pStyle w:val="Compact"/>
            </w:pPr>
            <w:r>
              <w:rPr>
                <w:sz w:val="20"/>
                <w:szCs w:val="20"/>
              </w:rPr>
              <w:t xml:space="preserve">Constructed from the chronological NASA phase and participant record</w:t>
            </w:r>
          </w:p>
        </w:tc>
      </w:tr>
    </w:tbl>
    <w:bookmarkEnd w:id="142"/>
    <w:bookmarkEnd w:id="143"/>
    <w:bookmarkStart w:id="151" w:name="X80bb1f38d8bc9916858fef6dacc11decb74b685"/>
    <w:p>
      <w:pPr>
        <w:pStyle w:val="Heading2"/>
        <w:spacing w:line="480" w:lineRule="auto"/>
      </w:pPr>
      <w:r>
        <w:t xml:space="preserve">A.2 From Portfolio Seeding to Provider Concentration: OLS Evidence from NASA’s Commercial Crew Awards</w:t>
      </w:r>
    </w:p>
    <w:p>
      <w:pPr>
        <w:pStyle w:val="FirstParagraph"/>
        <w:spacing w:line="480" w:lineRule="auto"/>
      </w:pPr>
      <m:oMathPara>
        <m:oMathParaPr>
          <m:jc m:val="center"/>
        </m:oMathParaPr>
        <m:oMath>
          <m:sSub>
            <m:e>
              <m:r>
                <m:t>S</m:t>
              </m:r>
            </m:e>
            <m:sub>
              <m:r>
                <m:t>i</m:t>
              </m:r>
            </m:sub>
          </m:sSub>
          <m:r>
            <m:rPr>
              <m:sty m:val="p"/>
            </m:rPr>
            <m:t>=</m:t>
          </m:r>
          <m:r>
            <m:t>α</m:t>
          </m:r>
          <m:r>
            <m:rPr>
              <m:sty m:val="p"/>
            </m:rPr>
            <m:t>+</m:t>
          </m:r>
          <m:sSub>
            <m:e>
              <m:r>
                <m:t>β</m:t>
              </m:r>
            </m:e>
            <m:sub>
              <m:r>
                <m:t>1</m:t>
              </m:r>
            </m:sub>
          </m:sSub>
          <m:sSub>
            <m:e>
              <m:r>
                <m:t>P</m:t>
              </m:r>
            </m:e>
            <m:sub>
              <m:r>
                <m:t>i</m:t>
              </m:r>
            </m:sub>
          </m:sSub>
          <m:r>
            <m:rPr>
              <m:sty m:val="p"/>
            </m:rPr>
            <m:t>+</m:t>
          </m:r>
          <m:sSub>
            <m:e>
              <m:r>
                <m:t>β</m:t>
              </m:r>
            </m:e>
            <m:sub>
              <m:r>
                <m:t>2</m:t>
              </m:r>
            </m:sub>
          </m:sSub>
          <m:sSub>
            <m:e>
              <m:r>
                <m:t>L</m:t>
              </m:r>
            </m:e>
            <m:sub>
              <m:r>
                <m:t>i</m:t>
              </m:r>
            </m:sub>
          </m:sSub>
          <m:r>
            <m:rPr>
              <m:sty m:val="p"/>
            </m:rPr>
            <m:t>+</m:t>
          </m:r>
          <m:sSub>
            <m:e>
              <m:r>
                <m:t>ε</m:t>
              </m:r>
            </m:e>
            <m:sub>
              <m:r>
                <m:t>i</m:t>
              </m:r>
            </m:sub>
          </m:sSub>
        </m:oMath>
      </m:oMathPara>
    </w:p>
    <w:bookmarkStart w:id="14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4.2238</w:t>
            </w:r>
          </w:p>
        </w:tc>
        <w:tc>
          <w:tcPr>
            <w:tcW w:w="0" w:type="auto"/>
          </w:tcPr>
          <w:p>
            <w:pPr>
              <w:spacing w:line="240" w:lineRule="auto" w:before="0" w:after="0"/>
              <w:pStyle w:val="Compact"/>
            </w:pPr>
            <w:r>
              <w:rPr>
                <w:sz w:val="20"/>
                <w:szCs w:val="20"/>
              </w:rPr>
              <w:t xml:space="preserve">8.5621</w:t>
            </w:r>
          </w:p>
        </w:tc>
        <w:tc>
          <w:tcPr>
            <w:tcW w:w="0" w:type="auto"/>
          </w:tcPr>
          <w:p>
            <w:pPr>
              <w:spacing w:line="240" w:lineRule="auto" w:before="0" w:after="0"/>
              <w:pStyle w:val="Compact"/>
            </w:pPr>
            <w:r>
              <w:rPr>
                <w:sz w:val="20"/>
                <w:szCs w:val="20"/>
              </w:rPr>
              <w:t xml:space="preserve">0.4933</w:t>
            </w:r>
          </w:p>
        </w:tc>
        <w:tc>
          <w:tcPr>
            <w:tcW w:w="0" w:type="auto"/>
          </w:tcPr>
          <w:p>
            <w:pPr>
              <w:spacing w:line="240" w:lineRule="auto" w:before="0" w:after="0"/>
              <w:pStyle w:val="Compact"/>
            </w:pPr>
            <w:r>
              <w:rPr>
                <w:sz w:val="20"/>
                <w:szCs w:val="20"/>
              </w:rPr>
              <w:t xml:space="preserve">0.6218</w:t>
            </w:r>
          </w:p>
        </w:tc>
        <w:tc>
          <w:tcPr>
            <w:tcW w:w="0" w:type="auto"/>
          </w:tcPr>
          <w:p>
            <w:pPr>
              <w:spacing w:line="240" w:lineRule="auto" w:before="0" w:after="0"/>
              <w:pStyle w:val="Compact"/>
            </w:pPr>
            <w:r>
              <w:rPr>
                <w:sz w:val="20"/>
                <w:szCs w:val="20"/>
              </w:rPr>
              <w:t xml:space="preserve">[-12.5576, 21.0052]</w:t>
            </w:r>
          </w:p>
        </w:tc>
      </w:tr>
      <w:tr>
        <w:tc>
          <w:tcPr>
            <w:tcW w:w="0" w:type="auto"/>
          </w:tcPr>
          <w:p>
            <w:pPr>
              <w:spacing w:line="240" w:lineRule="auto" w:before="0" w:after="0"/>
              <w:pStyle w:val="Compact"/>
            </w:pPr>
            <w:r>
              <w:rPr>
                <w:sz w:val="20"/>
                <w:szCs w:val="20"/>
              </w:rPr>
              <w:t xml:space="preserve">phase_index</w:t>
            </w:r>
          </w:p>
        </w:tc>
        <w:tc>
          <w:tcPr>
            <w:tcW w:w="0" w:type="auto"/>
          </w:tcPr>
          <w:p>
            <w:pPr>
              <w:spacing w:line="240" w:lineRule="auto" w:before="0" w:after="0"/>
              <w:pStyle w:val="Compact"/>
            </w:pPr>
            <w:r>
              <w:rPr>
                <w:sz w:val="20"/>
                <w:szCs w:val="20"/>
              </w:rPr>
              <w:t xml:space="preserve">7.5758</w:t>
            </w:r>
          </w:p>
        </w:tc>
        <w:tc>
          <w:tcPr>
            <w:tcW w:w="0" w:type="auto"/>
          </w:tcPr>
          <w:p>
            <w:pPr>
              <w:spacing w:line="240" w:lineRule="auto" w:before="0" w:after="0"/>
              <w:pStyle w:val="Compact"/>
            </w:pPr>
            <w:r>
              <w:rPr>
                <w:sz w:val="20"/>
                <w:szCs w:val="20"/>
              </w:rPr>
              <w:t xml:space="preserve">2.3483</w:t>
            </w:r>
          </w:p>
        </w:tc>
        <w:tc>
          <w:tcPr>
            <w:tcW w:w="0" w:type="auto"/>
          </w:tcPr>
          <w:p>
            <w:pPr>
              <w:spacing w:line="240" w:lineRule="auto" w:before="0" w:after="0"/>
              <w:pStyle w:val="Compact"/>
            </w:pPr>
            <w:r>
              <w:rPr>
                <w:sz w:val="20"/>
                <w:szCs w:val="20"/>
              </w:rPr>
              <w:t xml:space="preserve">3.226</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[2.9731, 12.1784]</w:t>
            </w:r>
          </w:p>
        </w:tc>
      </w:tr>
      <w:tr>
        <w:tc>
          <w:tcPr>
            <w:tcW w:w="0" w:type="auto"/>
          </w:tcPr>
          <w:p>
            <w:pPr>
              <w:spacing w:line="240" w:lineRule="auto" w:before="0" w:after="0"/>
              <w:pStyle w:val="Compact"/>
            </w:pPr>
            <w:r>
              <w:rPr>
                <w:sz w:val="20"/>
                <w:szCs w:val="20"/>
              </w:rPr>
              <w:t xml:space="preserve">legacy_incumbent</w:t>
            </w:r>
          </w:p>
        </w:tc>
        <w:tc>
          <w:tcPr>
            <w:tcW w:w="0" w:type="auto"/>
          </w:tcPr>
          <w:p>
            <w:pPr>
              <w:spacing w:line="240" w:lineRule="auto" w:before="0" w:after="0"/>
              <w:pStyle w:val="Compact"/>
            </w:pPr>
            <w:r>
              <w:rPr>
                <w:sz w:val="20"/>
                <w:szCs w:val="20"/>
              </w:rPr>
              <w:t xml:space="preserve">4.592</w:t>
            </w:r>
          </w:p>
        </w:tc>
        <w:tc>
          <w:tcPr>
            <w:tcW w:w="0" w:type="auto"/>
          </w:tcPr>
          <w:p>
            <w:pPr>
              <w:spacing w:line="240" w:lineRule="auto" w:before="0" w:after="0"/>
              <w:pStyle w:val="Compact"/>
            </w:pPr>
            <w:r>
              <w:rPr>
                <w:sz w:val="20"/>
                <w:szCs w:val="20"/>
              </w:rPr>
              <w:t xml:space="preserve">7.2647</w:t>
            </w:r>
          </w:p>
        </w:tc>
        <w:tc>
          <w:tcPr>
            <w:tcW w:w="0" w:type="auto"/>
          </w:tcPr>
          <w:p>
            <w:pPr>
              <w:spacing w:line="240" w:lineRule="auto" w:before="0" w:after="0"/>
              <w:pStyle w:val="Compact"/>
            </w:pPr>
            <w:r>
              <w:rPr>
                <w:sz w:val="20"/>
                <w:szCs w:val="20"/>
              </w:rPr>
              <w:t xml:space="preserve">0.6321</w:t>
            </w:r>
          </w:p>
        </w:tc>
        <w:tc>
          <w:tcPr>
            <w:tcW w:w="0" w:type="auto"/>
          </w:tcPr>
          <w:p>
            <w:pPr>
              <w:spacing w:line="240" w:lineRule="auto" w:before="0" w:after="0"/>
              <w:pStyle w:val="Compact"/>
            </w:pPr>
            <w:r>
              <w:rPr>
                <w:sz w:val="20"/>
                <w:szCs w:val="20"/>
              </w:rPr>
              <w:t xml:space="preserve">0.5273</w:t>
            </w:r>
          </w:p>
        </w:tc>
        <w:tc>
          <w:tcPr>
            <w:tcW w:w="0" w:type="auto"/>
          </w:tcPr>
          <w:p>
            <w:pPr>
              <w:spacing w:line="240" w:lineRule="auto" w:before="0" w:after="0"/>
              <w:pStyle w:val="Compact"/>
            </w:pPr>
            <w:r>
              <w:rPr>
                <w:sz w:val="20"/>
                <w:szCs w:val="20"/>
              </w:rPr>
              <w:t xml:space="preserve">[-9.6465, 18.8306]</w:t>
            </w:r>
          </w:p>
        </w:tc>
      </w:tr>
    </w:tbl>
    <w:p>
      <w:pPr>
        <w:pStyle w:val="BodyText"/>
        <w:spacing w:line="480" w:lineRule="auto"/>
        <w:ind w:firstLine="720"/>
      </w:pPr>
      <w:r>
        <w:t xml:space="preserve">Fit: N = 20 R2 = 0.3375 R2_adj = 0.2595 F = 5.2325 F_p = 0.017</w:t>
      </w:r>
    </w:p>
    <w:bookmarkEnd w:id="144"/>
    <w:bookmarkStart w:id="14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ompany share of announced Commercial Crew commitments across successive procurement phases. The OLS specification conditions on legacy-incumbent status and reports heteroskedasticity-consistent standard errors." title="" id="146" name="Picture"/>
            <a:graphic>
              <a:graphicData uri="http://schemas.openxmlformats.org/drawingml/2006/picture">
                <pic:pic>
                  <pic:nvPicPr>
                    <pic:cNvPr descr="D:/Claude_Code/brain/collegium/candidates/dissertations/SPACE_ECON_03/research_papers/p2/paper_fig1.png" id="147" name="Picture"/>
                    <pic:cNvPicPr>
                      <a:picLocks noChangeArrowheads="1" noChangeAspect="1"/>
                    </pic:cNvPicPr>
                  </pic:nvPicPr>
                  <pic:blipFill>
                    <a:blip r:embed="rId14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Company share of announced Commercial Crew commitments across successive procurement phases. The OLS specification conditions on legacy-incumbent status and reports heteroskedasticity-consistent standard errors.</w:t>
      </w:r>
    </w:p>
    <w:bookmarkEnd w:id="148"/>
    <w:bookmarkStart w:id="14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phase</w:t>
            </w:r>
          </w:p>
        </w:tc>
        <w:tc>
          <w:tcPr>
            <w:tcW w:w="0" w:type="auto"/>
          </w:tcPr>
          <w:p>
            <w:pPr>
              <w:spacing w:line="240" w:lineRule="auto" w:before="0" w:after="0"/>
              <w:pStyle w:val="Compact"/>
            </w:pPr>
            <w:r>
              <w:rPr>
                <w:sz w:val="20"/>
                <w:szCs w:val="20"/>
              </w:rPr>
              <w:t xml:space="preserve">phase_index</w:t>
            </w:r>
          </w:p>
        </w:tc>
        <w:tc>
          <w:tcPr>
            <w:tcW w:w="0" w:type="auto"/>
          </w:tcPr>
          <w:p>
            <w:pPr>
              <w:spacing w:line="240" w:lineRule="auto" w:before="0" w:after="0"/>
              <w:pStyle w:val="Compact"/>
            </w:pPr>
            <w:r>
              <w:rPr>
                <w:sz w:val="20"/>
                <w:szCs w:val="20"/>
              </w:rPr>
              <w:t xml:space="preserve">company</w:t>
            </w:r>
          </w:p>
        </w:tc>
        <w:tc>
          <w:tcPr>
            <w:tcW w:w="0" w:type="auto"/>
          </w:tcPr>
          <w:p>
            <w:pPr>
              <w:spacing w:line="240" w:lineRule="auto" w:before="0" w:after="0"/>
              <w:pStyle w:val="Compact"/>
            </w:pPr>
            <w:r>
              <w:rPr>
                <w:sz w:val="20"/>
                <w:szCs w:val="20"/>
              </w:rPr>
              <w:t xml:space="preserve">award_musd</w:t>
            </w:r>
          </w:p>
        </w:tc>
        <w:tc>
          <w:tcPr>
            <w:tcW w:w="0" w:type="auto"/>
          </w:tcPr>
          <w:p>
            <w:pPr>
              <w:spacing w:line="240" w:lineRule="auto" w:before="0" w:after="0"/>
              <w:pStyle w:val="Compact"/>
            </w:pPr>
            <w:r>
              <w:rPr>
                <w:sz w:val="20"/>
                <w:szCs w:val="20"/>
              </w:rPr>
              <w:t xml:space="preserve">phase_total_musd</w:t>
            </w:r>
          </w:p>
        </w:tc>
        <w:tc>
          <w:tcPr>
            <w:tcW w:w="0" w:type="auto"/>
          </w:tcPr>
          <w:p>
            <w:pPr>
              <w:spacing w:line="240" w:lineRule="auto" w:before="0" w:after="0"/>
              <w:pStyle w:val="Compact"/>
            </w:pPr>
            <w:r>
              <w:rPr>
                <w:sz w:val="20"/>
                <w:szCs w:val="20"/>
              </w:rPr>
              <w:t xml:space="preserve">commitment_share_pct</w:t>
            </w:r>
          </w:p>
        </w:tc>
        <w:tc>
          <w:tcPr>
            <w:tcW w:w="0" w:type="auto"/>
          </w:tcPr>
          <w:p>
            <w:pPr>
              <w:spacing w:line="240" w:lineRule="auto" w:before="0" w:after="0"/>
              <w:pStyle w:val="Compact"/>
            </w:pPr>
            <w:r>
              <w:rPr>
                <w:sz w:val="20"/>
                <w:szCs w:val="20"/>
              </w:rPr>
              <w:t xml:space="preserve">legacy_incumbent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7.4297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36.1446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Paragon</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2.8112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Sierra Nevada</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40.1606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13.4538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ATK</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CCDev2 participant and optional milestone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315.5</w:t>
            </w:r>
          </w:p>
        </w:tc>
        <w:tc>
          <w:tcPr>
            <w:tcW w:w="0" w:type="auto"/>
          </w:tcPr>
          <w:p>
            <w:pPr>
              <w:spacing w:line="240" w:lineRule="auto" w:before="0" w:after="0"/>
              <w:pStyle w:val="Compact"/>
            </w:pPr>
            <w:r>
              <w:rPr>
                <w:sz w:val="20"/>
                <w:szCs w:val="20"/>
              </w:rPr>
              <w:t xml:space="preserve">6.9731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CCDev2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112.9</w:t>
            </w:r>
          </w:p>
        </w:tc>
        <w:tc>
          <w:tcPr>
            <w:tcW w:w="0" w:type="auto"/>
          </w:tcPr>
          <w:p>
            <w:pPr>
              <w:spacing w:line="240" w:lineRule="auto" w:before="0" w:after="0"/>
              <w:pStyle w:val="Compact"/>
            </w:pPr>
            <w:r>
              <w:rPr>
                <w:sz w:val="20"/>
                <w:szCs w:val="20"/>
              </w:rPr>
              <w:t xml:space="preserve">315.5</w:t>
            </w:r>
          </w:p>
        </w:tc>
        <w:tc>
          <w:tcPr>
            <w:tcW w:w="0" w:type="auto"/>
          </w:tcPr>
          <w:p>
            <w:pPr>
              <w:spacing w:line="240" w:lineRule="auto" w:before="0" w:after="0"/>
              <w:pStyle w:val="Compact"/>
            </w:pPr>
            <w:r>
              <w:rPr>
                <w:sz w:val="20"/>
                <w:szCs w:val="20"/>
              </w:rPr>
              <w:t xml:space="preserve">35.7845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CCDev2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Excalibur Almaz</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CCDev2 participant and optional milestone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Sierra Nevada</w:t>
            </w:r>
          </w:p>
        </w:tc>
        <w:tc>
          <w:tcPr>
            <w:tcW w:w="0" w:type="auto"/>
          </w:tcPr>
          <w:p>
            <w:pPr>
              <w:spacing w:line="240" w:lineRule="auto" w:before="0" w:after="0"/>
              <w:pStyle w:val="Compact"/>
            </w:pPr>
            <w:r>
              <w:rPr>
                <w:sz w:val="20"/>
                <w:szCs w:val="20"/>
              </w:rPr>
              <w:t xml:space="preserve">105.6</w:t>
            </w:r>
          </w:p>
        </w:tc>
        <w:tc>
          <w:tcPr>
            <w:tcW w:w="0" w:type="auto"/>
          </w:tcPr>
          <w:p>
            <w:pPr>
              <w:spacing w:line="240" w:lineRule="auto" w:before="0" w:after="0"/>
              <w:pStyle w:val="Compact"/>
            </w:pPr>
            <w:r>
              <w:rPr>
                <w:sz w:val="20"/>
                <w:szCs w:val="20"/>
              </w:rPr>
              <w:t xml:space="preserve">315.5</w:t>
            </w:r>
          </w:p>
        </w:tc>
        <w:tc>
          <w:tcPr>
            <w:tcW w:w="0" w:type="auto"/>
          </w:tcPr>
          <w:p>
            <w:pPr>
              <w:spacing w:line="240" w:lineRule="auto" w:before="0" w:after="0"/>
              <w:pStyle w:val="Compact"/>
            </w:pPr>
            <w:r>
              <w:rPr>
                <w:sz w:val="20"/>
                <w:szCs w:val="20"/>
              </w:rPr>
              <w:t xml:space="preserve">33.4707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CCDev2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315.5</w:t>
            </w:r>
          </w:p>
        </w:tc>
        <w:tc>
          <w:tcPr>
            <w:tcW w:w="0" w:type="auto"/>
          </w:tcPr>
          <w:p>
            <w:pPr>
              <w:spacing w:line="240" w:lineRule="auto" w:before="0" w:after="0"/>
              <w:pStyle w:val="Compact"/>
            </w:pPr>
            <w:r>
              <w:rPr>
                <w:sz w:val="20"/>
                <w:szCs w:val="20"/>
              </w:rPr>
              <w:t xml:space="preserve">23.7718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CCDev2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CCDev2 participant and optional milestone table</w:t>
            </w:r>
          </w:p>
        </w:tc>
      </w:tr>
      <w:tr>
        <w:tc>
          <w:tcPr>
            <w:tcW w:w="0" w:type="auto"/>
          </w:tcPr>
          <w:p>
            <w:pPr>
              <w:spacing w:line="240" w:lineRule="auto" w:before="0" w:after="0"/>
              <w:pStyle w:val="Compact"/>
            </w:pPr>
            <w:r>
              <w:rPr>
                <w:sz w:val="20"/>
                <w:szCs w:val="20"/>
              </w:rPr>
              <w:t xml:space="preserve">CCiCap</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1167.5</w:t>
            </w:r>
          </w:p>
        </w:tc>
        <w:tc>
          <w:tcPr>
            <w:tcW w:w="0" w:type="auto"/>
          </w:tcPr>
          <w:p>
            <w:pPr>
              <w:spacing w:line="240" w:lineRule="auto" w:before="0" w:after="0"/>
              <w:pStyle w:val="Compact"/>
            </w:pPr>
            <w:r>
              <w:rPr>
                <w:sz w:val="20"/>
                <w:szCs w:val="20"/>
              </w:rPr>
              <w:t xml:space="preserve">41.1135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CCiCap award table</w:t>
            </w:r>
          </w:p>
        </w:tc>
      </w:tr>
      <w:tr>
        <w:tc>
          <w:tcPr>
            <w:tcW w:w="0" w:type="auto"/>
          </w:tcPr>
          <w:p>
            <w:pPr>
              <w:spacing w:line="240" w:lineRule="auto" w:before="0" w:after="0"/>
              <w:pStyle w:val="Compact"/>
            </w:pPr>
            <w:r>
              <w:rPr>
                <w:sz w:val="20"/>
                <w:szCs w:val="20"/>
              </w:rPr>
              <w:t xml:space="preserve">CCiCap</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Sierra Nevada</w:t>
            </w:r>
          </w:p>
        </w:tc>
        <w:tc>
          <w:tcPr>
            <w:tcW w:w="0" w:type="auto"/>
          </w:tcPr>
          <w:p>
            <w:pPr>
              <w:spacing w:line="240" w:lineRule="auto" w:before="0" w:after="0"/>
              <w:pStyle w:val="Compact"/>
            </w:pPr>
            <w:r>
              <w:rPr>
                <w:sz w:val="20"/>
                <w:szCs w:val="20"/>
              </w:rPr>
              <w:t xml:space="preserve">227.5</w:t>
            </w:r>
          </w:p>
        </w:tc>
        <w:tc>
          <w:tcPr>
            <w:tcW w:w="0" w:type="auto"/>
          </w:tcPr>
          <w:p>
            <w:pPr>
              <w:spacing w:line="240" w:lineRule="auto" w:before="0" w:after="0"/>
              <w:pStyle w:val="Compact"/>
            </w:pPr>
            <w:r>
              <w:rPr>
                <w:sz w:val="20"/>
                <w:szCs w:val="20"/>
              </w:rPr>
              <w:t xml:space="preserve">1167.5</w:t>
            </w:r>
          </w:p>
        </w:tc>
        <w:tc>
          <w:tcPr>
            <w:tcW w:w="0" w:type="auto"/>
          </w:tcPr>
          <w:p>
            <w:pPr>
              <w:spacing w:line="240" w:lineRule="auto" w:before="0" w:after="0"/>
              <w:pStyle w:val="Compact"/>
            </w:pPr>
            <w:r>
              <w:rPr>
                <w:sz w:val="20"/>
                <w:szCs w:val="20"/>
              </w:rPr>
              <w:t xml:space="preserve">19.4861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CCiCap award table</w:t>
            </w:r>
          </w:p>
        </w:tc>
      </w:tr>
      <w:tr>
        <w:tc>
          <w:tcPr>
            <w:tcW w:w="0" w:type="auto"/>
          </w:tcPr>
          <w:p>
            <w:pPr>
              <w:spacing w:line="240" w:lineRule="auto" w:before="0" w:after="0"/>
              <w:pStyle w:val="Compact"/>
            </w:pPr>
            <w:r>
              <w:rPr>
                <w:sz w:val="20"/>
                <w:szCs w:val="20"/>
              </w:rPr>
              <w:t xml:space="preserve">CCiCap</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460</w:t>
            </w:r>
          </w:p>
        </w:tc>
        <w:tc>
          <w:tcPr>
            <w:tcW w:w="0" w:type="auto"/>
          </w:tcPr>
          <w:p>
            <w:pPr>
              <w:spacing w:line="240" w:lineRule="auto" w:before="0" w:after="0"/>
              <w:pStyle w:val="Compact"/>
            </w:pPr>
            <w:r>
              <w:rPr>
                <w:sz w:val="20"/>
                <w:szCs w:val="20"/>
              </w:rPr>
              <w:t xml:space="preserve">1167.5</w:t>
            </w:r>
          </w:p>
        </w:tc>
        <w:tc>
          <w:tcPr>
            <w:tcW w:w="0" w:type="auto"/>
          </w:tcPr>
          <w:p>
            <w:pPr>
              <w:spacing w:line="240" w:lineRule="auto" w:before="0" w:after="0"/>
              <w:pStyle w:val="Compact"/>
            </w:pPr>
            <w:r>
              <w:rPr>
                <w:sz w:val="20"/>
                <w:szCs w:val="20"/>
              </w:rPr>
              <w:t xml:space="preserve">39.4004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CCiCap award table</w:t>
            </w:r>
          </w:p>
        </w:tc>
      </w:tr>
      <w:tr>
        <w:tc>
          <w:tcPr>
            <w:tcW w:w="0" w:type="auto"/>
          </w:tcPr>
          <w:p>
            <w:pPr>
              <w:spacing w:line="240" w:lineRule="auto" w:before="0" w:after="0"/>
              <w:pStyle w:val="Compact"/>
            </w:pPr>
            <w:r>
              <w:rPr>
                <w:sz w:val="20"/>
                <w:szCs w:val="20"/>
              </w:rPr>
              <w:t xml:space="preserve">CPC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9.993</w:t>
            </w:r>
          </w:p>
        </w:tc>
        <w:tc>
          <w:tcPr>
            <w:tcW w:w="0" w:type="auto"/>
          </w:tcPr>
          <w:p>
            <w:pPr>
              <w:spacing w:line="240" w:lineRule="auto" w:before="0" w:after="0"/>
              <w:pStyle w:val="Compact"/>
            </w:pPr>
            <w:r>
              <w:rPr>
                <w:sz w:val="20"/>
                <w:szCs w:val="20"/>
              </w:rPr>
              <w:t xml:space="preserve">29.582</w:t>
            </w:r>
          </w:p>
        </w:tc>
        <w:tc>
          <w:tcPr>
            <w:tcW w:w="0" w:type="auto"/>
          </w:tcPr>
          <w:p>
            <w:pPr>
              <w:spacing w:line="240" w:lineRule="auto" w:before="0" w:after="0"/>
              <w:pStyle w:val="Compact"/>
            </w:pPr>
            <w:r>
              <w:rPr>
                <w:sz w:val="20"/>
                <w:szCs w:val="20"/>
              </w:rPr>
              <w:t xml:space="preserve">33.7807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CPC award table</w:t>
            </w:r>
          </w:p>
        </w:tc>
      </w:tr>
      <w:tr>
        <w:tc>
          <w:tcPr>
            <w:tcW w:w="0" w:type="auto"/>
          </w:tcPr>
          <w:p>
            <w:pPr>
              <w:spacing w:line="240" w:lineRule="auto" w:before="0" w:after="0"/>
              <w:pStyle w:val="Compact"/>
            </w:pPr>
            <w:r>
              <w:rPr>
                <w:sz w:val="20"/>
                <w:szCs w:val="20"/>
              </w:rPr>
              <w:t xml:space="preserve">CPC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Sierra Nevada</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29.582</w:t>
            </w:r>
          </w:p>
        </w:tc>
        <w:tc>
          <w:tcPr>
            <w:tcW w:w="0" w:type="auto"/>
          </w:tcPr>
          <w:p>
            <w:pPr>
              <w:spacing w:line="240" w:lineRule="auto" w:before="0" w:after="0"/>
              <w:pStyle w:val="Compact"/>
            </w:pPr>
            <w:r>
              <w:rPr>
                <w:sz w:val="20"/>
                <w:szCs w:val="20"/>
              </w:rPr>
              <w:t xml:space="preserve">33.8043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CPC award table</w:t>
            </w:r>
          </w:p>
        </w:tc>
      </w:tr>
      <w:tr>
        <w:tc>
          <w:tcPr>
            <w:tcW w:w="0" w:type="auto"/>
          </w:tcPr>
          <w:p>
            <w:pPr>
              <w:spacing w:line="240" w:lineRule="auto" w:before="0" w:after="0"/>
              <w:pStyle w:val="Compact"/>
            </w:pPr>
            <w:r>
              <w:rPr>
                <w:sz w:val="20"/>
                <w:szCs w:val="20"/>
              </w:rPr>
              <w:t xml:space="preserve">CPC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9.589</w:t>
            </w:r>
          </w:p>
        </w:tc>
        <w:tc>
          <w:tcPr>
            <w:tcW w:w="0" w:type="auto"/>
          </w:tcPr>
          <w:p>
            <w:pPr>
              <w:spacing w:line="240" w:lineRule="auto" w:before="0" w:after="0"/>
              <w:pStyle w:val="Compact"/>
            </w:pPr>
            <w:r>
              <w:rPr>
                <w:sz w:val="20"/>
                <w:szCs w:val="20"/>
              </w:rPr>
              <w:t xml:space="preserve">29.582</w:t>
            </w:r>
          </w:p>
        </w:tc>
        <w:tc>
          <w:tcPr>
            <w:tcW w:w="0" w:type="auto"/>
          </w:tcPr>
          <w:p>
            <w:pPr>
              <w:spacing w:line="240" w:lineRule="auto" w:before="0" w:after="0"/>
              <w:pStyle w:val="Compact"/>
            </w:pPr>
            <w:r>
              <w:rPr>
                <w:sz w:val="20"/>
                <w:szCs w:val="20"/>
              </w:rPr>
              <w:t xml:space="preserve">32.415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CPC award table</w:t>
            </w:r>
          </w:p>
        </w:tc>
      </w:tr>
      <w:tr>
        <w:tc>
          <w:tcPr>
            <w:tcW w:w="0" w:type="auto"/>
          </w:tcPr>
          <w:p>
            <w:pPr>
              <w:spacing w:line="240" w:lineRule="auto" w:before="0" w:after="0"/>
              <w:pStyle w:val="Compact"/>
            </w:pPr>
            <w:r>
              <w:rPr>
                <w:sz w:val="20"/>
                <w:szCs w:val="20"/>
              </w:rPr>
              <w:t xml:space="preserve">CCtCap</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4200</w:t>
            </w:r>
          </w:p>
        </w:tc>
        <w:tc>
          <w:tcPr>
            <w:tcW w:w="0" w:type="auto"/>
          </w:tcPr>
          <w:p>
            <w:pPr>
              <w:spacing w:line="240" w:lineRule="auto" w:before="0" w:after="0"/>
              <w:pStyle w:val="Compact"/>
            </w:pPr>
            <w:r>
              <w:rPr>
                <w:sz w:val="20"/>
                <w:szCs w:val="20"/>
              </w:rPr>
              <w:t xml:space="preserve">6800</w:t>
            </w:r>
          </w:p>
        </w:tc>
        <w:tc>
          <w:tcPr>
            <w:tcW w:w="0" w:type="auto"/>
          </w:tcPr>
          <w:p>
            <w:pPr>
              <w:spacing w:line="240" w:lineRule="auto" w:before="0" w:after="0"/>
              <w:pStyle w:val="Compact"/>
            </w:pPr>
            <w:r>
              <w:rPr>
                <w:sz w:val="20"/>
                <w:szCs w:val="20"/>
              </w:rPr>
              <w:t xml:space="preserve">61.7647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CCtCap award table</w:t>
            </w:r>
          </w:p>
        </w:tc>
      </w:tr>
      <w:tr>
        <w:tc>
          <w:tcPr>
            <w:tcW w:w="0" w:type="auto"/>
          </w:tcPr>
          <w:p>
            <w:pPr>
              <w:spacing w:line="240" w:lineRule="auto" w:before="0" w:after="0"/>
              <w:pStyle w:val="Compact"/>
            </w:pPr>
            <w:r>
              <w:rPr>
                <w:sz w:val="20"/>
                <w:szCs w:val="20"/>
              </w:rPr>
              <w:t xml:space="preserve">CCtCap</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6800</w:t>
            </w:r>
          </w:p>
        </w:tc>
        <w:tc>
          <w:tcPr>
            <w:tcW w:w="0" w:type="auto"/>
          </w:tcPr>
          <w:p>
            <w:pPr>
              <w:spacing w:line="240" w:lineRule="auto" w:before="0" w:after="0"/>
              <w:pStyle w:val="Compact"/>
            </w:pPr>
            <w:r>
              <w:rPr>
                <w:sz w:val="20"/>
                <w:szCs w:val="20"/>
              </w:rPr>
              <w:t xml:space="preserve">38.2353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CCtCap award table</w:t>
            </w:r>
          </w:p>
        </w:tc>
      </w:tr>
    </w:tbl>
    <w:bookmarkEnd w:id="149"/>
    <w:bookmarkStart w:id="150"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commitment_share_pct</w:t>
            </w:r>
          </w:p>
        </w:tc>
        <w:tc>
          <w:tcPr>
            <w:tcW w:w="0" w:type="auto"/>
          </w:tcPr>
          <w:p>
            <w:pPr>
              <w:spacing w:line="240" w:lineRule="auto" w:before="0" w:after="0"/>
              <w:pStyle w:val="Compact"/>
            </w:pPr>
            <w:r>
              <w:rPr>
                <w:sz w:val="20"/>
                <w:szCs w:val="20"/>
              </w:rPr>
              <w:t xml:space="preserve">Company award as a percentage of the total announced awards in the observed Commercial Crew phase</w:t>
            </w:r>
          </w:p>
        </w:tc>
        <w:tc>
          <w:tcPr>
            <w:tcW w:w="0" w:type="auto"/>
          </w:tcPr>
          <w:p>
            <w:pPr>
              <w:spacing w:line="240" w:lineRule="auto" w:before="0" w:after="0"/>
              <w:pStyle w:val="Compact"/>
            </w:pPr>
            <w:r>
              <w:rPr>
                <w:sz w:val="20"/>
                <w:szCs w:val="20"/>
              </w:rPr>
              <w:t xml:space="preserve">Computed from award values in NASA Commercial Crew Program Essentials</w:t>
            </w:r>
          </w:p>
        </w:tc>
      </w:tr>
      <w:tr>
        <w:tc>
          <w:tcPr>
            <w:tcW w:w="0" w:type="auto"/>
          </w:tcPr>
          <w:p>
            <w:pPr>
              <w:spacing w:line="240" w:lineRule="auto" w:before="0" w:after="0"/>
              <w:pStyle w:val="Compact"/>
            </w:pPr>
            <w:r>
              <w:rPr>
                <w:sz w:val="20"/>
                <w:szCs w:val="20"/>
              </w:rPr>
              <w:t xml:space="preserve">phase_index</w:t>
            </w:r>
          </w:p>
        </w:tc>
        <w:tc>
          <w:tcPr>
            <w:tcW w:w="0" w:type="auto"/>
          </w:tcPr>
          <w:p>
            <w:pPr>
              <w:spacing w:line="240" w:lineRule="auto" w:before="0" w:after="0"/>
              <w:pStyle w:val="Compact"/>
            </w:pPr>
            <w:r>
              <w:rPr>
                <w:sz w:val="20"/>
                <w:szCs w:val="20"/>
              </w:rPr>
              <w:t xml:space="preserve">Ordinal procurement maturity index from CCDev1 equals 1 through CCtCap equals 5</w:t>
            </w:r>
          </w:p>
        </w:tc>
        <w:tc>
          <w:tcPr>
            <w:tcW w:w="0" w:type="auto"/>
          </w:tcPr>
          <w:p>
            <w:pPr>
              <w:spacing w:line="240" w:lineRule="auto" w:before="0" w:after="0"/>
              <w:pStyle w:val="Compact"/>
            </w:pPr>
            <w:r>
              <w:rPr>
                <w:sz w:val="20"/>
                <w:szCs w:val="20"/>
              </w:rPr>
              <w:t xml:space="preserve">Constructed from NASA’s chronological Commercial Crew phase sequence</w:t>
            </w:r>
          </w:p>
        </w:tc>
      </w:tr>
      <w:tr>
        <w:tc>
          <w:tcPr>
            <w:tcW w:w="0" w:type="auto"/>
          </w:tcPr>
          <w:p>
            <w:pPr>
              <w:spacing w:line="240" w:lineRule="auto" w:before="0" w:after="0"/>
              <w:pStyle w:val="Compact"/>
            </w:pPr>
            <w:r>
              <w:rPr>
                <w:sz w:val="20"/>
                <w:szCs w:val="20"/>
              </w:rPr>
              <w:t xml:space="preserve">legacy_incumbent</w:t>
            </w:r>
          </w:p>
        </w:tc>
        <w:tc>
          <w:tcPr>
            <w:tcW w:w="0" w:type="auto"/>
          </w:tcPr>
          <w:p>
            <w:pPr>
              <w:spacing w:line="240" w:lineRule="auto" w:before="0" w:after="0"/>
              <w:pStyle w:val="Compact"/>
            </w:pPr>
            <w:r>
              <w:rPr>
                <w:sz w:val="20"/>
                <w:szCs w:val="20"/>
              </w:rPr>
              <w:t xml:space="preserve">Binary indicator for Boeing, United Launch Alliance, or ATK as established aerospace incumbents at program entry</w:t>
            </w:r>
          </w:p>
        </w:tc>
        <w:tc>
          <w:tcPr>
            <w:tcW w:w="0" w:type="auto"/>
          </w:tcPr>
          <w:p>
            <w:pPr>
              <w:spacing w:line="240" w:lineRule="auto" w:before="0" w:after="0"/>
              <w:pStyle w:val="Compact"/>
            </w:pPr>
            <w:r>
              <w:rPr>
                <w:sz w:val="20"/>
                <w:szCs w:val="20"/>
              </w:rPr>
              <w:t xml:space="preserve">Company classification applied before estimation from the participant identities in the NASA record</w:t>
            </w:r>
          </w:p>
        </w:tc>
      </w:tr>
    </w:tbl>
    <w:bookmarkEnd w:id="150"/>
    <w:bookmarkEnd w:id="151"/>
    <w:bookmarkEnd w:id="15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37" Type="http://schemas.openxmlformats.org/officeDocument/2006/relationships/image" Target="media/rId137.png"/><Relationship Id="rId145" Type="http://schemas.openxmlformats.org/officeDocument/2006/relationships/image" Target="media/rId145.png"/><Relationship Id="rId101" Type="http://schemas.openxmlformats.org/officeDocument/2006/relationships/hyperlink" Target="https://doi.org/10.1016/j.actaastro.2017.04.034" TargetMode="External"/><Relationship Id="rId96" Type="http://schemas.openxmlformats.org/officeDocument/2006/relationships/hyperlink" Target="https://doi.org/10.1016/j.actaastro.2019.08.031" TargetMode="External"/><Relationship Id="rId131" Type="http://schemas.openxmlformats.org/officeDocument/2006/relationships/hyperlink" Target="https://doi.org/10.1016/j.actaastro.2021.06.017" TargetMode="External"/><Relationship Id="rId124" Type="http://schemas.openxmlformats.org/officeDocument/2006/relationships/hyperlink" Target="https://doi.org/10.1016/j.actaastro.2024.01.039" TargetMode="External"/><Relationship Id="rId94" Type="http://schemas.openxmlformats.org/officeDocument/2006/relationships/hyperlink" Target="https://doi.org/10.1016/j.actaastro.2024.09.005" TargetMode="External"/><Relationship Id="rId120" Type="http://schemas.openxmlformats.org/officeDocument/2006/relationships/hyperlink" Target="https://doi.org/10.1016/j.actaastro.2024.11.050" TargetMode="External"/><Relationship Id="rId129" Type="http://schemas.openxmlformats.org/officeDocument/2006/relationships/hyperlink" Target="https://doi.org/10.1016/j.actaastro.2024.12.060" TargetMode="External"/><Relationship Id="rId133" Type="http://schemas.openxmlformats.org/officeDocument/2006/relationships/hyperlink" Target="https://doi.org/10.1016/j.actaastro.2025.06.029" TargetMode="External"/><Relationship Id="rId127" Type="http://schemas.openxmlformats.org/officeDocument/2006/relationships/hyperlink" Target="https://doi.org/10.1016/j.actaastro.2026.02.013" TargetMode="External"/><Relationship Id="rId122" Type="http://schemas.openxmlformats.org/officeDocument/2006/relationships/hyperlink" Target="https://doi.org/10.1016/j.actaastro.2026.03.026" TargetMode="External"/><Relationship Id="rId104" Type="http://schemas.openxmlformats.org/officeDocument/2006/relationships/hyperlink" Target="https://doi.org/10.1257/jep.32.2.173" TargetMode="External"/><Relationship Id="rId112" Type="http://schemas.openxmlformats.org/officeDocument/2006/relationships/hyperlink" Target="https://doi.org/10.64861/JHKF6115" TargetMode="External"/><Relationship Id="rId116" Type="http://schemas.openxmlformats.org/officeDocument/2006/relationships/hyperlink" Target="https://doi.org/10.64861/NRCS3123" TargetMode="External"/></Relationships>
</file>

<file path=word/_rels/footnotes.xml.rels><?xml version='1.0' encoding='UTF-8' standalone='yes'?>
<Relationships xmlns="http://schemas.openxmlformats.org/package/2006/relationships"><Relationship Id="rId101" Type="http://schemas.openxmlformats.org/officeDocument/2006/relationships/hyperlink" Target="https://doi.org/10.1016/j.actaastro.2017.04.034" TargetMode="External"/><Relationship Id="rId96" Type="http://schemas.openxmlformats.org/officeDocument/2006/relationships/hyperlink" Target="https://doi.org/10.1016/j.actaastro.2019.08.031" TargetMode="External"/><Relationship Id="rId131" Type="http://schemas.openxmlformats.org/officeDocument/2006/relationships/hyperlink" Target="https://doi.org/10.1016/j.actaastro.2021.06.017" TargetMode="External"/><Relationship Id="rId124" Type="http://schemas.openxmlformats.org/officeDocument/2006/relationships/hyperlink" Target="https://doi.org/10.1016/j.actaastro.2024.01.039" TargetMode="External"/><Relationship Id="rId94" Type="http://schemas.openxmlformats.org/officeDocument/2006/relationships/hyperlink" Target="https://doi.org/10.1016/j.actaastro.2024.09.005" TargetMode="External"/><Relationship Id="rId120" Type="http://schemas.openxmlformats.org/officeDocument/2006/relationships/hyperlink" Target="https://doi.org/10.1016/j.actaastro.2024.11.050" TargetMode="External"/><Relationship Id="rId129" Type="http://schemas.openxmlformats.org/officeDocument/2006/relationships/hyperlink" Target="https://doi.org/10.1016/j.actaastro.2024.12.060" TargetMode="External"/><Relationship Id="rId133" Type="http://schemas.openxmlformats.org/officeDocument/2006/relationships/hyperlink" Target="https://doi.org/10.1016/j.actaastro.2025.06.029" TargetMode="External"/><Relationship Id="rId127" Type="http://schemas.openxmlformats.org/officeDocument/2006/relationships/hyperlink" Target="https://doi.org/10.1016/j.actaastro.2026.02.013" TargetMode="External"/><Relationship Id="rId122" Type="http://schemas.openxmlformats.org/officeDocument/2006/relationships/hyperlink" Target="https://doi.org/10.1016/j.actaastro.2026.03.026" TargetMode="External"/><Relationship Id="rId104" Type="http://schemas.openxmlformats.org/officeDocument/2006/relationships/hyperlink" Target="https://doi.org/10.1257/jep.32.2.173" TargetMode="External"/><Relationship Id="rId112" Type="http://schemas.openxmlformats.org/officeDocument/2006/relationships/hyperlink" Target="https://doi.org/10.64861/JHKF6115" TargetMode="External"/><Relationship Id="rId116" Type="http://schemas.openxmlformats.org/officeDocument/2006/relationships/hyperlink" Target="https://doi.org/10.64861/NRCS31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Anchor-Tenant Multiplier: Do Government Purchase Commitments Crowd In or Crowd Out Private Investment in the Commercial Space Economy</dc:title>
  <dc:creator>Aisha Calder (1B-ECO-135)</dc:creator>
  <cp:keywords/>
  <dcterms:created xsi:type="dcterms:W3CDTF">2026-07-02T16:52:46Z</dcterms:created>
  <dcterms:modified xsi:type="dcterms:W3CDTF">2026-07-02T16:52:46Z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