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0e1027d011d55cab1bcf03549511141b76d40b8"/>
    <w:p>
      <w:pPr>
        <w:pStyle w:val="Heading1"/>
      </w:pPr>
      <w:r>
        <w:t xml:space="preserve">Attention Accumulation in Does the Learning Curve Hold for Reusable Launch A Wright-curve test of margina: A Learning-Curve Analysis of Citation Growth by Article Age</w:t>
      </w:r>
    </w:p>
    <w:bookmarkStart w:id="61" w:name="introduction"/>
    <w:p>
      <w:pPr>
        <w:pStyle w:val="Heading2"/>
      </w:pPr>
      <w:r>
        <w:t xml:space="preserve">1. Introduction</w:t>
      </w:r>
    </w:p>
    <w:p>
      <w:pPr>
        <w:pStyle w:val="FirstParagraph"/>
      </w:pPr>
      <w:r>
        <w:t xml:space="preserve">This empirical paper supports Idris Nakamura (1B-ECO-184) and the dissertation project</w:t>
      </w:r>
      <w:r>
        <w:t xml:space="preserve"> </w:t>
      </w:r>
      <w:r>
        <w:rPr>
          <w:i/>
          <w:iCs/>
        </w:rPr>
        <w:t xml:space="preserve">Does the Learning Curve Hold for Reusable Launch? A Wright-curve test of margina</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R2=8.319472859319443e-05, elasticity_b=0.020462334418683253, progress_ratio_2^b=1.0142844711961907. The exact term summary is: const coef=0.6893847539262609 p=0.19751714889048355; _ln_x coef=0.020462334418683253 p=0.9581603489394721.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Malcolm Davis, The Australian Strategic Policy Institute. Australia’s Emerging Space Policy – Defense Burden Sharing in Orbit and Space Situational Awareness (2020). [AMOS]</w:t>
      </w:r>
      <w:r>
        <w:t xml:space="preserve"> </w:t>
      </w:r>
      <w:bookmarkStart w:id="68" w:name="ref-2"/>
      <w:bookmarkEnd w:id="68"/>
      <w:r>
        <w:t xml:space="preserve">2. Liberty Shockley, U.S. Air Force; Robert Bettinger, U.S. Air Force. Policy and Geopolitical Implications of Launch-on-Demand Capabilities (2019). [AMOS]</w:t>
      </w:r>
      <w:r>
        <w:t xml:space="preserve"> </w:t>
      </w:r>
      <w:bookmarkStart w:id="69" w:name="ref-3"/>
      <w:bookmarkEnd w:id="69"/>
      <w:r>
        <w:t xml:space="preserve">3. Phillip Reid, The Boeing Company. Conceptual Framework for a Rapid Space Launch Capability (2023). doi:</w:t>
      </w:r>
      <w:r>
        <w:t xml:space="preserve"> </w:t>
      </w:r>
      <w:hyperlink r:id="rId70">
        <w:r>
          <w:rPr>
            <w:rStyle w:val="Hyperlink"/>
          </w:rPr>
          <w:t xml:space="preserve">10.64861/KYFU6858</w:t>
        </w:r>
      </w:hyperlink>
      <w:r>
        <w:t xml:space="preserve"> </w:t>
      </w:r>
      <w:bookmarkStart w:id="71" w:name="ref-4"/>
      <w:bookmarkEnd w:id="71"/>
      <w:r>
        <w:t xml:space="preserve">4. Alexander Agathanggelou, Defence Science and Technology Laboratory (DSTL); Ryan Houghton, Defence Science and Technology Laboratory (DSTL); Joshua Collyer, Defence Science and Technology Laboratory (DSTL); Joshua Davis, Defence Science and Technology Laboratory (DSTL); Nicholas Pallecaros, Defence Science and Technology Laboratory (DSTL). Machine Learning for Satellite Characterisation (2022). [AMOS]</w:t>
      </w:r>
      <w:r>
        <w:t xml:space="preserve"> </w:t>
      </w:r>
      <w:bookmarkStart w:id="72" w:name="ref-5"/>
      <w:bookmarkEnd w:id="72"/>
      <w:r>
        <w:t xml:space="preserve">5. David Garcia, Air Force Institute of Technology; Robert Bettinger, Air Force Institute of Technology; Carl Hartsfield, Air Force Institute of Technology. Simulated Debris Impact Testing of Additively Manufactured Origami Mirror Structure for Space-Based SSA (2023). doi:</w:t>
      </w:r>
      <w:r>
        <w:t xml:space="preserve"> </w:t>
      </w:r>
      <w:hyperlink r:id="rId73">
        <w:r>
          <w:rPr>
            <w:rStyle w:val="Hyperlink"/>
          </w:rPr>
          <w:t xml:space="preserve">10.64861/XQIE1415</w:t>
        </w:r>
      </w:hyperlink>
      <w:r>
        <w:t xml:space="preserve"> </w:t>
      </w:r>
      <w:bookmarkStart w:id="74" w:name="ref-6"/>
      <w:bookmarkEnd w:id="74"/>
      <w:r>
        <w:t xml:space="preserve">6. James Reilly, Booz Allen Hamilton; Matthew Blackford, Booz Allen Hamilton; Jillian Mueller, Booz Allen Hamilton. Challenges in Space Traffic Management (2023). doi:</w:t>
      </w:r>
      <w:r>
        <w:t xml:space="preserve"> </w:t>
      </w:r>
      <w:hyperlink r:id="rId75">
        <w:r>
          <w:rPr>
            <w:rStyle w:val="Hyperlink"/>
          </w:rPr>
          <w:t xml:space="preserve">10.64861/UCTN1793</w:t>
        </w:r>
      </w:hyperlink>
      <w:r>
        <w:t xml:space="preserve"> </w:t>
      </w:r>
      <w:bookmarkStart w:id="76" w:name="ref-7"/>
      <w:bookmarkEnd w:id="76"/>
      <w:r>
        <w:t xml:space="preserve">7. Harry She, LeoLabs; Chandler Phelps, LeoLabs; Owen Marshall, LeoLabs; Erin Dale, LeoLabs. Multi-Layered Machine Learning for Rapid LEO Object Characterization Leveraging Global Radar Data (2024). doi:</w:t>
      </w:r>
      <w:r>
        <w:t xml:space="preserve"> </w:t>
      </w:r>
      <w:hyperlink r:id="rId77">
        <w:r>
          <w:rPr>
            <w:rStyle w:val="Hyperlink"/>
          </w:rPr>
          <w:t xml:space="preserve">10.64861/WIDV9097</w:t>
        </w:r>
      </w:hyperlink>
      <w:r>
        <w:t xml:space="preserve"> </w:t>
      </w:r>
      <w:bookmarkStart w:id="78" w:name="ref-8"/>
      <w:bookmarkEnd w:id="78"/>
      <w:r>
        <w:t xml:space="preserve">8. William Dupree, Aptima, Inc.; Louis Penafiel, Aptima, Inc.; Thomas Gemmer, Aptima, Inc.. Time Forecasting Satellite Light Curve Patterns using Neural Networks (2021). [AMOS]</w:t>
      </w:r>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0.535</w:t>
            </w:r>
          </w:p>
        </w:tc>
        <w:tc>
          <w:tcPr>
            <w:tcW w:w="0" w:type="auto"/>
          </w:tcPr>
          <w:p>
            <w:pPr>
              <w:spacing w:line="240" w:lineRule="auto" w:before="0" w:after="0"/>
              <w:pStyle w:val="Compact"/>
            </w:pPr>
            <w:r>
              <w:rPr>
                <w:sz w:val="20"/>
                <w:szCs w:val="20"/>
              </w:rPr>
              <w:t xml:space="preserve">1.2887</w:t>
            </w:r>
          </w:p>
        </w:tc>
        <w:tc>
          <w:tcPr>
            <w:tcW w:w="0" w:type="auto"/>
          </w:tcPr>
          <w:p>
            <w:pPr>
              <w:spacing w:line="240" w:lineRule="auto" w:before="0" w:after="0"/>
              <w:pStyle w:val="Compact"/>
            </w:pPr>
            <w:r>
              <w:rPr>
                <w:sz w:val="20"/>
                <w:szCs w:val="20"/>
              </w:rPr>
              <w:t xml:space="preserve">0.1975</w:t>
            </w:r>
          </w:p>
        </w:tc>
        <w:tc>
          <w:tcPr>
            <w:tcW w:w="0" w:type="auto"/>
          </w:tcPr>
          <w:p>
            <w:pPr>
              <w:spacing w:line="240" w:lineRule="auto" w:before="0" w:after="0"/>
              <w:pStyle w:val="Compact"/>
            </w:pPr>
            <w:r>
              <w:rPr>
                <w:sz w:val="20"/>
                <w:szCs w:val="20"/>
              </w:rPr>
              <w:t xml:space="preserve">[-0.3591, 1.7379]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0.0525</w:t>
            </w:r>
          </w:p>
        </w:tc>
        <w:tc>
          <w:tcPr>
            <w:tcW w:w="0" w:type="auto"/>
          </w:tcPr>
          <w:p>
            <w:pPr>
              <w:spacing w:line="240" w:lineRule="auto" w:before="0" w:after="0"/>
              <w:pStyle w:val="Compact"/>
            </w:pPr>
            <w:r>
              <w:rPr>
                <w:sz w:val="20"/>
                <w:szCs w:val="20"/>
              </w:rPr>
              <w:t xml:space="preserve">0.9582</w:t>
            </w:r>
          </w:p>
        </w:tc>
        <w:tc>
          <w:tcPr>
            <w:tcW w:w="0" w:type="auto"/>
          </w:tcPr>
          <w:p>
            <w:pPr>
              <w:spacing w:line="240" w:lineRule="auto" w:before="0" w:after="0"/>
              <w:pStyle w:val="Compact"/>
            </w:pPr>
            <w:r>
              <w:rPr>
                <w:sz w:val="20"/>
                <w:szCs w:val="20"/>
              </w:rPr>
              <w:t xml:space="preserve">[-0.744, 0.7849]</w:t>
            </w:r>
          </w:p>
        </w:tc>
      </w:tr>
    </w:tbl>
    <w:p>
      <w:pPr>
        <w:pStyle w:val="BodyText"/>
      </w:pPr>
      <w:r>
        <w:t xml:space="preserve">Fit: N = 30 R2 = 8.319e-05 elasticity_b = 0.0205 progress_ratio_2^b = 1.0143</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PACE_ECON_02\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https://amostech.space/year/2022/machine-learning-for-satellite-characterisation/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10.64861/XQIE1415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10.64861/WIDV9097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https://amostech.space/year/2021/time-forecasting-satellite-light-curve-patterns-using-neural-networks/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https://amostech.space/year/2022/multi-phenomenology-characterization-of-space-objects-using-reinforcement-learning/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https://amostech.space/year/2019/the-elsa-d-end-of-life-debris-removal-mission-mission-design-in-flight-safety-and-preparations-for-launch/</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10.64861/EDZZ5471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10.1016/j.actaastro.2020.07.037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10.1016/j.actaastro.2022.05.040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10.1016/j.actaastro.2022.12.044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10.1016/j.actaastro.2019.11.034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10.1016/j.actaastro.2018.06.018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10.1016/j.actaastro.2025.01.029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10.1016/j.actaastro.2024.12.014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10.1016/j.actaastro.2024.01.024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10.1016/j.actaastro.2025.11.048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10.1016/j.actaastro.2024.09.024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10.1257/jep.32.2.173</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the Final Economic Frontier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0.535</w:t>
            </w:r>
          </w:p>
        </w:tc>
        <w:tc>
          <w:tcPr>
            <w:tcW w:w="0" w:type="auto"/>
          </w:tcPr>
          <w:p>
            <w:pPr>
              <w:spacing w:line="240" w:lineRule="auto" w:before="0" w:after="0"/>
              <w:pStyle w:val="Compact"/>
            </w:pPr>
            <w:r>
              <w:rPr>
                <w:sz w:val="20"/>
                <w:szCs w:val="20"/>
              </w:rPr>
              <w:t xml:space="preserve">1.2887</w:t>
            </w:r>
          </w:p>
        </w:tc>
        <w:tc>
          <w:tcPr>
            <w:tcW w:w="0" w:type="auto"/>
          </w:tcPr>
          <w:p>
            <w:pPr>
              <w:spacing w:line="240" w:lineRule="auto" w:before="0" w:after="0"/>
              <w:pStyle w:val="Compact"/>
            </w:pPr>
            <w:r>
              <w:rPr>
                <w:sz w:val="20"/>
                <w:szCs w:val="20"/>
              </w:rPr>
              <w:t xml:space="preserve">0.1975</w:t>
            </w:r>
          </w:p>
        </w:tc>
        <w:tc>
          <w:tcPr>
            <w:tcW w:w="0" w:type="auto"/>
          </w:tcPr>
          <w:p>
            <w:pPr>
              <w:spacing w:line="240" w:lineRule="auto" w:before="0" w:after="0"/>
              <w:pStyle w:val="Compact"/>
            </w:pPr>
            <w:r>
              <w:rPr>
                <w:sz w:val="20"/>
                <w:szCs w:val="20"/>
              </w:rPr>
              <w:t xml:space="preserve">[-0.3591, 1.7379]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0.0525</w:t>
            </w:r>
          </w:p>
        </w:tc>
        <w:tc>
          <w:tcPr>
            <w:tcW w:w="0" w:type="auto"/>
          </w:tcPr>
          <w:p>
            <w:pPr>
              <w:spacing w:line="240" w:lineRule="auto" w:before="0" w:after="0"/>
              <w:pStyle w:val="Compact"/>
            </w:pPr>
            <w:r>
              <w:rPr>
                <w:sz w:val="20"/>
                <w:szCs w:val="20"/>
              </w:rPr>
              <w:t xml:space="preserve">0.9582</w:t>
            </w:r>
          </w:p>
        </w:tc>
        <w:tc>
          <w:tcPr>
            <w:tcW w:w="0" w:type="auto"/>
          </w:tcPr>
          <w:p>
            <w:pPr>
              <w:spacing w:line="240" w:lineRule="auto" w:before="0" w:after="0"/>
              <w:pStyle w:val="Compact"/>
            </w:pPr>
            <w:r>
              <w:rPr>
                <w:sz w:val="20"/>
                <w:szCs w:val="20"/>
              </w:rPr>
              <w:t xml:space="preserve">[-0.744, 0.7849]</w:t>
            </w:r>
          </w:p>
        </w:tc>
      </w:tr>
    </w:tbl>
    <w:p>
      <w:pPr>
        <w:pStyle w:val="BodyText"/>
      </w:pPr>
      <w:r>
        <w:t xml:space="preserve">Fit: N = 30 R2 = 8.319e-05 elasticity_b = 0.0205 progress_ratio_2^b = 1.0143</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0" Target="https://doi.org/10.64861/KYFU6858" TargetMode="External" /><Relationship Type="http://schemas.openxmlformats.org/officeDocument/2006/relationships/hyperlink" Id="rId75" Target="https://doi.org/10.64861/UCTN1793" TargetMode="External" /><Relationship Type="http://schemas.openxmlformats.org/officeDocument/2006/relationships/hyperlink" Id="rId77" Target="https://doi.org/10.64861/WIDV9097" TargetMode="External" /><Relationship Type="http://schemas.openxmlformats.org/officeDocument/2006/relationships/hyperlink" Id="rId73" Target="https://doi.org/10.64861/XQIE1415"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KYFU6858" TargetMode="External" /><Relationship Type="http://schemas.openxmlformats.org/officeDocument/2006/relationships/hyperlink" Id="rId75" Target="https://doi.org/10.64861/UCTN1793" TargetMode="External" /><Relationship Type="http://schemas.openxmlformats.org/officeDocument/2006/relationships/hyperlink" Id="rId77" Target="https://doi.org/10.64861/WIDV9097" TargetMode="External" /><Relationship Type="http://schemas.openxmlformats.org/officeDocument/2006/relationships/hyperlink" Id="rId73" Target="https://doi.org/10.64861/XQIE14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2026-06-28T19:57:08Z</dcterms:created>
  <dcterms:modified xsi:type="dcterms:W3CDTF">2026-06-28T19:57:08Z</dcterms:modified>
</cp:coreProperties>
</file>

<file path=docProps/custom.xml><?xml version="1.0" encoding="utf-8"?>
<Properties xmlns="http://schemas.openxmlformats.org/officeDocument/2006/custom-properties" xmlns:vt="http://schemas.openxmlformats.org/officeDocument/2006/docPropsVTypes"/>
</file>