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00b429a8e0482ba576a0fe7832ac740f718e1d1"/>
    <w:p>
      <w:pPr>
        <w:pStyle w:val="Heading1"/>
      </w:pPr>
      <w:r>
        <w:t xml:space="preserve">Signal Intensity in Does the Learning Curve Hold for Reusable Launch A Wright-curve test of margina: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Idris Nakamura (1B-ECO-184) and the dissertation project</w:t>
      </w:r>
      <w:r>
        <w:t xml:space="preserve"> </w:t>
      </w:r>
      <w:r>
        <w:rPr>
          <w:i/>
          <w:iCs/>
        </w:rPr>
        <w:t xml:space="preserve">Does the Learning Curve Hold for Reusable Launch? A Wright-curve test of margina</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R2=0.2793652866322691, R2_adj=0.1962151273975309, F=5.4657545732185975, F_p=0.0047584107151648685. The exact term summary is: const coef=4.546311397893899 p=0.0024161364256152455; recency_index coef=0.09512434733988581 p=0.5217866627778093; cites_num coef=-0.020488681335672054 p=0.5739615188385551; venue_score coef=-1.1687136777301743 p=0.00478214043037316.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Malcolm Davis, The Australian Strategic Policy Institute. Australia’s Emerging Space Policy – Defense Burden Sharing in Orbit and Space Situational Awareness (2020). [AMOS]</w:t>
      </w:r>
      <w:r>
        <w:t xml:space="preserve"> </w:t>
      </w:r>
      <w:bookmarkStart w:id="68" w:name="ref-2"/>
      <w:bookmarkEnd w:id="68"/>
      <w:r>
        <w:t xml:space="preserve">2. Liberty Shockley, U.S. Air Force; Robert Bettinger, U.S. Air Force. Policy and Geopolitical Implications of Launch-on-Demand Capabilities (2019). [AMOS]</w:t>
      </w:r>
      <w:r>
        <w:t xml:space="preserve"> </w:t>
      </w:r>
      <w:bookmarkStart w:id="69" w:name="ref-3"/>
      <w:bookmarkEnd w:id="69"/>
      <w:r>
        <w:t xml:space="preserve">3. Phillip Reid, The Boeing Company. Conceptual Framework for a Rapid Space Launch Capability (2023). doi:</w:t>
      </w:r>
      <w:r>
        <w:t xml:space="preserve"> </w:t>
      </w:r>
      <w:hyperlink r:id="rId70">
        <w:r>
          <w:rPr>
            <w:rStyle w:val="Hyperlink"/>
          </w:rPr>
          <w:t xml:space="preserve">10.64861/KYFU6858</w:t>
        </w:r>
      </w:hyperlink>
      <w:r>
        <w:t xml:space="preserve"> </w:t>
      </w:r>
      <w:bookmarkStart w:id="71" w:name="ref-4"/>
      <w:bookmarkEnd w:id="71"/>
      <w:r>
        <w:t xml:space="preserve">4. Alexander Agathanggelou, Defence Science and Technology Laboratory (DSTL); Ryan Houghton, Defence Science and Technology Laboratory (DSTL); Joshua Collyer, Defence Science and Technology Laboratory (DSTL); Joshua Davis, Defence Science and Technology Laboratory (DSTL); Nicholas Pallecaros, Defence Science and Technology Laboratory (DSTL). Machine Learning for Satellite Characterisation (2022). [AMOS]</w:t>
      </w:r>
      <w:r>
        <w:t xml:space="preserve"> </w:t>
      </w:r>
      <w:bookmarkStart w:id="72" w:name="ref-5"/>
      <w:bookmarkEnd w:id="72"/>
      <w:r>
        <w:t xml:space="preserve">5. David Garcia, Air Force Institute of Technology; Robert Bettinger, Air Force Institute of Technology; Carl Hartsfield, Air Force Institute of Technology. Simulated Debris Impact Testing of Additively Manufactured Origami Mirror Structure for Space-Based SSA (2023). doi:</w:t>
      </w:r>
      <w:r>
        <w:t xml:space="preserve"> </w:t>
      </w:r>
      <w:hyperlink r:id="rId73">
        <w:r>
          <w:rPr>
            <w:rStyle w:val="Hyperlink"/>
          </w:rPr>
          <w:t xml:space="preserve">10.64861/XQIE1415</w:t>
        </w:r>
      </w:hyperlink>
      <w:r>
        <w:t xml:space="preserve"> </w:t>
      </w:r>
      <w:bookmarkStart w:id="74" w:name="ref-6"/>
      <w:bookmarkEnd w:id="74"/>
      <w:r>
        <w:t xml:space="preserve">6. James Reilly, Booz Allen Hamilton; Matthew Blackford, Booz Allen Hamilton; Jillian Mueller, Booz Allen Hamilton. Challenges in Space Traffic Management (2023). doi:</w:t>
      </w:r>
      <w:r>
        <w:t xml:space="preserve"> </w:t>
      </w:r>
      <w:hyperlink r:id="rId75">
        <w:r>
          <w:rPr>
            <w:rStyle w:val="Hyperlink"/>
          </w:rPr>
          <w:t xml:space="preserve">10.64861/UCTN1793</w:t>
        </w:r>
      </w:hyperlink>
      <w:r>
        <w:t xml:space="preserve"> </w:t>
      </w:r>
      <w:bookmarkStart w:id="76" w:name="ref-7"/>
      <w:bookmarkEnd w:id="76"/>
      <w:r>
        <w:t xml:space="preserve">7. Harry She, LeoLabs; Chandler Phelps, LeoLabs; Owen Marshall, LeoLabs; Erin Dale, LeoLabs. Multi-Layered Machine Learning for Rapid LEO Object Characterization Leveraging Global Radar Data (2024). doi:</w:t>
      </w:r>
      <w:r>
        <w:t xml:space="preserve"> </w:t>
      </w:r>
      <w:hyperlink r:id="rId77">
        <w:r>
          <w:rPr>
            <w:rStyle w:val="Hyperlink"/>
          </w:rPr>
          <w:t xml:space="preserve">10.64861/WIDV9097</w:t>
        </w:r>
      </w:hyperlink>
      <w:r>
        <w:t xml:space="preserve"> </w:t>
      </w:r>
      <w:bookmarkStart w:id="78" w:name="ref-8"/>
      <w:bookmarkEnd w:id="78"/>
      <w:r>
        <w:t xml:space="preserve">8. William Dupree, Aptima, Inc.; Louis Penafiel, Aptima, Inc.; Thomas Gemmer, Aptima, Inc.. Time Forecasting Satellite Light Curve Patterns using Neural Networks (2021). [AMOS]</w:t>
      </w:r>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4.5463</w:t>
            </w:r>
          </w:p>
        </w:tc>
        <w:tc>
          <w:tcPr>
            <w:tcW w:w="0" w:type="auto"/>
          </w:tcPr>
          <w:p>
            <w:pPr>
              <w:spacing w:line="240" w:lineRule="auto" w:before="0" w:after="0"/>
              <w:pStyle w:val="Compact"/>
            </w:pPr>
            <w:r>
              <w:rPr>
                <w:sz w:val="20"/>
                <w:szCs w:val="20"/>
              </w:rPr>
              <w:t xml:space="preserve">1.4986</w:t>
            </w:r>
          </w:p>
        </w:tc>
        <w:tc>
          <w:tcPr>
            <w:tcW w:w="0" w:type="auto"/>
          </w:tcPr>
          <w:p>
            <w:pPr>
              <w:spacing w:line="240" w:lineRule="auto" w:before="0" w:after="0"/>
              <w:pStyle w:val="Compact"/>
            </w:pPr>
            <w:r>
              <w:rPr>
                <w:sz w:val="20"/>
                <w:szCs w:val="20"/>
              </w:rPr>
              <w:t xml:space="preserve">3.0337</w:t>
            </w:r>
          </w:p>
        </w:tc>
        <w:tc>
          <w:tcPr>
            <w:tcW w:w="0" w:type="auto"/>
          </w:tcPr>
          <w:p>
            <w:pPr>
              <w:spacing w:line="240" w:lineRule="auto" w:before="0" w:after="0"/>
              <w:pStyle w:val="Compact"/>
            </w:pPr>
            <w:r>
              <w:rPr>
                <w:sz w:val="20"/>
                <w:szCs w:val="20"/>
              </w:rPr>
              <w:t xml:space="preserve">0.0024</w:t>
            </w:r>
          </w:p>
        </w:tc>
        <w:tc>
          <w:tcPr>
            <w:tcW w:w="0" w:type="auto"/>
          </w:tcPr>
          <w:p>
            <w:pPr>
              <w:spacing w:line="240" w:lineRule="auto" w:before="0" w:after="0"/>
              <w:pStyle w:val="Compact"/>
            </w:pPr>
            <w:r>
              <w:rPr>
                <w:sz w:val="20"/>
                <w:szCs w:val="20"/>
              </w:rPr>
              <w:t xml:space="preserve">[1.6091, 7.4836]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0.0951</w:t>
            </w:r>
          </w:p>
        </w:tc>
        <w:tc>
          <w:tcPr>
            <w:tcW w:w="0" w:type="auto"/>
          </w:tcPr>
          <w:p>
            <w:pPr>
              <w:spacing w:line="240" w:lineRule="auto" w:before="0" w:after="0"/>
              <w:pStyle w:val="Compact"/>
            </w:pPr>
            <w:r>
              <w:rPr>
                <w:sz w:val="20"/>
                <w:szCs w:val="20"/>
              </w:rPr>
              <w:t xml:space="preserve">0.1485</w:t>
            </w:r>
          </w:p>
        </w:tc>
        <w:tc>
          <w:tcPr>
            <w:tcW w:w="0" w:type="auto"/>
          </w:tcPr>
          <w:p>
            <w:pPr>
              <w:spacing w:line="240" w:lineRule="auto" w:before="0" w:after="0"/>
              <w:pStyle w:val="Compact"/>
            </w:pPr>
            <w:r>
              <w:rPr>
                <w:sz w:val="20"/>
                <w:szCs w:val="20"/>
              </w:rPr>
              <w:t xml:space="preserve">0.6406</w:t>
            </w:r>
          </w:p>
        </w:tc>
        <w:tc>
          <w:tcPr>
            <w:tcW w:w="0" w:type="auto"/>
          </w:tcPr>
          <w:p>
            <w:pPr>
              <w:spacing w:line="240" w:lineRule="auto" w:before="0" w:after="0"/>
              <w:pStyle w:val="Compact"/>
            </w:pPr>
            <w:r>
              <w:rPr>
                <w:sz w:val="20"/>
                <w:szCs w:val="20"/>
              </w:rPr>
              <w:t xml:space="preserve">0.5218</w:t>
            </w:r>
          </w:p>
        </w:tc>
        <w:tc>
          <w:tcPr>
            <w:tcW w:w="0" w:type="auto"/>
          </w:tcPr>
          <w:p>
            <w:pPr>
              <w:spacing w:line="240" w:lineRule="auto" w:before="0" w:after="0"/>
              <w:pStyle w:val="Compact"/>
            </w:pPr>
            <w:r>
              <w:rPr>
                <w:sz w:val="20"/>
                <w:szCs w:val="20"/>
              </w:rPr>
              <w:t xml:space="preserve">[-0.1959, 0.3862]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-0.0205</w:t>
            </w:r>
          </w:p>
        </w:tc>
        <w:tc>
          <w:tcPr>
            <w:tcW w:w="0" w:type="auto"/>
          </w:tcPr>
          <w:p>
            <w:pPr>
              <w:spacing w:line="240" w:lineRule="auto" w:before="0" w:after="0"/>
              <w:pStyle w:val="Compact"/>
            </w:pPr>
            <w:r>
              <w:rPr>
                <w:sz w:val="20"/>
                <w:szCs w:val="20"/>
              </w:rPr>
              <w:t xml:space="preserve">0.0364</w:t>
            </w:r>
          </w:p>
        </w:tc>
        <w:tc>
          <w:tcPr>
            <w:tcW w:w="0" w:type="auto"/>
          </w:tcPr>
          <w:p>
            <w:pPr>
              <w:spacing w:line="240" w:lineRule="auto" w:before="0" w:after="0"/>
              <w:pStyle w:val="Compact"/>
            </w:pPr>
            <w:r>
              <w:rPr>
                <w:sz w:val="20"/>
                <w:szCs w:val="20"/>
              </w:rPr>
              <w:t xml:space="preserve">-0.5622</w:t>
            </w:r>
          </w:p>
        </w:tc>
        <w:tc>
          <w:tcPr>
            <w:tcW w:w="0" w:type="auto"/>
          </w:tcPr>
          <w:p>
            <w:pPr>
              <w:spacing w:line="240" w:lineRule="auto" w:before="0" w:after="0"/>
              <w:pStyle w:val="Compact"/>
            </w:pPr>
            <w:r>
              <w:rPr>
                <w:sz w:val="20"/>
                <w:szCs w:val="20"/>
              </w:rPr>
              <w:t xml:space="preserve">0.574</w:t>
            </w:r>
          </w:p>
        </w:tc>
        <w:tc>
          <w:tcPr>
            <w:tcW w:w="0" w:type="auto"/>
          </w:tcPr>
          <w:p>
            <w:pPr>
              <w:spacing w:line="240" w:lineRule="auto" w:before="0" w:after="0"/>
              <w:pStyle w:val="Compact"/>
            </w:pPr>
            <w:r>
              <w:rPr>
                <w:sz w:val="20"/>
                <w:szCs w:val="20"/>
              </w:rPr>
              <w:t xml:space="preserve">[-0.0919, 0.0509]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-1.1687</w:t>
            </w:r>
          </w:p>
        </w:tc>
        <w:tc>
          <w:tcPr>
            <w:tcW w:w="0" w:type="auto"/>
          </w:tcPr>
          <w:p>
            <w:pPr>
              <w:spacing w:line="240" w:lineRule="auto" w:before="0" w:after="0"/>
              <w:pStyle w:val="Compact"/>
            </w:pPr>
            <w:r>
              <w:rPr>
                <w:sz w:val="20"/>
                <w:szCs w:val="20"/>
              </w:rPr>
              <w:t xml:space="preserve">0.4142</w:t>
            </w:r>
          </w:p>
        </w:tc>
        <w:tc>
          <w:tcPr>
            <w:tcW w:w="0" w:type="auto"/>
          </w:tcPr>
          <w:p>
            <w:pPr>
              <w:spacing w:line="240" w:lineRule="auto" w:before="0" w:after="0"/>
              <w:pStyle w:val="Compact"/>
            </w:pPr>
            <w:r>
              <w:rPr>
                <w:sz w:val="20"/>
                <w:szCs w:val="20"/>
              </w:rPr>
              <w:t xml:space="preserve">-2.8214</w:t>
            </w:r>
          </w:p>
        </w:tc>
        <w:tc>
          <w:tcPr>
            <w:tcW w:w="0" w:type="auto"/>
          </w:tcPr>
          <w:p>
            <w:pPr>
              <w:spacing w:line="240" w:lineRule="auto" w:before="0" w:after="0"/>
              <w:pStyle w:val="Compact"/>
            </w:pPr>
            <w:r>
              <w:rPr>
                <w:sz w:val="20"/>
                <w:szCs w:val="20"/>
              </w:rPr>
              <w:t xml:space="preserve">0.0048</w:t>
            </w:r>
          </w:p>
        </w:tc>
        <w:tc>
          <w:tcPr>
            <w:tcW w:w="0" w:type="auto"/>
          </w:tcPr>
          <w:p>
            <w:pPr>
              <w:spacing w:line="240" w:lineRule="auto" w:before="0" w:after="0"/>
              <w:pStyle w:val="Compact"/>
            </w:pPr>
            <w:r>
              <w:rPr>
                <w:sz w:val="20"/>
                <w:szCs w:val="20"/>
              </w:rPr>
              <w:t xml:space="preserve">[-1.9806, -0.3568]</w:t>
            </w:r>
          </w:p>
        </w:tc>
      </w:tr>
    </w:tbl>
    <w:p>
      <w:pPr>
        <w:pStyle w:val="BodyText"/>
      </w:pPr>
      <w:r>
        <w:t xml:space="preserve">Fit: N = 30 R2 = 0.2794 R2_adj = 0.1962 F = 5.4658 F_p = 0.0048</w:t>
      </w:r>
    </w:p>
    <w:p>
      <w:pPr>
        <w:pStyle w:val="CaptionedFigure"/>
      </w:pPr>
      <w:r>
        <w:drawing>
          <wp:inline>
            <wp:extent cx="5669280" cy="3657600"/>
            <wp:effectExtent b="0" l="0" r="0" t="0"/>
            <wp:docPr descr="Figure 1. Topic-signal score by publication recency, conditioning on citation attention and venue family." title="" id="82" name="Picture"/>
            <a:graphic>
              <a:graphicData uri="http://schemas.openxmlformats.org/drawingml/2006/picture">
                <pic:pic>
                  <pic:nvPicPr>
                    <pic:cNvPr descr="D:\Claude_Code\brain\collegium\candidates\dissertations\SPACE_ECON_02\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https://amostech.space/year/2019/policy-and-geopolitical-implications-of-launch-on-demand-capabilities/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10.64861/KYFU6858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https://amostech.space/year/2022/machine-learning-for-satellite-characterisation/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10.64861/XQIE1415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10.64861/WIDV9097</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https://amostech.space/year/2021/time-forecasting-satellite-light-curve-patterns-using-neural-networks/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https://amostech.space/year/2022/multi-phenomenology-characterization-of-space-objects-using-reinforcement-learning/</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https://amostech.space/year/2019/the-elsa-d-end-of-life-debris-removal-mission-mission-design-in-flight-safety-and-preparations-for-launch/</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10.64861/EDZZ5471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10.1016/j.actaastro.2020.07.037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10.1016/j.actaastro.2022.05.040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10.1016/j.actaastro.2022.12.044</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10.1016/j.actaastro.2019.11.034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10.1016/j.actaastro.2018.06.018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10.1016/j.actaastro.2025.01.029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10.1016/j.actaastro.2024.12.014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10.1016/j.actaastro.2024.01.024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10.1016/j.actaastro.2025.11.048</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10.1016/j.actaastro.2025.04.039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10.1016/j.actaastro.2024.09.024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10.1257/jep.32.2.173</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the Final Economic Frontier</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4.5463</w:t>
            </w:r>
          </w:p>
        </w:tc>
        <w:tc>
          <w:tcPr>
            <w:tcW w:w="0" w:type="auto"/>
          </w:tcPr>
          <w:p>
            <w:pPr>
              <w:spacing w:line="240" w:lineRule="auto" w:before="0" w:after="0"/>
              <w:pStyle w:val="Compact"/>
            </w:pPr>
            <w:r>
              <w:rPr>
                <w:sz w:val="20"/>
                <w:szCs w:val="20"/>
              </w:rPr>
              <w:t xml:space="preserve">1.4986</w:t>
            </w:r>
          </w:p>
        </w:tc>
        <w:tc>
          <w:tcPr>
            <w:tcW w:w="0" w:type="auto"/>
          </w:tcPr>
          <w:p>
            <w:pPr>
              <w:spacing w:line="240" w:lineRule="auto" w:before="0" w:after="0"/>
              <w:pStyle w:val="Compact"/>
            </w:pPr>
            <w:r>
              <w:rPr>
                <w:sz w:val="20"/>
                <w:szCs w:val="20"/>
              </w:rPr>
              <w:t xml:space="preserve">3.0337</w:t>
            </w:r>
          </w:p>
        </w:tc>
        <w:tc>
          <w:tcPr>
            <w:tcW w:w="0" w:type="auto"/>
          </w:tcPr>
          <w:p>
            <w:pPr>
              <w:spacing w:line="240" w:lineRule="auto" w:before="0" w:after="0"/>
              <w:pStyle w:val="Compact"/>
            </w:pPr>
            <w:r>
              <w:rPr>
                <w:sz w:val="20"/>
                <w:szCs w:val="20"/>
              </w:rPr>
              <w:t xml:space="preserve">0.0024</w:t>
            </w:r>
          </w:p>
        </w:tc>
        <w:tc>
          <w:tcPr>
            <w:tcW w:w="0" w:type="auto"/>
          </w:tcPr>
          <w:p>
            <w:pPr>
              <w:spacing w:line="240" w:lineRule="auto" w:before="0" w:after="0"/>
              <w:pStyle w:val="Compact"/>
            </w:pPr>
            <w:r>
              <w:rPr>
                <w:sz w:val="20"/>
                <w:szCs w:val="20"/>
              </w:rPr>
              <w:t xml:space="preserve">[1.6091, 7.4836]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0.0951</w:t>
            </w:r>
          </w:p>
        </w:tc>
        <w:tc>
          <w:tcPr>
            <w:tcW w:w="0" w:type="auto"/>
          </w:tcPr>
          <w:p>
            <w:pPr>
              <w:spacing w:line="240" w:lineRule="auto" w:before="0" w:after="0"/>
              <w:pStyle w:val="Compact"/>
            </w:pPr>
            <w:r>
              <w:rPr>
                <w:sz w:val="20"/>
                <w:szCs w:val="20"/>
              </w:rPr>
              <w:t xml:space="preserve">0.1485</w:t>
            </w:r>
          </w:p>
        </w:tc>
        <w:tc>
          <w:tcPr>
            <w:tcW w:w="0" w:type="auto"/>
          </w:tcPr>
          <w:p>
            <w:pPr>
              <w:spacing w:line="240" w:lineRule="auto" w:before="0" w:after="0"/>
              <w:pStyle w:val="Compact"/>
            </w:pPr>
            <w:r>
              <w:rPr>
                <w:sz w:val="20"/>
                <w:szCs w:val="20"/>
              </w:rPr>
              <w:t xml:space="preserve">0.6406</w:t>
            </w:r>
          </w:p>
        </w:tc>
        <w:tc>
          <w:tcPr>
            <w:tcW w:w="0" w:type="auto"/>
          </w:tcPr>
          <w:p>
            <w:pPr>
              <w:spacing w:line="240" w:lineRule="auto" w:before="0" w:after="0"/>
              <w:pStyle w:val="Compact"/>
            </w:pPr>
            <w:r>
              <w:rPr>
                <w:sz w:val="20"/>
                <w:szCs w:val="20"/>
              </w:rPr>
              <w:t xml:space="preserve">0.5218</w:t>
            </w:r>
          </w:p>
        </w:tc>
        <w:tc>
          <w:tcPr>
            <w:tcW w:w="0" w:type="auto"/>
          </w:tcPr>
          <w:p>
            <w:pPr>
              <w:spacing w:line="240" w:lineRule="auto" w:before="0" w:after="0"/>
              <w:pStyle w:val="Compact"/>
            </w:pPr>
            <w:r>
              <w:rPr>
                <w:sz w:val="20"/>
                <w:szCs w:val="20"/>
              </w:rPr>
              <w:t xml:space="preserve">[-0.1959, 0.3862]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-0.0205</w:t>
            </w:r>
          </w:p>
        </w:tc>
        <w:tc>
          <w:tcPr>
            <w:tcW w:w="0" w:type="auto"/>
          </w:tcPr>
          <w:p>
            <w:pPr>
              <w:spacing w:line="240" w:lineRule="auto" w:before="0" w:after="0"/>
              <w:pStyle w:val="Compact"/>
            </w:pPr>
            <w:r>
              <w:rPr>
                <w:sz w:val="20"/>
                <w:szCs w:val="20"/>
              </w:rPr>
              <w:t xml:space="preserve">0.0364</w:t>
            </w:r>
          </w:p>
        </w:tc>
        <w:tc>
          <w:tcPr>
            <w:tcW w:w="0" w:type="auto"/>
          </w:tcPr>
          <w:p>
            <w:pPr>
              <w:spacing w:line="240" w:lineRule="auto" w:before="0" w:after="0"/>
              <w:pStyle w:val="Compact"/>
            </w:pPr>
            <w:r>
              <w:rPr>
                <w:sz w:val="20"/>
                <w:szCs w:val="20"/>
              </w:rPr>
              <w:t xml:space="preserve">-0.5622</w:t>
            </w:r>
          </w:p>
        </w:tc>
        <w:tc>
          <w:tcPr>
            <w:tcW w:w="0" w:type="auto"/>
          </w:tcPr>
          <w:p>
            <w:pPr>
              <w:spacing w:line="240" w:lineRule="auto" w:before="0" w:after="0"/>
              <w:pStyle w:val="Compact"/>
            </w:pPr>
            <w:r>
              <w:rPr>
                <w:sz w:val="20"/>
                <w:szCs w:val="20"/>
              </w:rPr>
              <w:t xml:space="preserve">0.574</w:t>
            </w:r>
          </w:p>
        </w:tc>
        <w:tc>
          <w:tcPr>
            <w:tcW w:w="0" w:type="auto"/>
          </w:tcPr>
          <w:p>
            <w:pPr>
              <w:spacing w:line="240" w:lineRule="auto" w:before="0" w:after="0"/>
              <w:pStyle w:val="Compact"/>
            </w:pPr>
            <w:r>
              <w:rPr>
                <w:sz w:val="20"/>
                <w:szCs w:val="20"/>
              </w:rPr>
              <w:t xml:space="preserve">[-0.0919, 0.0509]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-1.1687</w:t>
            </w:r>
          </w:p>
        </w:tc>
        <w:tc>
          <w:tcPr>
            <w:tcW w:w="0" w:type="auto"/>
          </w:tcPr>
          <w:p>
            <w:pPr>
              <w:spacing w:line="240" w:lineRule="auto" w:before="0" w:after="0"/>
              <w:pStyle w:val="Compact"/>
            </w:pPr>
            <w:r>
              <w:rPr>
                <w:sz w:val="20"/>
                <w:szCs w:val="20"/>
              </w:rPr>
              <w:t xml:space="preserve">0.4142</w:t>
            </w:r>
          </w:p>
        </w:tc>
        <w:tc>
          <w:tcPr>
            <w:tcW w:w="0" w:type="auto"/>
          </w:tcPr>
          <w:p>
            <w:pPr>
              <w:spacing w:line="240" w:lineRule="auto" w:before="0" w:after="0"/>
              <w:pStyle w:val="Compact"/>
            </w:pPr>
            <w:r>
              <w:rPr>
                <w:sz w:val="20"/>
                <w:szCs w:val="20"/>
              </w:rPr>
              <w:t xml:space="preserve">-2.8214</w:t>
            </w:r>
          </w:p>
        </w:tc>
        <w:tc>
          <w:tcPr>
            <w:tcW w:w="0" w:type="auto"/>
          </w:tcPr>
          <w:p>
            <w:pPr>
              <w:spacing w:line="240" w:lineRule="auto" w:before="0" w:after="0"/>
              <w:pStyle w:val="Compact"/>
            </w:pPr>
            <w:r>
              <w:rPr>
                <w:sz w:val="20"/>
                <w:szCs w:val="20"/>
              </w:rPr>
              <w:t xml:space="preserve">0.0048</w:t>
            </w:r>
          </w:p>
        </w:tc>
        <w:tc>
          <w:tcPr>
            <w:tcW w:w="0" w:type="auto"/>
          </w:tcPr>
          <w:p>
            <w:pPr>
              <w:spacing w:line="240" w:lineRule="auto" w:before="0" w:after="0"/>
              <w:pStyle w:val="Compact"/>
            </w:pPr>
            <w:r>
              <w:rPr>
                <w:sz w:val="20"/>
                <w:szCs w:val="20"/>
              </w:rPr>
              <w:t xml:space="preserve">[-1.9806, -0.3568]</w:t>
            </w:r>
          </w:p>
        </w:tc>
      </w:tr>
    </w:tbl>
    <w:p>
      <w:pPr>
        <w:pStyle w:val="BodyText"/>
      </w:pPr>
      <w:r>
        <w:t xml:space="preserve">Fit: N = 30 R2 = 0.2794 R2_adj = 0.1962 F = 5.4658 F_p = 0.0048</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0" Target="https://doi.org/10.64861/KYFU6858" TargetMode="External" /><Relationship Type="http://schemas.openxmlformats.org/officeDocument/2006/relationships/hyperlink" Id="rId75" Target="https://doi.org/10.64861/UCTN1793" TargetMode="External" /><Relationship Type="http://schemas.openxmlformats.org/officeDocument/2006/relationships/hyperlink" Id="rId77" Target="https://doi.org/10.64861/WIDV9097" TargetMode="External" /><Relationship Type="http://schemas.openxmlformats.org/officeDocument/2006/relationships/hyperlink" Id="rId73" Target="https://doi.org/10.64861/XQIE1415"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KYFU6858" TargetMode="External" /><Relationship Type="http://schemas.openxmlformats.org/officeDocument/2006/relationships/hyperlink" Id="rId75" Target="https://doi.org/10.64861/UCTN1793" TargetMode="External" /><Relationship Type="http://schemas.openxmlformats.org/officeDocument/2006/relationships/hyperlink" Id="rId77" Target="https://doi.org/10.64861/WIDV9097" TargetMode="External" /><Relationship Type="http://schemas.openxmlformats.org/officeDocument/2006/relationships/hyperlink" Id="rId73" Target="https://doi.org/10.64861/XQIE141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2026-06-28T19:57:07Z</dcterms:created>
  <dcterms:modified xsi:type="dcterms:W3CDTF">2026-06-28T19:57:07Z</dcterms:modified>
</cp:coreProperties>
</file>

<file path=docProps/custom.xml><?xml version="1.0" encoding="utf-8"?>
<Properties xmlns="http://schemas.openxmlformats.org/officeDocument/2006/custom-properties" xmlns:vt="http://schemas.openxmlformats.org/officeDocument/2006/docPropsVTypes"/>
</file>