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THE LEARNING CURVE HOLD FOR REUSABLE LAUNCH? A WRIGHT-CURVE TEST OF MARGINA</w:t>
      </w:r>
    </w:p>
    <w:p>
      <w:pPr>
        <w:jc w:val="center"/>
      </w:pPr>
    </w:p>
    <w:p>
      <w:pPr>
        <w:jc w:val="center"/>
      </w:pPr>
      <w:r>
        <w:rPr>
          <w:rFonts w:ascii="Times New Roman" w:hAnsi="Times New Roman"/>
          <w:sz w:val="24"/>
        </w:rPr>
        <w:t>by</w:t>
      </w:r>
    </w:p>
    <w:p>
      <w:pPr>
        <w:jc w:val="center"/>
      </w:pPr>
      <w:r>
        <w:rPr>
          <w:rFonts w:ascii="Times New Roman" w:hAnsi="Times New Roman"/>
          <w:b/>
          <w:sz w:val="28"/>
        </w:rPr>
        <w:t>Idris Nakamura</w:t>
      </w:r>
    </w:p>
    <w:p>
      <w:pPr>
        <w:jc w:val="center"/>
      </w:pPr>
      <w:r>
        <w:rPr>
          <w:rFonts w:ascii="Times New Roman" w:hAnsi="Times New Roman"/>
          <w:sz w:val="24"/>
        </w:rPr>
        <w:t>1B-ECO-184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p>
      <w:pPr>
        <w:pStyle w:val="FirstParagraph"/>
        <w:spacing w:line="480" w:lineRule="auto"/>
      </w:pPr>
      <w:r>
        <w:t xml:space="preserve">Reusable launch was supposed to bend a cost curve. It has not, plainly. For six decades the dominant assumption behind orbital access held that each kilogram to low Earth orbit carried a roughly fixed price, set by expendable hardware that flew once and fell away. Reuse promised to break that assumption by spreading manufacturing cost across many flights of the same vehicle, and by letting operators learn from repetition the way aircraft builders once learned from producing the same airframe again and again. The learning curve is the formal name for that promise. It is also the promise this dissertation interrogates.</w:t>
      </w:r>
    </w:p>
    <w:p>
      <w:pPr>
        <w:pStyle w:val="BodyText"/>
        <w:spacing w:line="480" w:lineRule="auto"/>
        <w:ind w:firstLine="720"/>
      </w:pPr>
      <w:r>
        <w:t xml:space="preserve">The question is narrow, and deliberately so. Does the learning curve hold for reusable launch, in a form that leaves a measurable trace in the documentary and bibliometric record? A Wright-type curve predicts that unit cost declines by a constant fraction each time cumulative output doubles. That prediction is elegant, and it has organized a great deal of policy expectation about the space economy. The prediction is also hard to test directly, because unit-cost data for launch providers are proprietary, sparse, and frequently strategic rather than accounting-driven. Faced with that constraint, this project does not claim to measure launch prices. It measures something adjacent and honest: whether the topic of reusable-launch learning has become more visible in the retrieved literature over time, and whether that visibility is structured by publication recency, citation attention, and venue family in the way a genuinely accumulating field of knowledge would predict.</w:t>
      </w:r>
    </w:p>
    <w:p>
      <w:pPr>
        <w:pStyle w:val="BodyText"/>
        <w:spacing w:line="480" w:lineRule="auto"/>
        <w:ind w:firstLine="720"/>
      </w:pPr>
      <w:r>
        <w:t xml:space="preserve">That reframing matters. A dissertation in this pipeline earns its keep by leaving a reader with a traceable path from source selection to variables, to estimator output, to interpretation. The alternative, a confident narrative about falling launch costs unsupported by any inspectable estimator, is exactly the kind of claim the space-economy literature has too much of already. Early governance and technical writing on rapid and reusable access anticipated large downstream effects before institutions agreed on how to measure them</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design here treats that early visibility as data rather than as settled conclusion.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Space policy has a recurring failure mode. A capability becomes technically plausible, a community of advocates forms around it, and the expectation of transformative economic impact hardens into planning assumption well before the evidence base can support it. Reusable launch sits squarely inside that pattern. National strategy documents began treating responsive and reusable access as a burden-sharing and deterrence asset while the underlying cost economics remained contested</w:t>
      </w:r>
      <w:r>
        <w:t xml:space="preserve"> </w:t>
      </w:r>
      <w:hyperlink w:anchor="ref-1">
        <w:r>
          <w:rPr>
            <w:rStyle w:val="Hyperlink"/>
          </w:rPr>
          <w:t xml:space="preserve">[1]</w:t>
        </w:r>
      </w:hyperlink>
      <w:r>
        <w:t xml:space="preserve"> </w:t>
      </w:r>
      <w:hyperlink w:anchor="ref-2">
        <w:r>
          <w:rPr>
            <w:rStyle w:val="Hyperlink"/>
          </w:rPr>
          <w:t xml:space="preserve">[2]</w:t>
        </w:r>
      </w:hyperlink>
      <w:r>
        <w:t xml:space="preserve">. Conceptual frameworks for rapid launch capability were published as design aspirations rather than as validated cost models</w:t>
      </w:r>
      <w:r>
        <w:t xml:space="preserve"> </w:t>
      </w:r>
      <w:hyperlink w:anchor="ref-3">
        <w:r>
          <w:rPr>
            <w:rStyle w:val="Hyperlink"/>
          </w:rPr>
          <w:t xml:space="preserve">[3]</w:t>
        </w:r>
      </w:hyperlink>
      <w:r>
        <w:t xml:space="preserve">. The gap between what the community expected and what the record could demonstrate is the problem this dissertation addresses.</w:t>
      </w:r>
    </w:p>
    <w:p>
      <w:pPr>
        <w:pStyle w:val="BodyText"/>
        <w:spacing w:line="480" w:lineRule="auto"/>
        <w:ind w:firstLine="720"/>
      </w:pPr>
      <w:r>
        <w:t xml:space="preserve">Why does the gap matter beyond academic tidiness? Because acquisition decisions, allied burden-sharing arrangements, and long-range architecture choices are being made on the strength of the learning-curve intuition. If the curve holds, sustained public investment in reusable infrastructure compounds. If it does not hold, or holds far more weakly than the rhetoric implies, then the same investment buys a flatter cost trajectory and a different strategic calculus. A decision-maker deserves to know which world the evidence supports, and deserves to know when the available evidence cannot yet distinguish between them. Honest reporting of a weak result is itself a contribution, because it prevents a noisy signal from being loaded with more policy weight than it can bear.</w:t>
      </w:r>
    </w:p>
    <w:p>
      <w:pPr>
        <w:pStyle w:val="BodyText"/>
        <w:spacing w:line="480" w:lineRule="auto"/>
        <w:ind w:firstLine="720"/>
      </w:pPr>
      <w:r>
        <w:t xml:space="preserve">The measurement problem compounds the stakes. Launch is a domain where the most decision-relevant numbers are the least available. Providers do not publish marginal cost per flight. They publish list prices, which reflect market positioning as much as production economics. In that environment a researcher has two choices. One is to speculate. The other is to work with the evidence that is actually inspectable, the documentary and bibliometric record, and to state precisely what that record can and cannot show. This dissertation takes the second path, and it accepts the resulting modesty as the price of auditability.</w:t>
      </w:r>
    </w:p>
    <w:p>
      <w:pPr>
        <w:pStyle w:val="BodyText"/>
        <w:spacing w:line="480" w:lineRule="auto"/>
        <w:ind w:firstLine="720"/>
      </w:pPr>
      <w:r>
        <w:t xml:space="preserve">There is also a strategic dimension that raises the stakes further. Responsive and reusable launch has migrated from a purely commercial cost story into national security planning, where launch-on-demand is framed as a deterrence and resilience capability</w:t>
      </w:r>
      <w:r>
        <w:t xml:space="preserve"> </w:t>
      </w:r>
      <w:hyperlink w:anchor="ref-2">
        <w:r>
          <w:rPr>
            <w:rStyle w:val="Hyperlink"/>
          </w:rPr>
          <w:t xml:space="preserve">[2]</w:t>
        </w:r>
      </w:hyperlink>
      <w:r>
        <w:t xml:space="preserve">. When a technical assumption crosses into strategy, the cost of being wrong grows. An allied burden-sharing arrangement premised on a compounding cost decline behaves very differently if the decline is real than if it is a shared expectation with thin empirical footing</w:t>
      </w:r>
      <w:r>
        <w:t xml:space="preserve"> </w:t>
      </w:r>
      <w:hyperlink w:anchor="ref-1">
        <w:r>
          <w:rPr>
            <w:rStyle w:val="Hyperlink"/>
          </w:rPr>
          <w:t xml:space="preserve">[1]</w:t>
        </w:r>
      </w:hyperlink>
      <w:r>
        <w:t xml:space="preserve">. Getting the evidentiary status of the learning curve right is therefore not a bibliometric curiosity. It is a precondition for sound reasoning about how much of the space architecture to bet on reuse.</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This project makes one claim that can be proven wrong. Stated as a null and an alternative:</w:t>
      </w:r>
    </w:p>
    <w:p>
      <w:pPr>
        <w:pStyle w:val="BodyText"/>
        <w:spacing w:line="480" w:lineRule="auto"/>
        <w:ind w:firstLine="720"/>
      </w:pPr>
      <w:r>
        <w:rPr>
          <w:b/>
          <w:bCs/>
        </w:rPr>
        <w:t xml:space="preserve">H0:</w:t>
      </w:r>
      <w:r>
        <w:t xml:space="preserve"> </w:t>
      </w:r>
      <w:r>
        <w:t xml:space="preserve">the reusable-launch topic signal is unrelated to publication recency, citation attention, and venue family in the retrieved source corpus.</w:t>
      </w:r>
    </w:p>
    <w:p>
      <w:pPr>
        <w:pStyle w:val="BodyText"/>
        <w:spacing w:line="480" w:lineRule="auto"/>
        <w:ind w:firstLine="720"/>
      </w:pPr>
      <w:r>
        <w:rPr>
          <w:b/>
          <w:bCs/>
        </w:rPr>
        <w:t xml:space="preserve">H1:</w:t>
      </w:r>
      <w:r>
        <w:t xml:space="preserve"> </w:t>
      </w:r>
      <w:r>
        <w:t xml:space="preserve">the topic signal is systematically related to publication recency, citation attention, and venue family in that corpus, in the direction a genuinely accumulating field would predict.</w:t>
      </w:r>
    </w:p>
    <w:p>
      <w:pPr>
        <w:pStyle w:val="BodyText"/>
        <w:spacing w:line="480" w:lineRule="auto"/>
        <w:ind w:firstLine="720"/>
      </w:pPr>
      <w:r>
        <w:t xml:space="preserve">The contribution is not a launch-cost estimate. It is a disciplined test of whether the documentary footprint of reusable-launch learning behaves the way an accumulating knowledge domain should behave. Two estimators carry the test. The first is an ordinary least squares model of topic-signal intensity as a function of recency, citation count, and venue family. The second is a log-log learning-curve model of citation accumulation by article age, which borrows the Wright-curve functional form and applies it to attention rather than to cost. If the field were compounding the way the cost story implies, both estimators would return signed, precise coefficients pointing the same way. Whether they do is an empirical question answered in Chapter 6, not a foregone conclusion.</w:t>
      </w:r>
    </w:p>
    <w:p>
      <w:pPr>
        <w:pStyle w:val="BodyText"/>
        <w:spacing w:line="480" w:lineRule="auto"/>
        <w:ind w:firstLine="720"/>
      </w:pPr>
      <w:r>
        <w:t xml:space="preserve">The value of a single falsifiable contribution is that it can fail cleanly. Many of the coefficients reported later in this dissertation are imprecise, and one is precisely signed in a direction that complicates the simple learning-curve story. A design that could only ever confirm its hypothesis would be worthless. This one can be, and in part is, refuted by its own data, and the refutation is reported rather than hidden. That willingness to lose the argument on the evidence is what separates a test from an advocacy exercise.</w:t>
      </w:r>
    </w:p>
    <w:bookmarkEnd w:id="62"/>
    <w:bookmarkStart w:id="63" w:name="X2f31c03ed00777a6848705ba4d12960bec8fbc7"/>
    <w:p>
      <w:pPr>
        <w:pStyle w:val="Heading2"/>
        <w:spacing w:line="480" w:lineRule="auto"/>
      </w:pPr>
      <w:r>
        <w:t xml:space="preserve">1.3 Scope and what this dissertation does not claim</w:t>
      </w:r>
    </w:p>
    <w:p>
      <w:pPr>
        <w:pStyle w:val="FirstParagraph"/>
        <w:spacing w:line="480" w:lineRule="auto"/>
      </w:pPr>
      <w:r>
        <w:t xml:space="preserve">Boundaries are worth stating early. This is a design-stage, document-level test of corpus structure. It is not a causal estimate of the effect of reuse on launch price, and it should not be read as one. The signal-score outcome is a deterministic count of candidate-theme term hits in source metadata, not a measure of engineering cost or manufacturing yield. The citation counts are local index measures drawn from a brain search field, not universal citation totals harvested from a comprehensive bibliometric database. Venue family is coded ordinally across three families, and that ordering should not be over-interpreted as a quality ranking. Each of these limits is revisited in Chapter 7, where the threats to validity are addressed directly rather than waved away.</w:t>
      </w:r>
    </w:p>
    <w:p>
      <w:pPr>
        <w:pStyle w:val="BodyText"/>
        <w:spacing w:line="480" w:lineRule="auto"/>
        <w:ind w:firstLine="720"/>
      </w:pPr>
      <w:r>
        <w:t xml:space="preserve">The corpus itself is finite and specific. Thirty retrieved source records span conference proceedings in the AMOS family, peer-reviewed articles in Acta Astronautica, and a set of space-economy documents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N is small. A small N is a real constraint on statistical power, and the interpretation throughout respects it. Nothing in the design pretends that thirty records can settle a six-decade debate about launch economics. What thirty auditable records can do is show, transparently, how the retrieved literature on this topic is structured, and whether that structure is consistent with a learning story or against it.</w:t>
      </w:r>
    </w:p>
    <w:p>
      <w:pPr>
        <w:pStyle w:val="BodyText"/>
        <w:spacing w:line="480" w:lineRule="auto"/>
        <w:ind w:firstLine="720"/>
      </w:pPr>
      <w:r>
        <w:t xml:space="preserve">One more boundary deserves emphasis. The two estimators are screens, not verdicts. A screen tells you whether it is worth building the more expensive instrument. If the corpus showed strong, coherent structure, that would justify a full document-coding study of launch-cost claims. If it shows weak or mixed structure, that too is informative, because it tells a follow-on researcher where the easy signal is not, and where careful hand coding of primary cost documents would be needed instead</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dissertation is honest about being the first mile of a longer road.</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in seven chapters. Chapter 2 situates the project against prior work on reusable launch, responsive access, and the bibliometrics of emerging technical fields, drawing on the source pool to establish what is known and where the gaps sit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Chapter 3 develops the theory and states the testable predictions, connecting the Wright-curve mechanism to the observable metadata signals the estimators will use. Chapter 4 sets out the methodology and the identification logic, explaining why ordinary least squares and a log-log learning-curve specification are the right screens for this evidence and what each can and cannot identify. Chapter 5 documents the data and measurement, describing the source record set, the construction of every variable, the provenance of each row, and the sample size. Chapter 6 reports the results exactly as the empirical workbooks produce them, with coefficients, standard-error behavior, p-values, and N stated without alteration, and interprets the signs and magnitudes. Chapter 7 discusses what the findings mean and confronts the threats to validity head-on. Chapter 8 draws conclusions, states the contribution in its properly bounded form, and identifies the more direct document-coding design that a follow-on project would need to move from corpus structure toward causal claim.</w:t>
      </w:r>
    </w:p>
    <w:p>
      <w:pPr>
        <w:pStyle w:val="BodyText"/>
        <w:spacing w:line="480" w:lineRule="auto"/>
        <w:ind w:firstLine="720"/>
      </w:pPr>
      <w:r>
        <w:t xml:space="preserve">A reader who wants only the verdict can find it in Chapter 6. A reader who wants to know whether to trust the verdict should read Chapters 4, 5, and 7, because that is where the design either earns confidence or forfeits it. The argument is built so that both readers are served, and so that neither is asked to take an unaudited number on faith.</w:t>
      </w:r>
    </w:p>
    <w:bookmarkEnd w:id="64"/>
    <w:bookmarkStart w:id="65" w:name="why-the-wright-curve-and-why-launch"/>
    <w:p>
      <w:pPr>
        <w:pStyle w:val="Heading2"/>
        <w:spacing w:line="480" w:lineRule="auto"/>
      </w:pPr>
      <w:r>
        <w:t xml:space="preserve">1.5 Why the Wright curve, and why launch</w:t>
      </w:r>
    </w:p>
    <w:p>
      <w:pPr>
        <w:pStyle w:val="FirstParagraph"/>
        <w:spacing w:line="480" w:lineRule="auto"/>
      </w:pPr>
      <w:r>
        <w:t xml:space="preserve">The learning curve did not originate in space. It came from aircraft manufacturing, where an engineer named Wright observed in the 1930s that the labor hours needed to build an airframe fell by a predictable fraction each time the cumulative number built doubled. The observation became a planning tool across manufacturing because it was both simple and durable: a single progress ratio summarized how fast an organization got better at making the same thing. Reusable launch invites the same tool for an obvious reason. A reusable vehicle is, by design, the same thing flown again, so cumulative flights are the natural analogue of cumulative production, and the question of whether cost falls with cumulative flights is a direct heir of Wright’s original question</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heir is not identical to its ancestor, though, and the difference is what makes the topic hard. In aircraft manufacturing the cost that fell was labor hours, which the manufacturer measured internally and often reported. In reusable launch the cost that would fall is a blend of refurbishment, inspection, and amortized recovery hardware, and it is exactly the figure a competitive launch provider treats as its most sensitive commercial secret. The functional form transfers cleanly. The data do not. That mismatch is the reason a documentary approach is not a second-best compromise but the only auditable option, and it is why this dissertation spends its effort testing the shadow of the curve rather than pretending to observe the curve itself</w:t>
      </w:r>
      <w:r>
        <w:t xml:space="preserve"> </w:t>
      </w:r>
      <w:hyperlink w:anchor="ref-3">
        <w:r>
          <w:rPr>
            <w:rStyle w:val="Hyperlink"/>
          </w:rPr>
          <w:t xml:space="preserve">[3]</w:t>
        </w:r>
      </w:hyperlink>
      <w:r>
        <w:t xml:space="preserve">.</w:t>
      </w:r>
    </w:p>
    <w:p>
      <w:pPr>
        <w:pStyle w:val="BodyText"/>
        <w:spacing w:line="480" w:lineRule="auto"/>
        <w:ind w:firstLine="720"/>
      </w:pPr>
      <w:r>
        <w:t xml:space="preserve">There is a further subtlety worth naming at the outset. A learning curve requires not just repetition but stable repetition of a stable design. If a provider keeps redesigning its vehicle, each new configuration resets the cumulative count and the learning starts over. The engineering literature suggests reusable designs are still evolving rapidly, with flight-experiment programs and new propulsion demonstrators arriving in quick succession</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 field that is still churning its designs would be expected to show a noisy, unstable learning footprint even if learning is genuinely occurring, and that expectation conditions how a weak documentary signal should be read. Weakness in the record is consistent with both a field that is not compounding and a field that is compounding but too turbulently to leave a clean trace.</w:t>
      </w:r>
    </w:p>
    <w:bookmarkEnd w:id="65"/>
    <w:bookmarkStart w:id="66" w:name="the-epistemic-stance-of-the-project"/>
    <w:p>
      <w:pPr>
        <w:pStyle w:val="Heading2"/>
        <w:spacing w:line="480" w:lineRule="auto"/>
      </w:pPr>
      <w:r>
        <w:t xml:space="preserve">1.6 The epistemic stance of the project</w:t>
      </w:r>
    </w:p>
    <w:p>
      <w:pPr>
        <w:pStyle w:val="FirstParagraph"/>
        <w:spacing w:line="480" w:lineRule="auto"/>
      </w:pPr>
      <w:r>
        <w:t xml:space="preserve">Underneath the specific hypotheses sits a stance about what a dissertation in a data-scarce domain owes its reader. The stance is that a claim’s value depends on the inspectability of the chain behind it, and that a modest inspectable claim beats an ambitious unauditable one. This is not timidity. It is a response to a literature that has accumulated many confident assertions about the space economy resting on figures no reader can check</w:t>
      </w:r>
      <w:r>
        <w:t xml:space="preserve"> </w:t>
      </w:r>
      <w:hyperlink w:anchor="ref-1">
        <w:r>
          <w:rPr>
            <w:rStyle w:val="Hyperlink"/>
          </w:rPr>
          <w:t xml:space="preserve">[1]</w:t>
        </w:r>
      </w:hyperlink>
      <w:r>
        <w:t xml:space="preserve">. The corrective is not louder assertion. It is a discipline of provenance: every number traceable, every transformation documented, every imprecise result reported as imprecise rather than promoted to significance.</w:t>
      </w:r>
    </w:p>
    <w:p>
      <w:pPr>
        <w:pStyle w:val="BodyText"/>
        <w:spacing w:line="480" w:lineRule="auto"/>
        <w:ind w:firstLine="720"/>
      </w:pPr>
      <w:r>
        <w:t xml:space="preserve">A short note on terminology will save confusion later. Throughout,</w:t>
      </w:r>
      <w:r>
        <w:t xml:space="preserve"> </w:t>
      </w:r>
      <w:r>
        <w:t xml:space="preserve">“learning curve”</w:t>
      </w:r>
      <w:r>
        <w:t xml:space="preserve"> </w:t>
      </w:r>
      <w:r>
        <w:t xml:space="preserve">refers to the Wright cost-reduction relationship unless qualified,</w:t>
      </w:r>
      <w:r>
        <w:t xml:space="preserve"> </w:t>
      </w:r>
      <w:r>
        <w:t xml:space="preserve">“attention learning curve”</w:t>
      </w:r>
      <w:r>
        <w:t xml:space="preserve"> </w:t>
      </w:r>
      <w:r>
        <w:t xml:space="preserve">refers to the borrowed functional form applied to citations, and</w:t>
      </w:r>
      <w:r>
        <w:t xml:space="preserve"> </w:t>
      </w:r>
      <w:r>
        <w:t xml:space="preserve">“signal”</w:t>
      </w:r>
      <w:r>
        <w:t xml:space="preserve"> </w:t>
      </w:r>
      <w:r>
        <w:t xml:space="preserve">or</w:t>
      </w:r>
      <w:r>
        <w:t xml:space="preserve"> </w:t>
      </w:r>
      <w:r>
        <w:t xml:space="preserve">“topic signal”</w:t>
      </w:r>
      <w:r>
        <w:t xml:space="preserve"> </w:t>
      </w:r>
      <w:r>
        <w:t xml:space="preserve">refers strictly to the metadata-derived score, never to a cost or an engineering quantity. Keeping these distinct matters because the whole argument turns on not confusing the shadow with the object, and a slippage in vocabulary is the easiest way for such a confusion to enter unnoticed</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That stance carries a cost the reader should weigh. Because the outcome is a documentary footprint rather than a launch price, the findings speak to how the field’s attention is organized, not directly to production economics. A skeptic could fairly say that measuring the shadow tells us less than measuring the object. The reply is that the shadow is what is available, that it is measured honestly, and that a faithful reading of it is more useful than an unfaithful reading of numbers that do not exist in inspectable form. The dissertation accepts the skeptic’s point and answers it not by overclaiming but by being explicit, in every chapter, about the gap between shadow and object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stance also shapes what would count as success. Success here is not a large, headline coefficient. It is a test that could have failed and was allowed to, whose result, whatever its sign, a reader can verify from the source record set forward. Chapter 6 will show a result that is partly deflating for the learning-curve hypothesis, and the epistemic stance is what makes that deflation a contribution rather than a disappointment. A design that treats an honest weak result as valuable is a design built to inform decisions rather than to flatter them, and that is the standard this project holds itself to throughout</w:t>
      </w:r>
      <w:r>
        <w:t xml:space="preserve"> </w:t>
      </w:r>
      <w:hyperlink w:anchor="ref-9">
        <w:r>
          <w:rPr>
            <w:rStyle w:val="Hyperlink"/>
          </w:rPr>
          <w:t xml:space="preserve">[9]</w:t>
        </w:r>
      </w:hyperlink>
      <w:r>
        <w:t xml:space="preserve">.</w:t>
      </w:r>
    </w:p>
    <w:p>
      <w:pPr>
        <w:pStyle w:val="BodyText"/>
        <w:spacing w:line="480" w:lineRule="auto"/>
        <w:ind w:firstLine="720"/>
      </w:pPr>
      <w:r>
        <w:t xml:space="preserve">The reader should also understand what audience this project imagines. It is written for the analyst inside an agency, a program office, or an allied ministry who must reason about reuse before the definitive cost study exists, and who is poorly served by both the breathless advocacy and the reflexive skepticism that dominate the popular conversation about launch</w:t>
      </w:r>
      <w:r>
        <w:t xml:space="preserve"> </w:t>
      </w:r>
      <w:hyperlink w:anchor="ref-2">
        <w:r>
          <w:rPr>
            <w:rStyle w:val="Hyperlink"/>
          </w:rPr>
          <w:t xml:space="preserve">[2]</w:t>
        </w:r>
      </w:hyperlink>
      <w:r>
        <w:t xml:space="preserve">. Such a reader does not need another confident forecast. That reader needs a clear statement of what the inspectable evidence currently supports, delivered with its uncertainty attached, so that the confidence placed in the learning-curve assumption can be proportioned to the evidence behind it rather than to the volume of the claims around it</w:t>
      </w:r>
      <w:r>
        <w:t xml:space="preserve"> </w:t>
      </w:r>
      <w:hyperlink w:anchor="ref-1">
        <w:r>
          <w:rPr>
            <w:rStyle w:val="Hyperlink"/>
          </w:rPr>
          <w:t xml:space="preserve">[1]</w:t>
        </w:r>
      </w:hyperlink>
      <w:r>
        <w:t xml:space="preserve"> </w:t>
      </w:r>
      <w:hyperlink w:anchor="ref-6">
        <w:r>
          <w:rPr>
            <w:rStyle w:val="Hyperlink"/>
          </w:rPr>
          <w:t xml:space="preserve">[6]</w:t>
        </w:r>
      </w:hyperlink>
      <w:r>
        <w:t xml:space="preserve">. Serving that reader is the practical ambition beneath the methodological one, and it is why the modesty of the design is a feature rather than an apology.</w:t>
      </w:r>
    </w:p>
    <w:bookmarkEnd w:id="66"/>
    <w:bookmarkEnd w:id="67"/>
    <w:bookmarkStart w:id="75" w:name="chapter-2.-literature-review"/>
    <w:p>
      <w:pPr>
        <w:pStyle w:val="Heading1"/>
        <w:spacing w:line="480" w:lineRule="auto"/>
      </w:pPr>
      <w:r>
        <w:t xml:space="preserve">Chapter 2. Literature Review</w:t>
      </w:r>
    </w:p>
    <w:p>
      <w:pPr>
        <w:pStyle w:val="FirstParagraph"/>
        <w:spacing w:line="480" w:lineRule="auto"/>
      </w:pPr>
      <w:r>
        <w:t xml:space="preserve">The literature that bears on reusable-launch learning does not form a single conversation. It forms three, and they rarely acknowledge one another. There is a technical and engineering literature about how reusable vehicles are built and flown. There is a policy and strategy literature about what responsive, reusable access means for national posture and burden sharing. And there is a measurement literature, thinner and more scattered, about how to turn documents, missions, citations, and venues into variables that can carry weight in a test. This chapter reads all three against the source pool and locates the specific gap this dissertation occupies.</w:t>
      </w:r>
    </w:p>
    <w:bookmarkStart w:id="68" w:name="the-engineering-record-of-reuse"/>
    <w:p>
      <w:pPr>
        <w:pStyle w:val="Heading2"/>
        <w:spacing w:line="480" w:lineRule="auto"/>
      </w:pPr>
      <w:r>
        <w:t xml:space="preserve">2.1 The engineering record of reuse</w:t>
      </w:r>
    </w:p>
    <w:p>
      <w:pPr>
        <w:pStyle w:val="FirstParagraph"/>
        <w:spacing w:line="480" w:lineRule="auto"/>
      </w:pPr>
      <w:r>
        <w:t xml:space="preserve">The engineering literature is where the learning-curve promise originates, because it is where repetition actually happens. Reusable propulsion has been demonstrated at increasing scale, and the demonstrations are documented as milestones rather than as cost curves. Work on LOX and methane reusable propulsion reports large-scale demonstrators reaching test readiness, which is the physical precondition for any learning effect to exist at all</w:t>
      </w:r>
      <w:r>
        <w:t xml:space="preserve"> </w:t>
      </w:r>
      <w:hyperlink w:anchor="ref-13">
        <w:r>
          <w:rPr>
            <w:rStyle w:val="Hyperlink"/>
          </w:rPr>
          <w:t xml:space="preserve">[13]</w:t>
        </w:r>
      </w:hyperlink>
      <w:r>
        <w:t xml:space="preserve">. If a stage cannot be recovered and reflown, there is no cumulative output over which to spread cost, and the Wright mechanism has nothing to act on.</w:t>
      </w:r>
    </w:p>
    <w:p>
      <w:pPr>
        <w:pStyle w:val="BodyText"/>
        <w:spacing w:line="480" w:lineRule="auto"/>
        <w:ind w:firstLine="720"/>
      </w:pPr>
      <w:r>
        <w:t xml:space="preserve">Flight-experiment programs extend the record. The DLR reusability flight experiment describes a vehicle built specifically to retire the technical risks of controlled return, which is the operational skill that reuse depends on</w:t>
      </w:r>
      <w:r>
        <w:t xml:space="preserve"> </w:t>
      </w:r>
      <w:hyperlink w:anchor="ref-12">
        <w:r>
          <w:rPr>
            <w:rStyle w:val="Hyperlink"/>
          </w:rPr>
          <w:t xml:space="preserve">[12]</w:t>
        </w:r>
      </w:hyperlink>
      <w:r>
        <w:t xml:space="preserve">. Advanced control work on reusable launch vehicles, including predefined-time adaptive sliding-mode control, addresses the guidance problem that recovery imposes, and it signals a field maturing from proof of concept toward repeatable operation</w:t>
      </w:r>
      <w:r>
        <w:t xml:space="preserve"> </w:t>
      </w:r>
      <w:hyperlink w:anchor="ref-11">
        <w:r>
          <w:rPr>
            <w:rStyle w:val="Hyperlink"/>
          </w:rPr>
          <w:t xml:space="preserve">[11]</w:t>
        </w:r>
      </w:hyperlink>
      <w:r>
        <w:t xml:space="preserve">. These sources matter to the present study not because they price anything, but because they establish that the physical substrate of a learning curve is present. A field can only compound if it flies the same thing repeatedly, and the engineering record shows that repetition becoming feasible.</w:t>
      </w:r>
    </w:p>
    <w:p>
      <w:pPr>
        <w:pStyle w:val="BodyText"/>
        <w:spacing w:line="480" w:lineRule="auto"/>
        <w:ind w:firstLine="720"/>
      </w:pPr>
      <w:r>
        <w:t xml:space="preserve">What the engineering literature does not do is close the loop to economics. It reports test campaigns, control laws, and demonstrator results. It does not report marginal cost per flight as a function of cumulative flights, which is the quantity a Wright curve requires. The silence is not an oversight. It reflects that the numbers are proprietary and strategically guarded. The consequence for this dissertation is direct: the cost curve cannot be read off the engineering record, so an indirect, documentary approach is the only auditable path available</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68"/>
    <w:bookmarkStart w:id="69" w:name="the-strategy-and-governance-record"/>
    <w:p>
      <w:pPr>
        <w:pStyle w:val="Heading2"/>
        <w:spacing w:line="480" w:lineRule="auto"/>
      </w:pPr>
      <w:r>
        <w:t xml:space="preserve">2.2 The strategy and governance record</w:t>
      </w:r>
    </w:p>
    <w:p>
      <w:pPr>
        <w:pStyle w:val="FirstParagraph"/>
        <w:spacing w:line="480" w:lineRule="auto"/>
      </w:pPr>
      <w:r>
        <w:t xml:space="preserve">The second strand treats launch not as a cost problem but as a strategic capability. Here the framing shifts from unit price to responsiveness, resilience, and allied posture. Analysis of launch-on-demand capabilities argues that the ability to place assets on orbit quickly carries geopolitical weight independent of the per-kilogram price</w:t>
      </w:r>
      <w:r>
        <w:t xml:space="preserve"> </w:t>
      </w:r>
      <w:hyperlink w:anchor="ref-2">
        <w:r>
          <w:rPr>
            <w:rStyle w:val="Hyperlink"/>
          </w:rPr>
          <w:t xml:space="preserve">[2]</w:t>
        </w:r>
      </w:hyperlink>
      <w:r>
        <w:t xml:space="preserve">. That argument is important for understanding why the learning-curve intuition became a planning assumption so quickly. If responsiveness is strategically valuable, then the expectation of falling cost is doubly attractive, because it promises both cheaper access and a faster reconstitution capability.</w:t>
      </w:r>
    </w:p>
    <w:p>
      <w:pPr>
        <w:pStyle w:val="BodyText"/>
        <w:spacing w:line="480" w:lineRule="auto"/>
        <w:ind w:firstLine="720"/>
      </w:pPr>
      <w:r>
        <w:t xml:space="preserve">National strategy documents fold reusable and responsive access into burden-sharing arrangements. The Australian strategic-policy analysis of orbital burden sharing and space situational awareness treats access as a shared allied asset, which raises the stakes on whether the cost decline underpinning that sharing is real</w:t>
      </w:r>
      <w:r>
        <w:t xml:space="preserve"> </w:t>
      </w:r>
      <w:hyperlink w:anchor="ref-1">
        <w:r>
          <w:rPr>
            <w:rStyle w:val="Hyperlink"/>
          </w:rPr>
          <w:t xml:space="preserve">[1]</w:t>
        </w:r>
      </w:hyperlink>
      <w:r>
        <w:t xml:space="preserve">. Conceptual frameworks for rapid launch capability push the same direction, articulating what a responsive architecture should look like before the cost economics that would sustain it are validated</w:t>
      </w:r>
      <w:r>
        <w:t xml:space="preserve"> </w:t>
      </w:r>
      <w:hyperlink w:anchor="ref-3">
        <w:r>
          <w:rPr>
            <w:rStyle w:val="Hyperlink"/>
          </w:rPr>
          <w:t xml:space="preserve">[3]</w:t>
        </w:r>
      </w:hyperlink>
      <w:r>
        <w:t xml:space="preserve">. The pattern across this strand is consistent. The strategic value of reuse is asserted with confidence, and the cost trajectory that would make it sustainable is assumed rather than demonstrated.</w:t>
      </w:r>
    </w:p>
    <w:p>
      <w:pPr>
        <w:pStyle w:val="BodyText"/>
        <w:spacing w:line="480" w:lineRule="auto"/>
        <w:ind w:firstLine="720"/>
      </w:pPr>
      <w:r>
        <w:t xml:space="preserve">This is the strand that creates the policy risk described in Chapter 1. When strategy documents commit to reuse as a deterrence and burden-sharing asset, they inherit an unexamined empirical premise. The governance literature on adjacent domains shows how quickly such premises harden. Writing on space traffic management, for instance, documents how operational governance rules crystallize under uncertainty, often ahead of the measurement that would justify them</w:t>
      </w:r>
      <w:r>
        <w:t xml:space="preserve"> </w:t>
      </w:r>
      <w:hyperlink w:anchor="ref-6">
        <w:r>
          <w:rPr>
            <w:rStyle w:val="Hyperlink"/>
          </w:rPr>
          <w:t xml:space="preserve">[6]</w:t>
        </w:r>
      </w:hyperlink>
      <w:r>
        <w:t xml:space="preserve">. The learning curve for reusable launch is exactly that kind of premise: load-bearing for strategy, and undertested.</w:t>
      </w:r>
    </w:p>
    <w:bookmarkEnd w:id="69"/>
    <w:bookmarkStart w:id="70" w:name="the-measurement-and-bibliometric-strand"/>
    <w:p>
      <w:pPr>
        <w:pStyle w:val="Heading2"/>
        <w:spacing w:line="480" w:lineRule="auto"/>
      </w:pPr>
      <w:r>
        <w:t xml:space="preserve">2.3 The measurement and bibliometric strand</w:t>
      </w:r>
    </w:p>
    <w:p>
      <w:pPr>
        <w:pStyle w:val="FirstParagraph"/>
        <w:spacing w:line="480" w:lineRule="auto"/>
      </w:pPr>
      <w:r>
        <w:t xml:space="preserve">The third strand is methodological, and it is where this dissertation makes its move. Turning a technical field into measurable variables is a recognized problem, and the space-domain literature has begun to treat metadata, timing, and attention as analyzable signals. Machine-learning approaches to satellite characterization demonstrate that the sector is comfortable extracting structured features from messy observational inputs, which is conceptually the same operation applied here to source metadata rather than to sensor data</w:t>
      </w:r>
      <w:r>
        <w:t xml:space="preserve"> </w:t>
      </w:r>
      <w:hyperlink w:anchor="ref-4">
        <w:r>
          <w:rPr>
            <w:rStyle w:val="Hyperlink"/>
          </w:rPr>
          <w:t xml:space="preserve">[4]</w:t>
        </w:r>
      </w:hyperlink>
      <w:r>
        <w:t xml:space="preserve">. Rapid object-characterization work using layered machine learning over radar data shows the same instinct: build features, test whether they carry signal, report the fit</w:t>
      </w:r>
      <w:r>
        <w:t xml:space="preserve"> </w:t>
      </w:r>
      <w:hyperlink w:anchor="ref-7">
        <w:r>
          <w:rPr>
            <w:rStyle w:val="Hyperlink"/>
          </w:rPr>
          <w:t xml:space="preserve">[7]</w:t>
        </w:r>
      </w:hyperlink>
      <w:r>
        <w:t xml:space="preserve">. Light-curve forecasting with neural networks is a further instance of pattern extraction from time-indexed records</w:t>
      </w:r>
      <w:r>
        <w:t xml:space="preserve"> </w:t>
      </w:r>
      <w:hyperlink w:anchor="ref-8">
        <w:r>
          <w:rPr>
            <w:rStyle w:val="Hyperlink"/>
          </w:rPr>
          <w:t xml:space="preserve">[8]</w:t>
        </w:r>
      </w:hyperlink>
      <w:r>
        <w:t xml:space="preserve">.</w:t>
      </w:r>
    </w:p>
    <w:p>
      <w:pPr>
        <w:pStyle w:val="BodyText"/>
        <w:spacing w:line="480" w:lineRule="auto"/>
        <w:ind w:firstLine="720"/>
      </w:pPr>
      <w:r>
        <w:t xml:space="preserve">These are not bibliometric studies. They are, though, evidence that the field accepts the underlying logic of this dissertation: that structure in a record can be measured, that a measurement can be precise or noisy, and that a noisy measurement should not be forced to carry a strong claim. The methodological literature on data assimilation for engine simulators makes the same discipline explicit, treating parameter estimates as conditional on the quality of the data feeding them</w:t>
      </w:r>
      <w:r>
        <w:t xml:space="preserve"> </w:t>
      </w:r>
      <w:hyperlink w:anchor="ref-9">
        <w:r>
          <w:rPr>
            <w:rStyle w:val="Hyperlink"/>
          </w:rPr>
          <w:t xml:space="preserve">[9]</w:t>
        </w:r>
      </w:hyperlink>
      <w:r>
        <w:t xml:space="preserve">. That is precisely the stance taken toward the estimator output in Chapter 6.</w:t>
      </w:r>
    </w:p>
    <w:p>
      <w:pPr>
        <w:pStyle w:val="BodyText"/>
        <w:spacing w:line="480" w:lineRule="auto"/>
        <w:ind w:firstLine="720"/>
      </w:pPr>
      <w:r>
        <w:t xml:space="preserve">The bibliometric application itself, citation accumulation as a function of article age modeled with a learning-curve functional form, is the least developed part of the literature for this specific topic. General bibliometrics has long observed that citations accumulate with age, that venue shapes attention, and that recency and visibility interact. What is missing is a source-traced, auditable application of those observations to the reusable-launch topic, with every variable documented and every estimator output reported exactly. That absence is the gap.</w:t>
      </w:r>
    </w:p>
    <w:bookmarkEnd w:id="70"/>
    <w:bookmarkStart w:id="71" w:name="the-gap-this-dissertation-occupies"/>
    <w:p>
      <w:pPr>
        <w:pStyle w:val="Heading2"/>
        <w:spacing w:line="480" w:lineRule="auto"/>
      </w:pPr>
      <w:r>
        <w:t xml:space="preserve">2.4 The gap this dissertation occupies</w:t>
      </w:r>
    </w:p>
    <w:p>
      <w:pPr>
        <w:pStyle w:val="FirstParagraph"/>
        <w:spacing w:line="480" w:lineRule="auto"/>
      </w:pPr>
      <w:r>
        <w:t xml:space="preserve">Placing the three strands side by side makes the gap precise. The engineering strand supplies the physical substrate of a learning curve but withholds the cost numbers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strategy strand loads the learning-curve intuition into planning without validating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measurement strand supplies feature-extraction methods and a discipline about noisy estimates, but has not yet been pointed at the reusable-launch documentary footprint in a fully auditable way</w:t>
      </w:r>
      <w:r>
        <w:t xml:space="preserve"> </w:t>
      </w:r>
      <w:hyperlink w:anchor="ref-4">
        <w:r>
          <w:rPr>
            <w:rStyle w:val="Hyperlink"/>
          </w:rPr>
          <w:t xml:space="preserve">[4]</w:t>
        </w:r>
      </w:hyperlink>
      <w:r>
        <w:t xml:space="preserve"> </w:t>
      </w:r>
      <w:hyperlink w:anchor="ref-9">
        <w:r>
          <w:rPr>
            <w:rStyle w:val="Hyperlink"/>
          </w:rPr>
          <w:t xml:space="preserve">[9]</w:t>
        </w:r>
      </w:hyperlink>
      <w:r>
        <w:t xml:space="preserve">. Each strand does something the others need, and none of them, alone, tests whether the topic behaves like an accumulating field.</w:t>
      </w:r>
    </w:p>
    <w:p>
      <w:pPr>
        <w:pStyle w:val="BodyText"/>
        <w:spacing w:line="480" w:lineRule="auto"/>
        <w:ind w:firstLine="720"/>
      </w:pPr>
      <w:r>
        <w:t xml:space="preserve">One more feature of the literature sharpens the case for a documentary screen rather than a direct one. The engineering strand is not static, and its most recent entries broaden the sector rather than deepen the reusable-launch cost record specifically. Work on high-speed scientific spacecraft launched on commercial vehicles shows the commercial launch base being used for missions far from the reusable-cost question, which means the launch conversation in the literature is increasingly about capability and mission enablement rather than about unit economics</w:t>
      </w:r>
      <w:r>
        <w:t xml:space="preserve"> </w:t>
      </w:r>
      <w:hyperlink w:anchor="ref-16">
        <w:r>
          <w:rPr>
            <w:rStyle w:val="Hyperlink"/>
          </w:rPr>
          <w:t xml:space="preserve">[16]</w:t>
        </w:r>
      </w:hyperlink>
      <w:r>
        <w:t xml:space="preserve">. Rover deployment mechanisms and on-orbit solar-cell experiments occupy the same journals, pulling the corpus’s center of gravity toward mission hardware and away from the cost curve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A researcher hoping to read a launch-cost learning curve off this literature would find the topic diluted by exactly the diversification that signals a healthy sector, which is another reason the direct read is unavailable and the structured documentary screen is the responsible substitute.</w:t>
      </w:r>
    </w:p>
    <w:p>
      <w:pPr>
        <w:pStyle w:val="BodyText"/>
        <w:spacing w:line="480" w:lineRule="auto"/>
        <w:ind w:firstLine="720"/>
      </w:pPr>
      <w:r>
        <w:t xml:space="preserve">The gap, stated plainly, is a bridge. The dissertation does not try to become an engineering study, a strategy study, or a general bibliometrics study. It builds the connecting span the three strands lack: a document-level, source-traced test of whether reusable-launch learning is visible and structured in the retrieved record, using estimators borrowed from the measurement strand and interpreted with the modesty that strand demands. The test cannot settle the cost question. It can, and does, show whether the corpus structure is consistent with a compounding field or against it, and it reports that result with every number inspectable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There is precedent in the broader literature for treating a topic’s own record as the object of study rather than as a neutral backdrop. Work that searches for structured signatures across large observational datasets, such as the survey of technosignature detection strategies across current and future missions, demonstrates that a field is comfortable asking whether a faint pattern is present in a noisy corpus and reporting honestly when it is not</w:t>
      </w:r>
      <w:r>
        <w:t xml:space="preserve"> </w:t>
      </w:r>
      <w:hyperlink w:anchor="ref-10">
        <w:r>
          <w:rPr>
            <w:rStyle w:val="Hyperlink"/>
          </w:rPr>
          <w:t xml:space="preserve">[10]</w:t>
        </w:r>
      </w:hyperlink>
      <w:r>
        <w:t xml:space="preserve">. That is exactly the epistemic posture this dissertation imports into a bibliometric setting: the question is whether a signature is present in the record, the answer may be no, and a well-designed search states its detection threshold in advance so that a null is interpretable rather than embarrassing. Borrowing that posture is what lets the eventual flat learning curve be a finding rather than a failed hypothesis.</w:t>
      </w:r>
    </w:p>
    <w:p>
      <w:pPr>
        <w:pStyle w:val="BodyText"/>
        <w:spacing w:line="480" w:lineRule="auto"/>
        <w:ind w:firstLine="720"/>
      </w:pPr>
      <w:r>
        <w:t xml:space="preserve">Two further points sharpen the contribution. First, the design refuses to substitute one strand for another. It does not treat a demonstrator milestone as if it were a cost datum, and it does not treat a strategy assertion as if it were evidence. Second, it treats a weak result as informative rather than as failure. If the retrieved corpus shows little coherent structure, that finding tells a follow-on researcher that the easy documentary signal is absent and that primary cost-document coding is the necessary next instrument</w:t>
      </w:r>
      <w:r>
        <w:t xml:space="preserve"> </w:t>
      </w:r>
      <w:hyperlink w:anchor="ref-3">
        <w:r>
          <w:rPr>
            <w:rStyle w:val="Hyperlink"/>
          </w:rPr>
          <w:t xml:space="preserve">[3]</w:t>
        </w:r>
      </w:hyperlink>
      <w:r>
        <w:t xml:space="preserve"> </w:t>
      </w:r>
      <w:hyperlink w:anchor="ref-6">
        <w:r>
          <w:rPr>
            <w:rStyle w:val="Hyperlink"/>
          </w:rPr>
          <w:t xml:space="preserve">[6]</w:t>
        </w:r>
      </w:hyperlink>
      <w:r>
        <w:t xml:space="preserve">. Filling the gap, in other words, includes mapping its floor as well as its ceiling.</w:t>
      </w:r>
    </w:p>
    <w:p>
      <w:pPr>
        <w:pStyle w:val="BodyText"/>
        <w:spacing w:line="480" w:lineRule="auto"/>
        <w:ind w:firstLine="720"/>
      </w:pPr>
      <w:r>
        <w:t xml:space="preserve">A final observation about the state of the literature justifies the design choice. Across all three strands, the sources that carry the most citation weight are the peer-reviewed engineering articles, while the strategy and economy documents carry little indexed attention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asymmetry is itself a structural feature of the corpus, and it is one the estimators in Chapter 6 will surface directly through the venue-family and citation coefficients. The literature, read as data rather than as argument, already hints that attention and venue are entangled in this topic. The dissertation’s job is to measure that entanglement honestly rather than to narrate around it.</w:t>
      </w:r>
    </w:p>
    <w:bookmarkEnd w:id="71"/>
    <w:bookmarkStart w:id="72" w:name="Xe521b7dc65671d0b432d2a2c6fcc08943ee656b"/>
    <w:p>
      <w:pPr>
        <w:pStyle w:val="Heading2"/>
        <w:spacing w:line="480" w:lineRule="auto"/>
      </w:pPr>
      <w:r>
        <w:t xml:space="preserve">2.5 How adjacent fields turned records into measurements</w:t>
      </w:r>
    </w:p>
    <w:p>
      <w:pPr>
        <w:pStyle w:val="FirstParagraph"/>
        <w:spacing w:line="480" w:lineRule="auto"/>
      </w:pPr>
      <w:r>
        <w:t xml:space="preserve">The methodological confidence this dissertation draws on is easier to justify when the practice is traced through adjacent space-domain work, because those fields have already normalized the operation of building features from imperfect records and testing whether the features carry signal. Satellite characterization from machine learning is the clearest precedent. The work builds structured descriptors from noisy observational inputs and asks, quantitatively, whether those descriptors predict the property of interest</w:t>
      </w:r>
      <w:r>
        <w:t xml:space="preserve"> </w:t>
      </w:r>
      <w:hyperlink w:anchor="ref-4">
        <w:r>
          <w:rPr>
            <w:rStyle w:val="Hyperlink"/>
          </w:rPr>
          <w:t xml:space="preserve">[4]</w:t>
        </w:r>
      </w:hyperlink>
      <w:r>
        <w:t xml:space="preserve">. The intellectual move is identical to the one performed here on source metadata: define a feature, fit a model, and let the fit statistics rather than the researcher’s hopes decide whether the feature is informative.</w:t>
      </w:r>
    </w:p>
    <w:p>
      <w:pPr>
        <w:pStyle w:val="BodyText"/>
        <w:spacing w:line="480" w:lineRule="auto"/>
        <w:ind w:firstLine="720"/>
      </w:pPr>
      <w:r>
        <w:t xml:space="preserve">Layered machine learning over global radar data for rapid object characterization extends the same discipline to a real-time operational setting, where the cost of a false feature is a mischaracterized object rather than a mis-specified regression</w:t>
      </w:r>
      <w:r>
        <w:t xml:space="preserve"> </w:t>
      </w:r>
      <w:hyperlink w:anchor="ref-7">
        <w:r>
          <w:rPr>
            <w:rStyle w:val="Hyperlink"/>
          </w:rPr>
          <w:t xml:space="preserve">[7]</w:t>
        </w:r>
      </w:hyperlink>
      <w:r>
        <w:t xml:space="preserve">. That operational pressure is instructive for a documentary study, because it enforces exactly the humility this dissertation adopts: a feature that does not carry signal must be reported plainly, not smoothed into a narrative. Neural-network forecasting of satellite light-curve patterns is a third instance, treating time-indexed observational records as a sequence whose structure can be estimated and whose estimation can fail visibly, in plain view, when the structure is absent</w:t>
      </w:r>
      <w:r>
        <w:t xml:space="preserve"> </w:t>
      </w:r>
      <w:hyperlink w:anchor="ref-8">
        <w:r>
          <w:rPr>
            <w:rStyle w:val="Hyperlink"/>
          </w:rPr>
          <w:t xml:space="preserve">[8]</w:t>
        </w:r>
      </w:hyperlink>
      <w:r>
        <w:t xml:space="preserve">. The willingness of these fields to report a null is the cultural inheritance the present design claims.</w:t>
      </w:r>
    </w:p>
    <w:p>
      <w:pPr>
        <w:pStyle w:val="BodyText"/>
        <w:spacing w:line="480" w:lineRule="auto"/>
        <w:ind w:firstLine="720"/>
      </w:pPr>
      <w:r>
        <w:t xml:space="preserve">Data assimilation for liquid-rocket-engine simulators supplies the most explicit statement of the governing principle, because it treats every parameter estimate as conditional on the quality of the data feeding it and refuses to certify a parameter the data cannot support</w:t>
      </w:r>
      <w:r>
        <w:t xml:space="preserve"> </w:t>
      </w:r>
      <w:hyperlink w:anchor="ref-9">
        <w:r>
          <w:rPr>
            <w:rStyle w:val="Hyperlink"/>
          </w:rPr>
          <w:t xml:space="preserve">[9]</w:t>
        </w:r>
      </w:hyperlink>
      <w:r>
        <w:t xml:space="preserve">. That is precisely the posture Chapter 6 takes toward the imprecise coefficients. The estimator returns a number; the number is reported; and if the data do not resolve it, the number is read as the model declining to certify rather than as a positive finding. Borrowing that discipline from an engineering-estimation context and applying it to a bibliometric one is not a stretch. It is the same statistical conscience applied to a different kind of record.</w:t>
      </w:r>
    </w:p>
    <w:bookmarkEnd w:id="72"/>
    <w:bookmarkStart w:id="73" w:name="Xf148793f3c4982aa8486d0cdc8465dcf3490f02"/>
    <w:p>
      <w:pPr>
        <w:pStyle w:val="Heading2"/>
        <w:spacing w:line="480" w:lineRule="auto"/>
      </w:pPr>
      <w:r>
        <w:t xml:space="preserve">2.55 The control literature as a maturity marker</w:t>
      </w:r>
    </w:p>
    <w:p>
      <w:pPr>
        <w:pStyle w:val="FirstParagraph"/>
        <w:spacing w:line="480" w:lineRule="auto"/>
      </w:pPr>
      <w:r>
        <w:t xml:space="preserve">A subtle but telling part of the engineering record is the control literature, because control sophistication is a leading indicator of operational maturity, which is the precondition for any learning effect. Predefined-time barrier-function adaptive sliding-mode control for reusable launch vehicles is not a cost paper, but it is a maturity signal: a field only invests in this class of guidance once recovery and reflight are routine enough to demand it</w:t>
      </w:r>
      <w:r>
        <w:t xml:space="preserve"> </w:t>
      </w:r>
      <w:hyperlink w:anchor="ref-11">
        <w:r>
          <w:rPr>
            <w:rStyle w:val="Hyperlink"/>
          </w:rPr>
          <w:t xml:space="preserve">[11]</w:t>
        </w:r>
      </w:hyperlink>
      <w:r>
        <w:t xml:space="preserve">. The presence of such work in the corpus says the physical substrate of learning is real and advancing, even as the cost record stays hidden. For the present design this matters because it rules out one deflating explanation of a weak documentary signal, namely that the field is too immature to learn at all. The control literature attests to maturity, so a faint learning footprint cannot be blamed on an inactive field, which points the interpretation instead toward measurement floors and venue effects</w:t>
      </w:r>
      <w:r>
        <w:t xml:space="preserve"> </w:t>
      </w:r>
      <w:hyperlink w:anchor="ref-12">
        <w:r>
          <w:rPr>
            <w:rStyle w:val="Hyperlink"/>
          </w:rPr>
          <w:t xml:space="preserve">[12]</w:t>
        </w:r>
      </w:hyperlink>
      <w:r>
        <w:t xml:space="preserve">.</w:t>
      </w:r>
    </w:p>
    <w:bookmarkEnd w:id="73"/>
    <w:bookmarkStart w:id="74" w:name="Xe34e520337f9af7cf5c85553c8143a20b738ee5"/>
    <w:p>
      <w:pPr>
        <w:pStyle w:val="Heading2"/>
        <w:spacing w:line="480" w:lineRule="auto"/>
      </w:pPr>
      <w:r>
        <w:t xml:space="preserve">2.6 Why the strands stay separate, and at what cost</w:t>
      </w:r>
    </w:p>
    <w:p>
      <w:pPr>
        <w:pStyle w:val="FirstParagraph"/>
        <w:spacing w:line="480" w:lineRule="auto"/>
      </w:pPr>
      <w:r>
        <w:t xml:space="preserve">It is worth asking why three literatures that plainly need one another remain apart, because the answer sharpens the dissertation’s contribution. The engineering strand stays separate because its incentives point inward: a propulsion team reports test readiness and control performance to its own community, not cost curves to economists, and the most decision-relevant number is the one it is contractually bound to protect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strategy strand stays separate because its currency is posture and narrative rather than estimation; a burden-sharing argument does not need a validated cost model to be persuasive to a policy audience, and so it rarely acquires one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measurement strand stays separate because its practitioners are drawn to sensor and observational data, where the signal is rich, rather than to sparse documentary records, where it is thin</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A related observation concerns the pace at which the engineering strand is moving, which matters for how any documentary signal should be read. Recent Acta Astronautica work spans solar-cell experiments, rover deployment mechanisms, and high-speed scientific spacecraft launches on commercial vehicles, a breadth that shows the sector diversifying quickly rather than consolidating around a stable reusable design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A field diversifying this fast will scatter its documentary attention across many subtopics, which mechanically thins the signal on any one of them, including reusable-launch learning. The literature’s own churn is therefore part of why a clean, concentrated topic signal is unlikely to appear, and reading that scatter as evidence of an inactive field would be a mistake the design must guard against.</w:t>
      </w:r>
    </w:p>
    <w:p>
      <w:pPr>
        <w:pStyle w:val="BodyText"/>
        <w:spacing w:line="480" w:lineRule="auto"/>
        <w:ind w:firstLine="720"/>
      </w:pPr>
      <w:r>
        <w:t xml:space="preserve">The cost of this separation is a structural blind spot. No single community is positioned to ask whether the reusable-launch learning claim, so consequential across all three literatures, actually holds in any inspectable evidence. The engineers have the substrate but not the incentive; the strategists have the stakes but not the method; the measurement specialists have the method but not the topic. A claim that everyone assumes and no one tests is a claim that has slipped between disciplines, and space policy has a documented tendency to let exactly that happen, as the governance literature on premature rule-hardening under uncertainty attests</w:t>
      </w:r>
      <w:r>
        <w:t xml:space="preserve"> </w:t>
      </w:r>
      <w:hyperlink w:anchor="ref-6">
        <w:r>
          <w:rPr>
            <w:rStyle w:val="Hyperlink"/>
          </w:rPr>
          <w:t xml:space="preserve">[6]</w:t>
        </w:r>
      </w:hyperlink>
      <w:r>
        <w:t xml:space="preserve">. The dissertation’s narrow test is a deliberate intrusion into that blind spot, using the measurement strand’s tools on the topic the strategy strand cares about, disciplined by the engineering strand’s reminder that the cost numbers themselves remain out of reach.</w:t>
      </w:r>
    </w:p>
    <w:bookmarkEnd w:id="74"/>
    <w:bookmarkEnd w:id="75"/>
    <w:bookmarkStart w:id="85"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earns its place by telling you, in advance, what each possible observation would mean. This chapter builds the mechanism that connects the Wright learning curve to the documentary signals the estimators read, and it states the predictions precisely enough that the data in Chapter 6 can confirm or contradict them. The mechanism is modest. It has to be, because the outcome is not a launch price but a footprint of attention, and the theory must respect that distance.</w:t>
      </w:r>
    </w:p>
    <w:bookmarkStart w:id="76" w:name="Xb0a91e5b23c62a9cafd014baaa338e8390f9fad"/>
    <w:p>
      <w:pPr>
        <w:pStyle w:val="Heading2"/>
        <w:spacing w:line="480" w:lineRule="auto"/>
      </w:pPr>
      <w:r>
        <w:t xml:space="preserve">3.1 The Wright mechanism and its documentary shadow</w:t>
      </w:r>
    </w:p>
    <w:p>
      <w:pPr>
        <w:pStyle w:val="FirstParagraph"/>
        <w:spacing w:line="480" w:lineRule="auto"/>
      </w:pPr>
      <w:r>
        <w:t xml:space="preserve">The Wright learning curve is a statement about production. As cumulative output doubles, unit cost falls by a constant progress ratio. The functional form is a power law, and taking logs of both sides makes it linear: the log of unit cost is a linear function of the log of cumulative output, with a slope that encodes the progress ratio. That form is the reason the curve is testable at all. A straight line in log-log space is the signature of a learning effect, and its slope measures how fast the effect operates.</w:t>
      </w:r>
    </w:p>
    <w:p>
      <w:pPr>
        <w:pStyle w:val="BodyText"/>
        <w:spacing w:line="480" w:lineRule="auto"/>
        <w:ind w:firstLine="720"/>
      </w:pPr>
      <w:r>
        <w:t xml:space="preserve">For reusable launch, the direct version of this test is unavailable, because cumulative flights and their unit costs are not in the record. The theoretical move this dissertation makes is to ask what shadow a real learning process casts on the documentary record even when the cost numbers themselves are hidden. The reasoning runs as follows. A field that is genuinely learning is a field that is genuinely active. Activity generates publications. Publications accumulate citations. Attention concentrates in the venues where the serious work appears. If reusable-launch learning were compounding the way the cost story implies, the documentary footprint should show the marks of an accumulating field: rising topic visibility over time, citation attention that grows with exposure, and venue structure consistent with a maturing technical community</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is an inference, not an identity. A learning curve in cost does not mechanically produce a learning curve in citations. But the two are linked through activity, and the link is strong enough to be worth testing. The theory’s honest claim is conditional: if the field is compounding, the documentary shadow should be visible and coherent; if the documentary shadow is absent or incoherent, that is evidence against a strong, easily observable compounding process, though not proof of its absence</w:t>
      </w:r>
      <w:r>
        <w:t xml:space="preserve"> </w:t>
      </w:r>
      <w:hyperlink w:anchor="ref-9">
        <w:r>
          <w:rPr>
            <w:rStyle w:val="Hyperlink"/>
          </w:rPr>
          <w:t xml:space="preserve">[9]</w:t>
        </w:r>
      </w:hyperlink>
      <w:r>
        <w:t xml:space="preserve">. The estimators are built to detect that shadow, and the hypotheses below say exactly what detection and non-detection would mean.</w:t>
      </w:r>
    </w:p>
    <w:bookmarkEnd w:id="76"/>
    <w:bookmarkStart w:id="77" w:name="from-mechanism-to-observable-signals"/>
    <w:p>
      <w:pPr>
        <w:pStyle w:val="Heading2"/>
        <w:spacing w:line="480" w:lineRule="auto"/>
      </w:pPr>
      <w:r>
        <w:t xml:space="preserve">3.2 From mechanism to observable signals</w:t>
      </w:r>
    </w:p>
    <w:p>
      <w:pPr>
        <w:pStyle w:val="FirstParagraph"/>
        <w:spacing w:line="480" w:lineRule="auto"/>
      </w:pPr>
      <w:r>
        <w:t xml:space="preserve">Three observable signals carry the theory. Each corresponds to a variable the estimators use.</w:t>
      </w:r>
    </w:p>
    <w:p>
      <w:pPr>
        <w:pStyle w:val="BodyText"/>
        <w:spacing w:line="480" w:lineRule="auto"/>
        <w:ind w:firstLine="720"/>
      </w:pPr>
      <w:r>
        <w:t xml:space="preserve">The first is publication recency. An accumulating field publishes more, and more visibly, as it matures. If reusable-launch learning is compounding, then more recent records should carry higher topic-signal intensity, because the field’s own vocabulary and preoccupations sharpen over time. The prediction is a positive association between recency and signal score.</w:t>
      </w:r>
    </w:p>
    <w:p>
      <w:pPr>
        <w:pStyle w:val="BodyText"/>
        <w:spacing w:line="480" w:lineRule="auto"/>
        <w:ind w:firstLine="720"/>
      </w:pPr>
      <w:r>
        <w:t xml:space="preserve">The second is citation attention. In a compounding field, the work that anchors the technical conversation attracts citation, and citation is the clearest proxy for the field taking its own output seriously. The naive prediction is that higher citation counts accompany higher topic-signal intensity. This prediction, though, carries a known complication that the theory must anticipate. Citation and venue are entangled, because peer-reviewed articles accrue indexed citations while conference and economy documents often do not</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theory therefore predicts that the citation signal, once venue is controlled, may weaken or even reverse, and it treats that possibility as diagnostic rather than as failure.</w:t>
      </w:r>
    </w:p>
    <w:p>
      <w:pPr>
        <w:pStyle w:val="BodyText"/>
        <w:spacing w:line="480" w:lineRule="auto"/>
        <w:ind w:firstLine="720"/>
      </w:pPr>
      <w:r>
        <w:t xml:space="preserve">The third is venue family. Venues are coded ordinally across three families that differ in how they index attention. The theory does not predict a simple monotonic quality gradient. It predicts that venue family will absorb much of the structure in the corpus, because the families differ systematically in citation practice and in the density of topic vocabulary. A precisely signed venue coefficient would indicate that where a document lives is doing real explanatory work, which is itself a finding about how the field’s attention is organized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77"/>
    <w:bookmarkStart w:id="78" w:name="the-attention-learning-curve"/>
    <w:p>
      <w:pPr>
        <w:pStyle w:val="Heading2"/>
        <w:spacing w:line="480" w:lineRule="auto"/>
      </w:pPr>
      <w:r>
        <w:t xml:space="preserve">3.3 The attention learning curve</w:t>
      </w:r>
    </w:p>
    <w:p>
      <w:pPr>
        <w:pStyle w:val="FirstParagraph"/>
        <w:spacing w:line="480" w:lineRule="auto"/>
      </w:pPr>
      <w:r>
        <w:t xml:space="preserve">The second estimator applies the Wright functional form directly to attention rather than to cost. The idea is to ask whether citation accumulation itself follows a learning-curve shape as a function of article age. Older articles have had more time to accumulate citations, so age is the analogue of exposure, and the log-log specification tests whether citation growth with age has the constant-elasticity form that a Wright process would produce</w:t>
      </w:r>
      <w:r>
        <w:t xml:space="preserve"> </w:t>
      </w:r>
      <w:hyperlink w:anchor="ref-9">
        <w:r>
          <w:rPr>
            <w:rStyle w:val="Hyperlink"/>
          </w:rPr>
          <w:t xml:space="preserve">[9]</w:t>
        </w:r>
      </w:hyperlink>
      <w:r>
        <w:t xml:space="preserve">.</w:t>
      </w:r>
    </w:p>
    <w:p>
      <w:pPr>
        <w:pStyle w:val="BodyText"/>
        <w:spacing w:line="480" w:lineRule="auto"/>
        <w:ind w:firstLine="720"/>
      </w:pPr>
      <w:r>
        <w:t xml:space="preserve">The theoretical prediction here is sharp. If attention accumulates in a structured, age-driven way, the log-log slope should be positive and precise, and it should imply a progress ratio meaningfully different from one. A progress ratio near one would mean that doubling article age barely changes accumulated attention, which would be evidence against a strong age-structured accumulation process. The theory thus supplies a clean falsification target: a flat, imprecise elasticity would say that citation accumulation in this corpus is not organized by age in the way an accumulating field would predict, which in turn weakens the documentary case for a compounding topic</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analogy between the two curves is worth pressing, because its imperfection is informative. A cost learning curve is driven by an internal feedback loop: making the thing teaches the maker to make it more cheaply. An attention learning curve has no such internal loop; citations accumulate through an external social process in which later authors decide what to cite. The two share a functional form but not a mechanism, and that gap means a strong attention curve would be suggestive of a compounding field rather than proof of one, while a flat attention curve would remove a supporting piece of evidence rather than refute the cost claim outright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theory is explicit about this asymmetry so that neither a positive nor a null attention result is over-read in Chapter 6.</w:t>
      </w:r>
    </w:p>
    <w:p>
      <w:pPr>
        <w:pStyle w:val="BodyText"/>
        <w:spacing w:line="480" w:lineRule="auto"/>
        <w:ind w:firstLine="720"/>
      </w:pPr>
      <w:r>
        <w:t xml:space="preserve">Framing attention accumulation as a learning curve is the conceptual heart of the design. It takes the exact functional form that the cost debate cares about and applies it to the one quantity that is actually inspectable. If the attention curve is strong, the documentary shadow of learning is present, and the cost claim gains indirect support. If the attention curve is flat, the shadow is faint, and the cost claim is left resting on assertion.</w:t>
      </w:r>
    </w:p>
    <w:bookmarkEnd w:id="78"/>
    <w:bookmarkStart w:id="79" w:name="Xed2eef251b0fca0a9bd6ebbc9820e60c2b933a4"/>
    <w:p>
      <w:pPr>
        <w:pStyle w:val="Heading2"/>
        <w:spacing w:line="480" w:lineRule="auto"/>
      </w:pPr>
      <w:r>
        <w:t xml:space="preserve">3.35 The progress ratio as the quantity of interest</w:t>
      </w:r>
    </w:p>
    <w:p>
      <w:pPr>
        <w:pStyle w:val="FirstParagraph"/>
        <w:spacing w:line="480" w:lineRule="auto"/>
      </w:pPr>
      <w:r>
        <w:t xml:space="preserve">It is worth isolating why the progress ratio, and not merely the sign of the elasticity, is the number the theory ultimately cares about. In the manufacturing tradition the progress ratio is the entire content of a learning curve: an eighty percent progress ratio means unit cost falls to eighty percent of its prior value each time cumulative output doubles, a compact summary of how fast an organization learns</w:t>
      </w:r>
      <w:r>
        <w:t xml:space="preserve"> </w:t>
      </w:r>
      <w:hyperlink w:anchor="ref-11">
        <w:r>
          <w:rPr>
            <w:rStyle w:val="Hyperlink"/>
          </w:rPr>
          <w:t xml:space="preserve">[11]</w:t>
        </w:r>
      </w:hyperlink>
      <w:r>
        <w:t xml:space="preserve">. Applied to attention, the progress ratio would say by what factor accumulated citations change each time an article’s age doubles, and a ratio meaningfully below or above one would encode a real age-structured process. A ratio sitting essentially at one would encode no such process, because doubling age would leave accumulated attention unchanged.</w:t>
      </w:r>
    </w:p>
    <w:p>
      <w:pPr>
        <w:pStyle w:val="BodyText"/>
        <w:spacing w:line="480" w:lineRule="auto"/>
        <w:ind w:firstLine="720"/>
      </w:pPr>
      <w:r>
        <w:t xml:space="preserve">The theory therefore sets its falsification target on the progress ratio rather than on statistical significance alone, because a significant but tiny effect and an insignificant tiny effect would carry the same substantive message: no meaningful learning shape</w:t>
      </w:r>
      <w:r>
        <w:t xml:space="preserve"> </w:t>
      </w:r>
      <w:hyperlink w:anchor="ref-9">
        <w:r>
          <w:rPr>
            <w:rStyle w:val="Hyperlink"/>
          </w:rPr>
          <w:t xml:space="preserve">[9]</w:t>
        </w:r>
      </w:hyperlink>
      <w:r>
        <w:t xml:space="preserve">. This is a deliberate guard against a common failure mode in which a large sample turns a trivial slope into a significant one and the researcher celebrates the significance while ignoring the triviality. In this small sample the risk runs the other way, toward a real effect the data cannot certify, but the discipline is the same. The theory commits to reading the progress ratio’s distance from one as the measure of learning, and Chapter 6 reports a ratio so close to one that both its significance and its magnitude point to the same null</w:t>
      </w:r>
      <w:r>
        <w:t xml:space="preserve"> </w:t>
      </w:r>
      <w:hyperlink w:anchor="ref-11">
        <w:r>
          <w:rPr>
            <w:rStyle w:val="Hyperlink"/>
          </w:rPr>
          <w:t xml:space="preserve">[11]</w:t>
        </w:r>
      </w:hyperlink>
      <w:r>
        <w:t xml:space="preserve">.</w:t>
      </w:r>
    </w:p>
    <w:bookmarkEnd w:id="79"/>
    <w:bookmarkStart w:id="80" w:name="hypotheses"/>
    <w:p>
      <w:pPr>
        <w:pStyle w:val="Heading2"/>
        <w:spacing w:line="480" w:lineRule="auto"/>
      </w:pPr>
      <w:r>
        <w:t xml:space="preserve">3.4 Hypotheses</w:t>
      </w:r>
    </w:p>
    <w:p>
      <w:pPr>
        <w:pStyle w:val="FirstParagraph"/>
        <w:spacing w:line="480" w:lineRule="auto"/>
      </w:pPr>
      <w:r>
        <w:t xml:space="preserve">The framework yields two testable hypotheses, stated as null and alternative pairs and mapped to the two estimators.</w:t>
      </w:r>
    </w:p>
    <w:p>
      <w:pPr>
        <w:pStyle w:val="BodyText"/>
        <w:spacing w:line="480" w:lineRule="auto"/>
        <w:ind w:firstLine="720"/>
      </w:pPr>
      <w:r>
        <w:t xml:space="preserve">For the cross-sectional signal model:</w:t>
      </w:r>
    </w:p>
    <w:p>
      <w:pPr>
        <w:pStyle w:val="BodyText"/>
        <w:spacing w:line="480" w:lineRule="auto"/>
        <w:ind w:firstLine="720"/>
      </w:pPr>
      <w:r>
        <w:rPr>
          <w:b/>
          <w:bCs/>
        </w:rPr>
        <w:t xml:space="preserve">H0a:</w:t>
      </w:r>
      <w:r>
        <w:t xml:space="preserve"> </w:t>
      </w:r>
      <w:r>
        <w:t xml:space="preserve">topic-signal intensity is unrelated to publication recency, citation attention, and venue family.</w:t>
      </w:r>
    </w:p>
    <w:p>
      <w:pPr>
        <w:pStyle w:val="BodyText"/>
        <w:spacing w:line="480" w:lineRule="auto"/>
        <w:ind w:firstLine="720"/>
      </w:pPr>
      <w:r>
        <w:rPr>
          <w:b/>
          <w:bCs/>
        </w:rPr>
        <w:t xml:space="preserve">H1a:</w:t>
      </w:r>
      <w:r>
        <w:t xml:space="preserve"> </w:t>
      </w:r>
      <w:r>
        <w:t xml:space="preserve">topic-signal intensity is systematically related to those predictors, with recency and citation attention entering positively where the field is compounding, and venue family absorbing structural differences in indexing practice.</w:t>
      </w:r>
    </w:p>
    <w:p>
      <w:pPr>
        <w:pStyle w:val="BodyText"/>
        <w:spacing w:line="480" w:lineRule="auto"/>
        <w:ind w:firstLine="720"/>
      </w:pPr>
      <w:r>
        <w:t xml:space="preserve">For the attention learning-curve model:</w:t>
      </w:r>
    </w:p>
    <w:p>
      <w:pPr>
        <w:pStyle w:val="BodyText"/>
        <w:spacing w:line="480" w:lineRule="auto"/>
        <w:ind w:firstLine="720"/>
      </w:pPr>
      <w:r>
        <w:rPr>
          <w:b/>
          <w:bCs/>
        </w:rPr>
        <w:t xml:space="preserve">H0b:</w:t>
      </w:r>
      <w:r>
        <w:t xml:space="preserve"> </w:t>
      </w:r>
      <w:r>
        <w:t xml:space="preserve">citation accumulation is unrelated to article age in the retrieved topic literature.</w:t>
      </w:r>
    </w:p>
    <w:p>
      <w:pPr>
        <w:pStyle w:val="BodyText"/>
        <w:spacing w:line="480" w:lineRule="auto"/>
        <w:ind w:firstLine="720"/>
      </w:pPr>
      <w:r>
        <w:rPr>
          <w:b/>
          <w:bCs/>
        </w:rPr>
        <w:t xml:space="preserve">H1b:</w:t>
      </w:r>
      <w:r>
        <w:t xml:space="preserve"> </w:t>
      </w:r>
      <w:r>
        <w:t xml:space="preserve">citation accumulation follows a measurable, age-structured learning curve, with a positive and precise log-log elasticity and a progress ratio distinguishable from one.</w:t>
      </w:r>
    </w:p>
    <w:bookmarkEnd w:id="80"/>
    <w:bookmarkStart w:id="81" w:name="Xc41e26d7d85f2a9f1d8f3a2fa898211b58c9ea7"/>
    <w:p>
      <w:pPr>
        <w:pStyle w:val="Heading2"/>
        <w:spacing w:line="480" w:lineRule="auto"/>
      </w:pPr>
      <w:r>
        <w:t xml:space="preserve">3.45 Why the mechanism does not require a single trace to dominate</w:t>
      </w:r>
    </w:p>
    <w:p>
      <w:pPr>
        <w:pStyle w:val="FirstParagraph"/>
        <w:spacing w:line="480" w:lineRule="auto"/>
      </w:pPr>
      <w:r>
        <w:t xml:space="preserve">A common misreading of this kind of design expects every signal to point the same way, as though a real learning process would light up recency, citations, and venue in unison. The mechanism makes no such demand. It requires only that the theory say, in advance, what each trace would mean if it moved and what it would mean if it did not</w:t>
      </w:r>
      <w:r>
        <w:t xml:space="preserve"> </w:t>
      </w:r>
      <w:hyperlink w:anchor="ref-4">
        <w:r>
          <w:rPr>
            <w:rStyle w:val="Hyperlink"/>
          </w:rPr>
          <w:t xml:space="preserve">[4]</w:t>
        </w:r>
      </w:hyperlink>
      <w:r>
        <w:t xml:space="preserve"> </w:t>
      </w:r>
      <w:hyperlink w:anchor="ref-6">
        <w:r>
          <w:rPr>
            <w:rStyle w:val="Hyperlink"/>
          </w:rPr>
          <w:t xml:space="preserve">[6]</w:t>
        </w:r>
      </w:hyperlink>
      <w:r>
        <w:t xml:space="preserve">. A field can be compounding while its recency signal is strong and its citation signal is muddied by venue, or it can be dormant while all three traces stay flat. The framework’s job is to attach a meaning to each pattern, not to insist on a single tidy pattern. This tolerance for divergent traces is what lets the eventual result, one precise venue coefficient amid several imprecise ones, be interpreted as a coherent diagnosis rather than as a confusing mixture. The mechanism predicted exactly that venue could carry the structure while the accumulation traces stayed weak, and reading the result through that prediction is what keeps the interpretation disciplined</w:t>
      </w:r>
      <w:r>
        <w:t xml:space="preserve"> </w:t>
      </w:r>
      <w:hyperlink w:anchor="ref-7">
        <w:r>
          <w:rPr>
            <w:rStyle w:val="Hyperlink"/>
          </w:rPr>
          <w:t xml:space="preserve">[7]</w:t>
        </w:r>
      </w:hyperlink>
      <w:r>
        <w:t xml:space="preserve">.</w:t>
      </w:r>
    </w:p>
    <w:bookmarkEnd w:id="81"/>
    <w:bookmarkStart w:id="82" w:name="what-each-outcome-would-mean"/>
    <w:p>
      <w:pPr>
        <w:pStyle w:val="Heading2"/>
        <w:spacing w:line="480" w:lineRule="auto"/>
      </w:pPr>
      <w:r>
        <w:t xml:space="preserve">3.5 What each outcome would mean</w:t>
      </w:r>
    </w:p>
    <w:p>
      <w:pPr>
        <w:pStyle w:val="FirstParagraph"/>
        <w:spacing w:line="480" w:lineRule="auto"/>
      </w:pPr>
      <w:r>
        <w:t xml:space="preserve">The theory commits, in advance, to an interpretation of every plausible result. If H1a holds with a positive recency coefficient and a coherent venue structure, the corpus behaves like an accumulating field and the documentary shadow of learning is present. If the recency and citation coefficients are imprecise while venue is precisely signed, the reading is that the corpus’s structure is dominated by where documents are indexed rather than by a smooth accumulation of topic attention, which complicates the simple learning story without refuting it outright</w:t>
      </w:r>
      <w:r>
        <w:t xml:space="preserve"> </w:t>
      </w:r>
      <w:hyperlink w:anchor="ref-6">
        <w:r>
          <w:rPr>
            <w:rStyle w:val="Hyperlink"/>
          </w:rPr>
          <w:t xml:space="preserve">[6]</w:t>
        </w:r>
      </w:hyperlink>
      <w:r>
        <w:t xml:space="preserve"> </w:t>
      </w:r>
      <w:hyperlink w:anchor="ref-7">
        <w:r>
          <w:rPr>
            <w:rStyle w:val="Hyperlink"/>
          </w:rPr>
          <w:t xml:space="preserve">[7]</w:t>
        </w:r>
      </w:hyperlink>
      <w:r>
        <w:t xml:space="preserve">. If H0b cannot be rejected, the attention curve is flat, and the documentary case for compounding is weak on its own terms.</w:t>
      </w:r>
    </w:p>
    <w:p>
      <w:pPr>
        <w:pStyle w:val="BodyText"/>
        <w:spacing w:line="480" w:lineRule="auto"/>
        <w:ind w:firstLine="720"/>
      </w:pPr>
      <w:r>
        <w:t xml:space="preserve">This pre-commitment is what makes the design a test rather than a search for confirmation. The estimators cannot be re-read after the fact to rescue a preferred conclusion, because each coefficient’s meaning is fixed here, before the numbers are reported. Chapter 6 will show that the corpus delivers a mixed verdict: one precisely signed structural coefficient, several imprecise ones, and a flat attention curve. The theory built in this chapter is what lets that mixed verdict be interpreted responsibly rather than spun. A framework that only knew how to celebrate significance would have nothing useful to say about a field whose documentary shadow turns out to be faint, and the reusable-launch topic, on this evidence, casts a fainter shadow than its strategic prominence would suggest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82"/>
    <w:bookmarkStart w:id="83" w:name="X96517d633ce4a9f5f39f5c29020b24494bc3882"/>
    <w:p>
      <w:pPr>
        <w:pStyle w:val="Heading2"/>
        <w:spacing w:line="480" w:lineRule="auto"/>
      </w:pPr>
      <w:r>
        <w:t xml:space="preserve">3.6 The auxiliary assumptions the mechanism rests on</w:t>
      </w:r>
    </w:p>
    <w:p>
      <w:pPr>
        <w:pStyle w:val="FirstParagraph"/>
        <w:spacing w:line="480" w:lineRule="auto"/>
      </w:pPr>
      <w:r>
        <w:t xml:space="preserve">Every inference from shadow to object depends on auxiliary assumptions, and intellectual honesty requires naming them before the test rather than after. The first is that activity leaves a documentary trace roughly in proportion to its intensity. This holds well for peer-reviewed venues, where a active subfield generates a steady stream of indexed articles, and poorly for strategy and economy documents, whose production is driven by policy cycles rather than by technical progress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mechanism is therefore stronger for the engineering-heavy portion of the corpus and weaker for the rest, which predicts, in advance, that venue family will matter and that the accumulation signal will be cleaner within the peer-reviewed subset than across the whole pack.</w:t>
      </w:r>
    </w:p>
    <w:p>
      <w:pPr>
        <w:pStyle w:val="BodyText"/>
        <w:spacing w:line="480" w:lineRule="auto"/>
        <w:ind w:firstLine="720"/>
      </w:pPr>
      <w:r>
        <w:t xml:space="preserve">The second assumption is that citation attention tracks a field’s assessment of importance rather than mere age or fashion. This assumption is known to be fragile. Citations accrue with exposure, so older work is advantaged mechanically, and citation practices differ sharply across venues, so a conference paper and a journal article of equal merit accumulate very different counts</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theory accommodates this by predicting that the raw citation signal will be entangled with venue and age, and by treating a clean age-attention curve as the demanding test rather than the expected default. If the assumption held perfectly, the learning-curve model would find a strong elasticity; the theory’s willingness to entertain a flat result is a direct concession that the assumption is imperfect.</w:t>
      </w:r>
    </w:p>
    <w:p>
      <w:pPr>
        <w:pStyle w:val="BodyText"/>
        <w:spacing w:line="480" w:lineRule="auto"/>
        <w:ind w:firstLine="720"/>
      </w:pPr>
      <w:r>
        <w:t xml:space="preserve">The third assumption is that the retrieval that produced the pack is not itself the source of the structure the estimators find. If the retrieval systematically over-sampled recent peer-reviewed articles, for instance, an apparent recency or venue effect could be an artifact of selection rather than a property of the field. The design cannot fully rule this out, and Chapter 7 treats it as a live threat. The mechanism’s honest form is conditional on the retrieval being a reasonable, if imperfect, window onto the topic, and the interpretation throughout is calibrated to that conditionality rather than pretending the window is transparent</w:t>
      </w:r>
      <w:r>
        <w:t xml:space="preserve"> </w:t>
      </w:r>
      <w:hyperlink w:anchor="ref-5">
        <w:r>
          <w:rPr>
            <w:rStyle w:val="Hyperlink"/>
          </w:rPr>
          <w:t xml:space="preserve">[5]</w:t>
        </w:r>
      </w:hyperlink>
      <w:r>
        <w:t xml:space="preserve"> </w:t>
      </w:r>
      <w:hyperlink w:anchor="ref-6">
        <w:r>
          <w:rPr>
            <w:rStyle w:val="Hyperlink"/>
          </w:rPr>
          <w:t xml:space="preserve">[6]</w:t>
        </w:r>
      </w:hyperlink>
      <w:r>
        <w:t xml:space="preserve">. Naming these three assumptions here means that when Chapter 6 reports a venue-dominated, accumulation-poor result, the reader can locate that result inside the theory rather than being surprised by it.</w:t>
      </w:r>
    </w:p>
    <w:bookmarkEnd w:id="83"/>
    <w:bookmarkStart w:id="84" w:name="X3f88de48c887beea26252a57254c1b884a40ab2"/>
    <w:p>
      <w:pPr>
        <w:pStyle w:val="Heading2"/>
        <w:spacing w:line="480" w:lineRule="auto"/>
      </w:pPr>
      <w:r>
        <w:t xml:space="preserve">3.7 What a strong result and a weak result each imply for policy</w:t>
      </w:r>
    </w:p>
    <w:p>
      <w:pPr>
        <w:pStyle w:val="FirstParagraph"/>
        <w:spacing w:line="480" w:lineRule="auto"/>
      </w:pPr>
      <w:r>
        <w:t xml:space="preserve">The theory would be incomplete if it stopped at statistical interpretation, because the point of the exercise is to inform reasoning about reusable launch. A strong result, with positive precise recency and a rising attention curve, would say that the field is visibly compounding in its own record, which would lend indirect support to the planning assumption that reuse bends the cost curve and would justify a fuller, more expensive study of primary cost documents</w:t>
      </w:r>
      <w:r>
        <w:t xml:space="preserve"> </w:t>
      </w:r>
      <w:hyperlink w:anchor="ref-3">
        <w:r>
          <w:rPr>
            <w:rStyle w:val="Hyperlink"/>
          </w:rPr>
          <w:t xml:space="preserve">[3]</w:t>
        </w:r>
      </w:hyperlink>
      <w:r>
        <w:t xml:space="preserve">. It would not prove the cost claim, but it would raise the prior enough to warrant the investment in a direct test.</w:t>
      </w:r>
    </w:p>
    <w:p>
      <w:pPr>
        <w:pStyle w:val="BodyText"/>
        <w:spacing w:line="480" w:lineRule="auto"/>
        <w:ind w:firstLine="720"/>
      </w:pPr>
      <w:r>
        <w:t xml:space="preserve">A mixed result, which is what the corpus actually delivers, is the case the theory most needs to be ready for, and the framework is built to interpret it without improvisation. If the multivariate signal model finds structure concentrated in venue while the attention curve is flat, the reading is specific: the corpus is organized by publishing practice rather than by an accumulation process, so the field’s documentary footprint is real but is not the footprint a compounding technical process would leave</w:t>
      </w:r>
      <w:r>
        <w:t xml:space="preserve"> </w:t>
      </w:r>
      <w:hyperlink w:anchor="ref-6">
        <w:r>
          <w:rPr>
            <w:rStyle w:val="Hyperlink"/>
          </w:rPr>
          <w:t xml:space="preserve">[6]</w:t>
        </w:r>
      </w:hyperlink>
      <w:r>
        <w:t xml:space="preserve"> </w:t>
      </w:r>
      <w:hyperlink w:anchor="ref-7">
        <w:r>
          <w:rPr>
            <w:rStyle w:val="Hyperlink"/>
          </w:rPr>
          <w:t xml:space="preserve">[7]</w:t>
        </w:r>
      </w:hyperlink>
      <w:r>
        <w:t xml:space="preserve">. That reading is neither confirmation nor refutation of the learning-curve hypothesis; it is a diagnosis of where the corpus’s structure actually lives, and it tells a follow-on researcher that venue is the confound to design around next. Committing to this interpretation in advance is what prevents the mixed result from being narrated into whichever conclusion the researcher prefers.</w:t>
      </w:r>
    </w:p>
    <w:p>
      <w:pPr>
        <w:pStyle w:val="BodyText"/>
        <w:spacing w:line="480" w:lineRule="auto"/>
        <w:ind w:firstLine="720"/>
      </w:pPr>
      <w:r>
        <w:t xml:space="preserve">A weak result carries a different and equally actionable message. If the documentary shadow is faint, the planning assumption is running ahead of the inspectable evidence, and decisions leaning heavily on a strong learning curve should be hedged accordingly</w:t>
      </w:r>
      <w:r>
        <w:t xml:space="preserve"> </w:t>
      </w:r>
      <w:hyperlink w:anchor="ref-1">
        <w:r>
          <w:rPr>
            <w:rStyle w:val="Hyperlink"/>
          </w:rPr>
          <w:t xml:space="preserve">[1]</w:t>
        </w:r>
      </w:hyperlink>
      <w:r>
        <w:t xml:space="preserve">. The weak result does not counsel abandoning reuse, because absence of a documentary shadow is not proof of absent learning, particularly in a field whose designs are still turbulent. It counsels proportioning confidence to evidence, which is a governance discipline in its own right. The theory thus commits to a policy reading of both outcomes, so that Chapter 8 can draw implications from whatever Chapter 6 reports without improvising an interpretation to fit the result</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84"/>
    <w:bookmarkEnd w:id="85"/>
    <w:bookmarkStart w:id="9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do the work of this dissertation. Neither is exotic. Both are chosen because they are transparent, because their assumptions are inspectable, and because they map cleanly onto the two hypotheses developed in Chapter 3. This chapter explains what each estimator is, why it is the right screen for this evidence, and, above all, what it can and cannot identify. Identification is the crux. A method that produced a number without a defensible account of what the number means would be worse than no method at all.</w:t>
      </w:r>
    </w:p>
    <w:bookmarkStart w:id="86" w:name="the-cross-sectional-signal-model"/>
    <w:p>
      <w:pPr>
        <w:pStyle w:val="Heading2"/>
        <w:spacing w:line="480" w:lineRule="auto"/>
      </w:pPr>
      <w:r>
        <w:t xml:space="preserve">4.1 The cross-sectional signal model</w:t>
      </w:r>
    </w:p>
    <w:p>
      <w:pPr>
        <w:pStyle w:val="FirstParagraph"/>
        <w:spacing w:line="480" w:lineRule="auto"/>
      </w:pPr>
      <w:r>
        <w:t xml:space="preserve">The first estimator is ordinary least squares. The outcome is a composite topic-signal score constructed for each retrieved source record, and the predictors are publication recency, reported citation count, and an ordinal venue-family score. The specification is linear and additive:</w:t>
      </w:r>
    </w:p>
    <w:p>
      <w:pPr>
        <w:pStyle w:val="BodyText"/>
        <w:spacing w:line="480" w:lineRule="auto"/>
        <w:ind w:firstLine="720"/>
      </w:pPr>
      <w:r>
        <w:t xml:space="preserve">SignalScore = alpha + beta1 (RecencyIndex) + beta2 (Cites) + beta3 (VenueScore) + error</w:t>
      </w:r>
    </w:p>
    <w:p>
      <w:pPr>
        <w:pStyle w:val="BodyText"/>
        <w:spacing w:line="480" w:lineRule="auto"/>
        <w:ind w:firstLine="720"/>
      </w:pPr>
      <w:r>
        <w:t xml:space="preserve">Ordinary least squares is the correct starting screen for three reasons. It is the most legible model available, so a reader can see exactly how each predictor enters. Its coefficients have a direct interpretation as the change in signal score associated with a one-unit change in a predictor, holding the others fixed. And its diagnostic apparatus, R-squared, the F statistic, and per-coefficient p-values, gives a full and honest picture of how much structure the model actually captures. For a design whose whole purpose is auditability, legibility is not a luxury. It is the point.</w:t>
      </w:r>
    </w:p>
    <w:p>
      <w:pPr>
        <w:pStyle w:val="BodyText"/>
        <w:spacing w:line="480" w:lineRule="auto"/>
        <w:ind w:firstLine="720"/>
      </w:pPr>
      <w:r>
        <w:t xml:space="preserve">The additive linear form deserves a word of defense, since a critic might prefer interactions or nonlinear terms. The defense is sample size. With thirty records and three predictors, adding interaction terms would consume degrees of freedom the data cannot spare, and each added parameter would be estimated with even less precision than the main effects already carry</w:t>
      </w:r>
      <w:r>
        <w:t xml:space="preserve"> </w:t>
      </w:r>
      <w:hyperlink w:anchor="ref-4">
        <w:r>
          <w:rPr>
            <w:rStyle w:val="Hyperlink"/>
          </w:rPr>
          <w:t xml:space="preserve">[4]</w:t>
        </w:r>
      </w:hyperlink>
      <w:r>
        <w:t xml:space="preserve">. The additive form is the honest ceiling on model complexity for this N. It asks whether each predictor carries an independent linear association with the outcome, which is the simplest question that can distinguish a structured corpus from an unstructured one, and it refuses to pretend the data can support a subtler question they cannot answer.</w:t>
      </w:r>
    </w:p>
    <w:p>
      <w:pPr>
        <w:pStyle w:val="BodyText"/>
        <w:spacing w:line="480" w:lineRule="auto"/>
        <w:ind w:firstLine="720"/>
      </w:pPr>
      <w:r>
        <w:t xml:space="preserve">Standard errors are computed with the robust HC1 correction. This choice anticipates that the errors may be heteroskedastic across venue families, which differ in how signal score is generated and in how tightly it clusters. HC1 does not require the researcher to know the exact form of that heteroskedasticity. It corrects the inference without imposing an untestable assumption about error structure, which is exactly the conservative posture a small-sample screen should adopt</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alternative, assuming homoskedastic errors and reporting classical standard errors, would risk overstating precision precisely where the data are most uneven.</w:t>
      </w:r>
    </w:p>
    <w:bookmarkEnd w:id="86"/>
    <w:bookmarkStart w:id="87" w:name="Xfa0f57fab06df7f2b160990089283301081bf4e"/>
    <w:p>
      <w:pPr>
        <w:pStyle w:val="Heading2"/>
        <w:spacing w:line="480" w:lineRule="auto"/>
      </w:pPr>
      <w:r>
        <w:t xml:space="preserve">4.2 What the signal model identifies, and what it does not</w:t>
      </w:r>
    </w:p>
    <w:p>
      <w:pPr>
        <w:pStyle w:val="FirstParagraph"/>
        <w:spacing w:line="480" w:lineRule="auto"/>
      </w:pPr>
      <w:r>
        <w:t xml:space="preserve">The signal model identifies conditional association, not causation. Each coefficient measures how signal score co-moves with a predictor once the other predictors are held constant, within this specific retrieved corpus. That is a real and useful quantity, because it reveals whether the corpus is structured along the dimensions the theory nominated. It is not a treatment effect. Recency does not cause signal score in any manipulable sense; both are features of documents that a field produces as it evolves.</w:t>
      </w:r>
    </w:p>
    <w:p>
      <w:pPr>
        <w:pStyle w:val="BodyText"/>
        <w:spacing w:line="480" w:lineRule="auto"/>
        <w:ind w:firstLine="720"/>
      </w:pPr>
      <w:r>
        <w:t xml:space="preserve">The venue coefficient deserves particular care, because it is where the identification is cleanest and also where over-reading is most tempting. Venue family is entangled with citation practice: peer-reviewed articles accrue indexed citations that conference and economy documents largely do not</w:t>
      </w:r>
      <w:r>
        <w:t xml:space="preserve"> </w:t>
      </w:r>
      <w:hyperlink w:anchor="ref-7">
        <w:r>
          <w:rPr>
            <w:rStyle w:val="Hyperlink"/>
          </w:rPr>
          <w:t xml:space="preserve">[7]</w:t>
        </w:r>
      </w:hyperlink>
      <w:r>
        <w:t xml:space="preserve"> </w:t>
      </w:r>
      <w:hyperlink w:anchor="ref-8">
        <w:r>
          <w:rPr>
            <w:rStyle w:val="Hyperlink"/>
          </w:rPr>
          <w:t xml:space="preserve">[8]</w:t>
        </w:r>
      </w:hyperlink>
      <w:r>
        <w:t xml:space="preserve">. When both citation count and venue enter the same model, each coefficient is identified conditional on the other, which means the citation coefficient reports the association of citations with signal score at a fixed venue level, and the venue coefficient reports the association of venue with signal score at a fixed citation level. This mutual conditioning is a feature. It lets the model separate, at least partially, the effect of being cited from the effect of living in a particular kind of venue, and Chapter 6 shows that separation producing a precisely signed venue coefficient alongside imprecise citation and recency coefficients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identification’s limit is honest and specific. With thirty observations and three predictors, the model has limited power to resolve small associations, and collinearity between citation count and venue family inflates the standard errors on both. A coefficient that is imprecise here should be read as the model declining to certify an association, not as a positive finding of no association. That distinction governs every interpretation in Chapter 6 and is the reason the design treats imprecision as informative caution rather than as a null result to be announced.</w:t>
      </w:r>
    </w:p>
    <w:bookmarkEnd w:id="87"/>
    <w:bookmarkStart w:id="88" w:name="the-attention-learning-curve-model"/>
    <w:p>
      <w:pPr>
        <w:pStyle w:val="Heading2"/>
        <w:spacing w:line="480" w:lineRule="auto"/>
      </w:pPr>
      <w:r>
        <w:t xml:space="preserve">4.3 The attention learning-curve model</w:t>
      </w:r>
    </w:p>
    <w:p>
      <w:pPr>
        <w:pStyle w:val="FirstParagraph"/>
        <w:spacing w:line="480" w:lineRule="auto"/>
      </w:pPr>
      <w:r>
        <w:t xml:space="preserve">The second estimator applies the Wright functional form to attention. It regresses the log of citation count plus one on the log of an article-age index:</w:t>
      </w:r>
    </w:p>
    <w:p>
      <w:pPr>
        <w:pStyle w:val="BodyText"/>
        <w:spacing w:line="480" w:lineRule="auto"/>
        <w:ind w:firstLine="720"/>
      </w:pPr>
      <w:r>
        <w:t xml:space="preserve">ln(CitesPlus1) = alpha + beta1 ln(AgeIndex) + error</w:t>
      </w:r>
    </w:p>
    <w:p>
      <w:pPr>
        <w:pStyle w:val="BodyText"/>
        <w:spacing w:line="480" w:lineRule="auto"/>
        <w:ind w:firstLine="720"/>
      </w:pPr>
      <w:r>
        <w:t xml:space="preserve">The log-log form is not a stylistic choice. It is the exact specification the learning-curve theory demands, because a constant-elasticity relationship between age and accumulated attention appears as a straight line in log-log space, and the slope is the elasticity. That slope, transformed, yields a progress ratio: the factor by which accumulated attention changes when age doubles. The functional form thus carries the entire theoretical claim, and estimating it is a direct test of whether attention in this corpus accumulates the way a learning process would predict</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Reporting the elasticity and the progress ratio together, rather than either alone, is a deliberate interpretive choice. The elasticity is the raw slope and answers the statistical question of whether age moves attention. The progress ratio re-expresses that same slope in the units the learning-curve tradition uses, the factor by which the outcome changes per doubling, and answers the substantive question of how much</w:t>
      </w:r>
      <w:r>
        <w:t xml:space="preserve"> </w:t>
      </w:r>
      <w:hyperlink w:anchor="ref-11">
        <w:r>
          <w:rPr>
            <w:rStyle w:val="Hyperlink"/>
          </w:rPr>
          <w:t xml:space="preserve">[11]</w:t>
        </w:r>
      </w:hyperlink>
      <w:r>
        <w:t xml:space="preserve">. A reader fluent in regression wants the elasticity; a reader fluent in learning curves wants the progress ratio; the design serves both by reporting both from the identical fitted slope, so there is no possibility of the two figures telling different stories. Chapter 6 presents them side by side for exactly this reason</w:t>
      </w:r>
      <w:r>
        <w:t xml:space="preserve"> </w:t>
      </w:r>
      <w:hyperlink w:anchor="ref-9">
        <w:r>
          <w:rPr>
            <w:rStyle w:val="Hyperlink"/>
          </w:rPr>
          <w:t xml:space="preserve">[9]</w:t>
        </w:r>
      </w:hyperlink>
      <w:r>
        <w:t xml:space="preserve">.</w:t>
      </w:r>
    </w:p>
    <w:p>
      <w:pPr>
        <w:pStyle w:val="BodyText"/>
        <w:spacing w:line="480" w:lineRule="auto"/>
        <w:ind w:firstLine="720"/>
      </w:pPr>
      <w:r>
        <w:t xml:space="preserve">The plus-one transformation on citations is a measurement necessity with a real consequence. Many records in the corpus report zero indexed citations, and the log of zero is undefined, so citations are shifted by one before the transformation. This keeps the uncited records in the sample rather than dropping them, which matters because dropping the zeros would bias the estimate toward the peer-reviewed articles that dominate the citation counts. The cost is that the intercept and the low end of the curve are shaped partly by the transformation rather than purely by the data, a point revisited in Chapter 7.</w:t>
      </w:r>
    </w:p>
    <w:bookmarkEnd w:id="88"/>
    <w:bookmarkStart w:id="89" w:name="what-the-learning-curve-model-identifies"/>
    <w:p>
      <w:pPr>
        <w:pStyle w:val="Heading2"/>
        <w:spacing w:line="480" w:lineRule="auto"/>
      </w:pPr>
      <w:r>
        <w:t xml:space="preserve">4.4 What the learning-curve model identifies</w:t>
      </w:r>
    </w:p>
    <w:p>
      <w:pPr>
        <w:pStyle w:val="FirstParagraph"/>
        <w:spacing w:line="480" w:lineRule="auto"/>
      </w:pPr>
      <w:r>
        <w:t xml:space="preserve">This estimator identifies the elasticity of accumulated attention with respect to article age, within the retrieved corpus. A positive, precise slope would identify an age-structured accumulation process consistent with the theory. A flat, imprecise slope would identify the absence of such a process in this corpus, which is a clean falsification of H1b. The progress ratio makes the magnitude interpretable: a ratio near one means doubling age barely moves accumulated attention, while a ratio well away from one would mean age strongly organizes attention.</w:t>
      </w:r>
    </w:p>
    <w:p>
      <w:pPr>
        <w:pStyle w:val="BodyText"/>
        <w:spacing w:line="480" w:lineRule="auto"/>
        <w:ind w:firstLine="720"/>
      </w:pPr>
      <w:r>
        <w:t xml:space="preserve">The identification’s boundary is again the entanglement of age with venue and citation practice. Age correlates with venue family in this corpus because the peer-reviewed articles cluster at particular ages and carry most of the nonzero citations. The single-predictor learning-curve model does not control for venue, by design, because its purpose is to test the raw age-attention shape that the Wright form predicts. That simplicity is a strength for the specific hypothesis and a limit for any broader claim, and Chapter 7 is explicit that a venue-conditioned attention model is one of the natural extensions this screen motivates</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89"/>
    <w:bookmarkStart w:id="90" w:name="Xc8c0a5a04ae1aea7efa4d9e2470de8ec3f51461"/>
    <w:p>
      <w:pPr>
        <w:pStyle w:val="Heading2"/>
        <w:spacing w:line="480" w:lineRule="auto"/>
      </w:pPr>
      <w:r>
        <w:t xml:space="preserve">4.45 The inference framework and its small-sample caveats</w:t>
      </w:r>
    </w:p>
    <w:p>
      <w:pPr>
        <w:pStyle w:val="FirstParagraph"/>
        <w:spacing w:line="480" w:lineRule="auto"/>
      </w:pPr>
      <w:r>
        <w:t xml:space="preserve">The p-values reported throughout rest on an asymptotic normal approximation to the sampling distribution of the coefficients, and with thirty observations that approximation is a genuine caveat rather than a formality. Robust HC1 standard errors improve on the classical version by not assuming constant error variance, but they too are justified by large-sample theory, and thirty records is not a large sample</w:t>
      </w:r>
      <w:r>
        <w:t xml:space="preserve"> </w:t>
      </w:r>
      <w:hyperlink w:anchor="ref-4">
        <w:r>
          <w:rPr>
            <w:rStyle w:val="Hyperlink"/>
          </w:rPr>
          <w:t xml:space="preserve">[4]</w:t>
        </w:r>
      </w:hyperlink>
      <w:r>
        <w:t xml:space="preserve">. The practical consequence is that the p-values should be read as approximate guides to precision, not as exact probabilities, and the interpretation leans on the coefficients that are unambiguously precise or unambiguously imprecise rather than on any borderline case. Nothing in the results hinges on a coefficient near a conventional threshold, which is fortunate, because a borderline result would be the one least trustworthy under a small-sample approximation.</w:t>
      </w:r>
    </w:p>
    <w:p>
      <w:pPr>
        <w:pStyle w:val="BodyText"/>
        <w:spacing w:line="480" w:lineRule="auto"/>
        <w:ind w:firstLine="720"/>
      </w:pPr>
      <w:r>
        <w:t xml:space="preserve">This is why the design refuses to stake any claim on marginal significance. A coefficient with a p-value near a threshold, in a sample this size, could move to either side of it under a modest change in the standard-error estimator or the addition of a few records</w:t>
      </w:r>
      <w:r>
        <w:t xml:space="preserve"> </w:t>
      </w:r>
      <w:hyperlink w:anchor="ref-9">
        <w:r>
          <w:rPr>
            <w:rStyle w:val="Hyperlink"/>
          </w:rPr>
          <w:t xml:space="preserve">[9]</w:t>
        </w:r>
      </w:hyperlink>
      <w:r>
        <w:t xml:space="preserve">. The venue coefficient’s p-value of 0.0048 and the age slope’s p-value of 0.9582 are both far from any threshold, so the qualitative reading, one precise structural effect and one clean null, is robust to the approximation’s imperfections. The recency and citation coefficients, near the middle of the probability scale, are read as uncertifiable in either direction. The inference framework, in short, is used to sort coefficients into precise, null, and uncertifiable bins, not to make fine distinctions the sample cannot support, and that coarse but honest use is the appropriate one for a documentary screen</w:t>
      </w:r>
      <w:r>
        <w:t xml:space="preserve"> </w:t>
      </w:r>
      <w:hyperlink w:anchor="ref-6">
        <w:r>
          <w:rPr>
            <w:rStyle w:val="Hyperlink"/>
          </w:rPr>
          <w:t xml:space="preserve">[6]</w:t>
        </w:r>
      </w:hyperlink>
      <w:r>
        <w:t xml:space="preserve">.</w:t>
      </w:r>
    </w:p>
    <w:p>
      <w:pPr>
        <w:pStyle w:val="BodyText"/>
        <w:spacing w:line="480" w:lineRule="auto"/>
        <w:ind w:firstLine="720"/>
      </w:pPr>
      <w:r>
        <w:t xml:space="preserve">A further inferential point concerns multiplicity. Two models and four slope coefficients are estimated, which raises the usual question of whether testing several hypotheses inflates the chance of a spurious significant finding. Here the concern is mild, because only one coefficient is significant and its p-value is small enough to survive a conservative correction for the handful of tests performed</w:t>
      </w:r>
      <w:r>
        <w:t xml:space="preserve"> </w:t>
      </w:r>
      <w:hyperlink w:anchor="ref-4">
        <w:r>
          <w:rPr>
            <w:rStyle w:val="Hyperlink"/>
          </w:rPr>
          <w:t xml:space="preserve">[4]</w:t>
        </w:r>
      </w:hyperlink>
      <w:r>
        <w:t xml:space="preserve">. The design does not lean on a coefficient that would lose significance once multiplicity is accounted for, which means the venue finding is not an artifact of testing many things and reporting the one that happened to cross a line. Stating this explicitly forecloses a natural objection and keeps the single certified result credible.</w:t>
      </w:r>
    </w:p>
    <w:bookmarkEnd w:id="90"/>
    <w:bookmarkStart w:id="91" w:name="why-two-estimators-rather-than-one"/>
    <w:p>
      <w:pPr>
        <w:pStyle w:val="Heading2"/>
        <w:spacing w:line="480" w:lineRule="auto"/>
      </w:pPr>
      <w:r>
        <w:t xml:space="preserve">4.5 Why two estimators rather than one</w:t>
      </w:r>
    </w:p>
    <w:p>
      <w:pPr>
        <w:pStyle w:val="FirstParagraph"/>
        <w:spacing w:line="480" w:lineRule="auto"/>
      </w:pPr>
      <w:r>
        <w:t xml:space="preserve">Running both models is a deliberate triangulation. The signal model tests whether the corpus is structured along recency, citation, and venue simultaneously, giving a multivariate picture. The learning-curve model tests one sharp, theory-driven functional form on the attention data alone. If both pointed the same way, the documentary shadow of learning would be corroborated from two angles. If they disagree, the disagreement is itself diagnostic, because it localizes where the corpus does and does not behave like an accumulating field.</w:t>
      </w:r>
    </w:p>
    <w:p>
      <w:pPr>
        <w:pStyle w:val="BodyText"/>
        <w:spacing w:line="480" w:lineRule="auto"/>
        <w:ind w:firstLine="720"/>
      </w:pPr>
      <w:r>
        <w:t xml:space="preserve">The two estimators also guard against a single method’s blind spots. Ordinary least squares can miss a nonlinear age-attention shape that the log-log model is built to catch. The log-log model, in turn, cannot see the multivariate venue structure that the signal model isolates. Using them together means the conclusion does not hinge on one specification’s idiosyncrasies, which is the closest a small-sample documentary design can come to robustness</w:t>
      </w:r>
      <w:r>
        <w:t xml:space="preserve"> </w:t>
      </w:r>
      <w:hyperlink w:anchor="ref-4">
        <w:r>
          <w:rPr>
            <w:rStyle w:val="Hyperlink"/>
          </w:rPr>
          <w:t xml:space="preserve">[4]</w:t>
        </w:r>
      </w:hyperlink>
      <w:r>
        <w:t xml:space="preserve"> </w:t>
      </w:r>
      <w:hyperlink w:anchor="ref-9">
        <w:r>
          <w:rPr>
            <w:rStyle w:val="Hyperlink"/>
          </w:rPr>
          <w:t xml:space="preserve">[9]</w:t>
        </w:r>
      </w:hyperlink>
      <w:r>
        <w:t xml:space="preserve">. Chapter 6 reports both in full, and the mixed picture they produce, one precise structural coefficient in the signal model, a flat elasticity in the learning-curve model, is exactly the kind of nuanced result that two complementary screens are designed to surface rather than to smooth over.</w:t>
      </w:r>
    </w:p>
    <w:bookmarkEnd w:id="91"/>
    <w:bookmarkStart w:id="92" w:name="X16eb76a78382445f898a9a0bc7f41c54ece513c"/>
    <w:p>
      <w:pPr>
        <w:pStyle w:val="Heading2"/>
        <w:spacing w:line="480" w:lineRule="auto"/>
      </w:pPr>
      <w:r>
        <w:t xml:space="preserve">4.55 Determinism as a methodological commitment</w:t>
      </w:r>
    </w:p>
    <w:p>
      <w:pPr>
        <w:pStyle w:val="FirstParagraph"/>
        <w:spacing w:line="480" w:lineRule="auto"/>
      </w:pPr>
      <w:r>
        <w:t xml:space="preserve">Both estimators are deterministic given the source record set, and that determinism is a methodological commitment worth stating alongside the statistical machinery. There is no random seed, no stochastic training step, and no discretionary tuning between the data and the coefficients</w:t>
      </w:r>
      <w:r>
        <w:t xml:space="preserve"> </w:t>
      </w:r>
      <w:hyperlink w:anchor="ref-9">
        <w:r>
          <w:rPr>
            <w:rStyle w:val="Hyperlink"/>
          </w:rPr>
          <w:t xml:space="preserve">[9]</w:t>
        </w:r>
      </w:hyperlink>
      <w:r>
        <w:t xml:space="preserve">. The same pack, run through the same specifications, yields the same numbers every time, which means the estimator output in Chapter 6 is not one draw from a distribution of possible analyses but the unique result the design produces. This forecloses a whole class of concern about researcher degrees of freedom, because there are almost none to exploit: the variables are fixed functions of documented fields and the estimators are fixed specifications</w:t>
      </w:r>
      <w:r>
        <w:t xml:space="preserve"> </w:t>
      </w:r>
      <w:hyperlink w:anchor="ref-4">
        <w:r>
          <w:rPr>
            <w:rStyle w:val="Hyperlink"/>
          </w:rPr>
          <w:t xml:space="preserve">[4]</w:t>
        </w:r>
      </w:hyperlink>
      <w:r>
        <w:t xml:space="preserve">. Determinism is the estimation-side counterpart of the provenance discipline on the data side, and together they make the entire chain from source to coefficient reproducible by anyone who obtains the pack.</w:t>
      </w:r>
    </w:p>
    <w:bookmarkEnd w:id="92"/>
    <w:bookmarkStart w:id="93" w:name="the-role-of-the-fit-statistics"/>
    <w:p>
      <w:pPr>
        <w:pStyle w:val="Heading2"/>
        <w:spacing w:line="480" w:lineRule="auto"/>
      </w:pPr>
      <w:r>
        <w:t xml:space="preserve">4.6 The role of the fit statistics</w:t>
      </w:r>
    </w:p>
    <w:p>
      <w:pPr>
        <w:pStyle w:val="FirstParagraph"/>
        <w:spacing w:line="480" w:lineRule="auto"/>
      </w:pPr>
      <w:r>
        <w:t xml:space="preserve">A coefficient in isolation can mislead, so the design leans on the accompanying fit statistics to keep interpretation honest, and it is worth stating in advance how each is read. The F statistic and its p-value test the joint null that all slopes are zero, which answers a prior question the individual coefficients cannot: is there any structure here at all? A design that reported only per-coefficient p-values could miss a corpus that is jointly structured even when no single predictor dominates, or could over-read a lone significant coefficient in a model that explains almost nothing jointly. Reporting the F test alongside the coefficients guards against both errors</w:t>
      </w:r>
      <w:r>
        <w:t xml:space="preserve"> </w:t>
      </w:r>
      <w:hyperlink w:anchor="ref-4">
        <w:r>
          <w:rPr>
            <w:rStyle w:val="Hyperlink"/>
          </w:rPr>
          <w:t xml:space="preserve">[4]</w:t>
        </w:r>
      </w:hyperlink>
      <w:r>
        <w:t xml:space="preserve">.</w:t>
      </w:r>
    </w:p>
    <w:p>
      <w:pPr>
        <w:pStyle w:val="BodyText"/>
        <w:spacing w:line="480" w:lineRule="auto"/>
        <w:ind w:firstLine="720"/>
      </w:pPr>
      <w:r>
        <w:t xml:space="preserve">The R-squared plays a complementary and deliberately deflating role. It measures the share of outcome variation the model captures, and in a small documentary sample it is easy to be seduced by a significant coefficient while ignoring how little of the outcome the model actually explains. The design treats a modest R-squared as a standing reminder that most of what drives the outcome lies outside the specified predictors, which is exactly the caution a screen should carry into its conclusions</w:t>
      </w:r>
      <w:r>
        <w:t xml:space="preserve"> </w:t>
      </w:r>
      <w:hyperlink w:anchor="ref-6">
        <w:r>
          <w:rPr>
            <w:rStyle w:val="Hyperlink"/>
          </w:rPr>
          <w:t xml:space="preserve">[6]</w:t>
        </w:r>
      </w:hyperlink>
      <w:r>
        <w:t xml:space="preserve">. When Chapter 6 reports a jointly significant signal model whose R-squared nonetheless leaves most variation unexplained, both facts are reported together, because omitting either would distort the reader’s sense of what the model found.</w:t>
      </w:r>
    </w:p>
    <w:p>
      <w:pPr>
        <w:pStyle w:val="BodyText"/>
        <w:spacing w:line="480" w:lineRule="auto"/>
        <w:ind w:firstLine="720"/>
      </w:pPr>
      <w:r>
        <w:t xml:space="preserve">For the learning-curve model the R-squared is even more load-bearing, because that model has a single predictor and its entire claim is that age organizes attention. A near-zero R-squared there is not a footnote; it is the headline, because it says directly that age explains essentially none of the variation in accumulated attention</w:t>
      </w:r>
      <w:r>
        <w:t xml:space="preserve"> </w:t>
      </w:r>
      <w:hyperlink w:anchor="ref-9">
        <w:r>
          <w:rPr>
            <w:rStyle w:val="Hyperlink"/>
          </w:rPr>
          <w:t xml:space="preserve">[9]</w:t>
        </w:r>
      </w:hyperlink>
      <w:r>
        <w:t xml:space="preserve">. The design’s insistence on reporting the R-squared prominently for both models is what lets a flat learning curve be recognized as a clean null rather than being obscured by an intercept that happens to be estimable. Fit statistics, in this design, are not diagnostic afterthoughts. They are part of the finding.</w:t>
      </w:r>
    </w:p>
    <w:bookmarkEnd w:id="93"/>
    <w:bookmarkStart w:id="94" w:name="alternatives-considered-and-rejected"/>
    <w:p>
      <w:pPr>
        <w:pStyle w:val="Heading2"/>
        <w:spacing w:line="480" w:lineRule="auto"/>
      </w:pPr>
      <w:r>
        <w:t xml:space="preserve">4.7 Alternatives considered and rejected</w:t>
      </w:r>
    </w:p>
    <w:p>
      <w:pPr>
        <w:pStyle w:val="FirstParagraph"/>
        <w:spacing w:line="480" w:lineRule="auto"/>
      </w:pPr>
      <w:r>
        <w:t xml:space="preserve">The choice of two simple estimators was made against alternatives, and naming the rejected options clarifies why the simple screens are appropriate. A richer regularized model, or a machine-learning feature-selection approach of the kind used in satellite characterization, was rejected because thirty observations cannot support it: such methods need far more data to avoid overfitting, and their outputs are harder to audit line by line</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whole value of this design is inspectability, and a method whose internals a reader cannot follow would forfeit that value even if it fit the sample better.</w:t>
      </w:r>
    </w:p>
    <w:p>
      <w:pPr>
        <w:pStyle w:val="BodyText"/>
        <w:spacing w:line="480" w:lineRule="auto"/>
        <w:ind w:firstLine="720"/>
      </w:pPr>
      <w:r>
        <w:t xml:space="preserve">A count model for the citation outcome, rather than the log-log transformation, was also considered, since citations are non-negative integers and a count specification is statistically natural. It was set aside because the theoretical target is specifically the Wright learning-curve functional form, which lives in log-log space and yields an interpretable progress ratio</w:t>
      </w:r>
      <w:r>
        <w:t xml:space="preserve"> </w:t>
      </w:r>
      <w:hyperlink w:anchor="ref-11">
        <w:r>
          <w:rPr>
            <w:rStyle w:val="Hyperlink"/>
          </w:rPr>
          <w:t xml:space="preserve">[11]</w:t>
        </w:r>
      </w:hyperlink>
      <w:r>
        <w:t xml:space="preserve">. Fitting a count model would answer a different question than the one the dissertation poses. The plus-one log transformation is the honest way to keep the uncited records while preserving the learning-curve form, and its cost, a curve shaped partly by the transformation at the low end, is disclosed rather than hidden</w:t>
      </w:r>
      <w:r>
        <w:t xml:space="preserve"> </w:t>
      </w:r>
      <w:hyperlink w:anchor="ref-9">
        <w:r>
          <w:rPr>
            <w:rStyle w:val="Hyperlink"/>
          </w:rPr>
          <w:t xml:space="preserve">[9]</w:t>
        </w:r>
      </w:hyperlink>
      <w:r>
        <w:t xml:space="preserve">. Choosing the simpler, theory-matched specification over the statistically fancier one is a considered decision, not a default, and it follows directly from the design’s commitment to answering the exact question the theory asks with the most legible tool that can ask it.</w:t>
      </w:r>
    </w:p>
    <w:bookmarkEnd w:id="94"/>
    <w:bookmarkEnd w:id="95"/>
    <w:bookmarkStart w:id="104" w:name="chapter-5.-data-and-measurement"/>
    <w:p>
      <w:pPr>
        <w:pStyle w:val="Heading1"/>
        <w:spacing w:line="480" w:lineRule="auto"/>
      </w:pPr>
      <w:r>
        <w:t xml:space="preserve">Chapter 5. Data and Measurement</w:t>
      </w:r>
    </w:p>
    <w:p>
      <w:pPr>
        <w:pStyle w:val="FirstParagraph"/>
        <w:spacing w:line="480" w:lineRule="auto"/>
      </w:pPr>
      <w:r>
        <w:t xml:space="preserve">A test is only as trustworthy as the data behind it. Provenance is the whole game. Data are only trustworthy when their construction is fully documented. This chapter opens the workbooks. It describes the source record set, defines every variable used in the two estimators, explains where each value comes from, and states the sample size plainly. The governing principle is that a reader should be able to walk from any coefficient in Chapter 6 back to a specific row and a specific source, and back again. Nothing here is estimated. Everything here is counted, parsed, or coded from records that carry their provenance with them.</w:t>
      </w:r>
    </w:p>
    <w:bookmarkStart w:id="96" w:name="the-source-record-set"/>
    <w:p>
      <w:pPr>
        <w:pStyle w:val="Heading2"/>
        <w:spacing w:line="480" w:lineRule="auto"/>
      </w:pPr>
      <w:r>
        <w:t xml:space="preserve">5.1 The source record set</w:t>
      </w:r>
    </w:p>
    <w:p>
      <w:pPr>
        <w:pStyle w:val="FirstParagraph"/>
        <w:spacing w:line="480" w:lineRule="auto"/>
      </w:pPr>
      <w:r>
        <w:t xml:space="preserve">The evidence base is a candidate-specific source record set of thirty retrieved records. The records are not a random sample of the launch literature. They are the documents the retrieval surfaced for the reusable-launch topic, and they span three venue families that differ in kind. The first family is conference proceedings in the AMOS tradition, which includes strategy, policy, and characterization work presented at a space-surveillance venue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The second is peer-reviewed articles in Acta Astronautica, which supply the engineering and propulsion record</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third is a set of space-economy documents, including roadmap and forecasting material addressing the commercial and strategic economics of the sector.</w:t>
      </w:r>
    </w:p>
    <w:p>
      <w:pPr>
        <w:pStyle w:val="BodyText"/>
        <w:spacing w:line="480" w:lineRule="auto"/>
        <w:ind w:firstLine="720"/>
      </w:pPr>
      <w:r>
        <w:t xml:space="preserve">Each record enters the workbook as one row, and each row carries a source column. For the peer-reviewed and conference records the source is a resolvable identifier: a digital object identifier for the journal articles, or a conference URL for the AMOS proceedings. For the economy documents the source is the document title or, where available, an identifier. This provenance field is not decoration. It is the mechanism that makes the workbook auditable, because it lets any reader locate the underlying document and check the derived values against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A dataset without provenance is an assertion; a dataset with it is a record.</w:t>
      </w:r>
    </w:p>
    <w:p>
      <w:pPr>
        <w:pStyle w:val="BodyText"/>
        <w:spacing w:line="480" w:lineRule="auto"/>
        <w:ind w:firstLine="720"/>
      </w:pPr>
      <w:r>
        <w:t xml:space="preserve">The composition of the pack shapes what the estimators can see, and honesty requires naming that up front. Twelve of the thirty records sit in the AMOS conference family and carry a venue score of one. Twelve sit in the Acta Astronautica family with a venue score of two, and these are the records that carry essentially all of the nonzero citation counts. Six are space-economy documents with a venue score of three, and these carry no indexed citations and thin metadata. That distribution is why venue family and citation attention are entangled, and it is why Chapter 4 was careful about what the conditional coefficients can and cannot separate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6"/>
    <w:bookmarkStart w:id="97" w:name="variables-in-the-signal-model"/>
    <w:p>
      <w:pPr>
        <w:pStyle w:val="Heading2"/>
        <w:spacing w:line="480" w:lineRule="auto"/>
      </w:pPr>
      <w:r>
        <w:t xml:space="preserve">5.2 Variables in the signal model</w:t>
      </w:r>
    </w:p>
    <w:p>
      <w:pPr>
        <w:pStyle w:val="FirstParagraph"/>
        <w:spacing w:line="480" w:lineRule="auto"/>
      </w:pPr>
      <w:r>
        <w:t xml:space="preserve">The signal model uses one outcome and three predictors, all constructed deterministically from record metadata.</w:t>
      </w:r>
    </w:p>
    <w:p>
      <w:pPr>
        <w:pStyle w:val="BodyText"/>
        <w:spacing w:line="480" w:lineRule="auto"/>
        <w:ind w:firstLine="720"/>
      </w:pPr>
      <w:r>
        <w:t xml:space="preserve">The outcome is the topic-signal score. It is a composite count built from candidate-theme term hits across four metadata fields: the source title, the retrieved snippet, the keyword field, and the author metadata. Each field is scanned for terms tied to the reusable-launch topic, and the hits are combined into a single integer per record. Because the score is a count of term matches rather than a judgment, it is fully reproducible: the same record and the same term set always yield the same score. In the pack the score ranges from one, for records whose metadata barely touch the topic vocabulary, to six, for records densely aligned with it. Several AMOS strategy and characterization records reach the high end, while the economy documents, whose snippets and keyword fields are sparse or empty, cluster at the low end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recency index measures how new a record is relative to the pack. It is computed as the publication year minus the minimum publication year in the sample plus one, so the oldest record scores one and each later year increments upward. In this pack the earliest records are from 2018 and the recency index runs up to nine for a 2026 record. Recency is a clean, monotone encoding of time that lets the model test whether newer records carry more topic signal without imposing any nonlinear structure on the year variable.</w:t>
      </w:r>
    </w:p>
    <w:p>
      <w:pPr>
        <w:pStyle w:val="BodyText"/>
        <w:spacing w:line="480" w:lineRule="auto"/>
        <w:ind w:firstLine="720"/>
      </w:pPr>
      <w:r>
        <w:t xml:space="preserve">The citation count is the reported citation figure parsed from the local brain index field for each record. Where the index reported no citation count, the value is zero. This variable is deliberately labeled as a local index measure rather than a universal citation total, because it reflects what the retrieval index recorded, not a comprehensive harvest from a citation database. The peer-reviewed articles carry the substantive values, with counts reaching into the thirties for the older propulsion and flight-experiment articles, while the conference and economy records report zero</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concentration of citations in one venue family is the single most consequential feature of the measurement, and it drives much of what Chapter 6 finds.</w:t>
      </w:r>
    </w:p>
    <w:p>
      <w:pPr>
        <w:pStyle w:val="BodyText"/>
        <w:spacing w:line="480" w:lineRule="auto"/>
        <w:ind w:firstLine="720"/>
      </w:pPr>
      <w:r>
        <w:t xml:space="preserve">The venue score is an ordinal code across the three families: AMOS equals one, Acta Astronautica equals two, and Space Economy equals three. The ordering encodes venue kind, not a claim about quality, and Chapter 4 was explicit that it should not be read as a quality gradient. The code exists so the model can absorb systematic differences in how the three families generate signal score and accrue citations, and its precisely signed coefficient in Chapter 6 shows that it does exactly that work</w:t>
      </w:r>
      <w:r>
        <w:t xml:space="preserve"> </w:t>
      </w:r>
      <w:hyperlink w:anchor="ref-6">
        <w:r>
          <w:rPr>
            <w:rStyle w:val="Hyperlink"/>
          </w:rPr>
          <w:t xml:space="preserve">[6]</w:t>
        </w:r>
      </w:hyperlink>
      <w:r>
        <w:t xml:space="preserve">.</w:t>
      </w:r>
    </w:p>
    <w:bookmarkEnd w:id="97"/>
    <w:bookmarkStart w:id="98" w:name="variables-in-the-learning-curve-model"/>
    <w:p>
      <w:pPr>
        <w:pStyle w:val="Heading2"/>
        <w:spacing w:line="480" w:lineRule="auto"/>
      </w:pPr>
      <w:r>
        <w:t xml:space="preserve">5.3 Variables in the learning-curve model</w:t>
      </w:r>
    </w:p>
    <w:p>
      <w:pPr>
        <w:pStyle w:val="FirstParagraph"/>
        <w:spacing w:line="480" w:lineRule="auto"/>
      </w:pPr>
      <w:r>
        <w:t xml:space="preserve">The learning-curve model uses a transformed citation outcome and a single age predictor, both built from the same records.</w:t>
      </w:r>
    </w:p>
    <w:p>
      <w:pPr>
        <w:pStyle w:val="BodyText"/>
        <w:spacing w:line="480" w:lineRule="auto"/>
        <w:ind w:firstLine="720"/>
      </w:pPr>
      <w:r>
        <w:t xml:space="preserve">The citation-plus-one outcome is the reported citation count shifted upward by one. The shift is a measurement necessity, because the log transformation at the heart of the learning-curve specification is undefined at zero and many records report zero indexed citations. Adding one keeps every record in the sample, including the uncited conference and economy documents, so the estimate is not silently restricted to the peer-reviewed subset. In the pack the transformed outcome ranges from one, for the many uncited records, to thirty-six, for the most-cited propulsion article</w:t>
      </w:r>
      <w:r>
        <w:t xml:space="preserve"> </w:t>
      </w:r>
      <w:hyperlink w:anchor="ref-13">
        <w:r>
          <w:rPr>
            <w:rStyle w:val="Hyperlink"/>
          </w:rPr>
          <w:t xml:space="preserve">[13]</w:t>
        </w:r>
      </w:hyperlink>
      <w:r>
        <w:t xml:space="preserve">.</w:t>
      </w:r>
    </w:p>
    <w:p>
      <w:pPr>
        <w:pStyle w:val="BodyText"/>
        <w:spacing w:line="480" w:lineRule="auto"/>
        <w:ind w:firstLine="720"/>
      </w:pPr>
      <w:r>
        <w:t xml:space="preserve">The age index measures how old each record is. It is computed as 2026 minus the publication year plus one, so a 2026 record scores one and the oldest 2018 records score nine. Age is the exposure variable in the learning-curve logic: older records have had more time to accumulate citations, and the model tests whether accumulated attention scales with age in the constant-elasticity way the Wright form predicts. Because age and citation count are both concentrated in the peer-reviewed family, the raw age-attention relationship the model estimates is shaped by that concentration, a dependency Chapter 7 examines directly</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98"/>
    <w:bookmarkStart w:id="99" w:name="the-source-column-as-the-audit-spine"/>
    <w:p>
      <w:pPr>
        <w:pStyle w:val="Heading2"/>
        <w:spacing w:line="480" w:lineRule="auto"/>
      </w:pPr>
      <w:r>
        <w:t xml:space="preserve">5.35 The source column as the audit spine</w:t>
      </w:r>
    </w:p>
    <w:p>
      <w:pPr>
        <w:pStyle w:val="FirstParagraph"/>
        <w:spacing w:line="480" w:lineRule="auto"/>
      </w:pPr>
      <w:r>
        <w:t xml:space="preserve">The single most important field in both datasets is the one that carries no numeric weight: the source column. Every row records where its document came from, as a digital object identifier for the journal articles or a conference URL for the AMOS records, and that field is what converts the dataset from an assertion into an auditable record</w:t>
      </w:r>
      <w:r>
        <w:t xml:space="preserve"> </w:t>
      </w:r>
      <w:hyperlink w:anchor="ref-3">
        <w:r>
          <w:rPr>
            <w:rStyle w:val="Hyperlink"/>
          </w:rPr>
          <w:t xml:space="preserve">[3]</w:t>
        </w:r>
      </w:hyperlink>
      <w:r>
        <w:t xml:space="preserve"> </w:t>
      </w:r>
      <w:hyperlink w:anchor="ref-12">
        <w:r>
          <w:rPr>
            <w:rStyle w:val="Hyperlink"/>
          </w:rPr>
          <w:t xml:space="preserve">[12]</w:t>
        </w:r>
      </w:hyperlink>
      <w:r>
        <w:t xml:space="preserve">. A reader who doubts a signal score can open the source, read the title and snippet, and recount the theme hits. A reader who doubts a citation count can locate the article and check the index. The audit spine runs through this column, and its presence in every row is the concrete expression of the provenance discipline the whole design rests on</w:t>
      </w:r>
      <w:r>
        <w:t xml:space="preserve"> </w:t>
      </w:r>
      <w:hyperlink w:anchor="ref-5">
        <w:r>
          <w:rPr>
            <w:rStyle w:val="Hyperlink"/>
          </w:rPr>
          <w:t xml:space="preserve">[5]</w:t>
        </w:r>
      </w:hyperlink>
      <w:r>
        <w:t xml:space="preserve">. A dataset that reported the same thirty rows without provenance would be exactly as accurate and far less credible, because credibility in a documentary design comes from traceability rather than from the researcher’s authority</w:t>
      </w:r>
      <w:r>
        <w:t xml:space="preserve"> </w:t>
      </w:r>
      <w:hyperlink w:anchor="ref-6">
        <w:r>
          <w:rPr>
            <w:rStyle w:val="Hyperlink"/>
          </w:rPr>
          <w:t xml:space="preserve">[6]</w:t>
        </w:r>
      </w:hyperlink>
      <w:r>
        <w:t xml:space="preserve">.</w:t>
      </w:r>
    </w:p>
    <w:bookmarkEnd w:id="99"/>
    <w:bookmarkStart w:id="100" w:name="sample-size-and-its-consequences"/>
    <w:p>
      <w:pPr>
        <w:pStyle w:val="Heading2"/>
        <w:spacing w:line="480" w:lineRule="auto"/>
      </w:pPr>
      <w:r>
        <w:t xml:space="preserve">5.4 Sample size and its consequences</w:t>
      </w:r>
    </w:p>
    <w:p>
      <w:pPr>
        <w:pStyle w:val="FirstParagraph"/>
        <w:spacing w:line="480" w:lineRule="auto"/>
      </w:pPr>
      <w:r>
        <w:t xml:space="preserve">The sample is thirty records in both estimators. That number is stated without euphemism because it governs the strength of every claim in this dissertation. Thirty observations are enough to estimate a small number of coefficients and to compute honest robust standard errors, but not enough to resolve small associations or to support elaborate specifications. The design respects this by using parsimonious models, three predictors in the signal model and one in the learning-curve model, and by reading imprecise coefficients as the data declining to certify an association rather than as positive evidence of no relationship</w:t>
      </w:r>
      <w:r>
        <w:t xml:space="preserve"> </w:t>
      </w:r>
      <w:hyperlink w:anchor="ref-4">
        <w:r>
          <w:rPr>
            <w:rStyle w:val="Hyperlink"/>
          </w:rPr>
          <w:t xml:space="preserve">[4]</w:t>
        </w:r>
      </w:hyperlink>
      <w:r>
        <w:t xml:space="preserve">.</w:t>
      </w:r>
    </w:p>
    <w:p>
      <w:pPr>
        <w:pStyle w:val="BodyText"/>
        <w:spacing w:line="480" w:lineRule="auto"/>
        <w:ind w:firstLine="720"/>
      </w:pPr>
      <w:r>
        <w:t xml:space="preserve">A small N also concentrates influence. In a thirty-row pack, a handful of high-citation propulsion articles carry most of the variation in the citation and age variables, so the learning-curve estimate is sensitive to that cluster. This is not a defect to be hidden; it is a property of a documentary screen built from the records a topic actually generated. The proper response is transparency about which records drive which results, and the provenance field makes that transparency possible. Chapter 6 reports the estimator output exactly as the workbooks produce it, and Chapter 7 traces the sensitivity back to this measurement structure</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00"/>
    <w:bookmarkStart w:id="101" w:name="reproducibility-and-provenance"/>
    <w:p>
      <w:pPr>
        <w:pStyle w:val="Heading2"/>
        <w:spacing w:line="480" w:lineRule="auto"/>
      </w:pPr>
      <w:r>
        <w:t xml:space="preserve">5.5 Reproducibility and provenance</w:t>
      </w:r>
    </w:p>
    <w:p>
      <w:pPr>
        <w:pStyle w:val="FirstParagraph"/>
        <w:spacing w:line="480" w:lineRule="auto"/>
      </w:pPr>
      <w:r>
        <w:t xml:space="preserve">The measurement design is built so that the entire chain is reproducible. Every variable is a deterministic function of documented record fields: signal score counts term hits, recency and age are arithmetic on publication year, citation count is parsed from a named index field, and venue score is a fixed ordinal map. Given the same source record set, any analyst re-running the construction would obtain the same thirty rows and the same values. There is no hand tuning, no discretionary recoding, and no dropped observations except through the transparent plus-one handling of zeros in the learning-curve outcome.</w:t>
      </w:r>
    </w:p>
    <w:p>
      <w:pPr>
        <w:pStyle w:val="BodyText"/>
        <w:spacing w:line="480" w:lineRule="auto"/>
        <w:ind w:firstLine="720"/>
      </w:pPr>
      <w:r>
        <w:t xml:space="preserve">This reproducibility is the dissertation’s central methodological asset. The cost of working with documentary shadows rather than launch prices is that the findings are indirect. The compensating benefit is that every step from source to coefficient is inspectable, which is more than can be said for narratives built on unpublished cost figures</w:t>
      </w:r>
      <w:r>
        <w:t xml:space="preserve"> </w:t>
      </w:r>
      <w:hyperlink w:anchor="ref-3">
        <w:r>
          <w:rPr>
            <w:rStyle w:val="Hyperlink"/>
          </w:rPr>
          <w:t xml:space="preserve">[3]</w:t>
        </w:r>
      </w:hyperlink>
      <w:r>
        <w:t xml:space="preserve">. The data cannot tell us what a kilogram to orbit costs. They can tell us, with full auditability, how the retrieved literature on reusable-launch learning is structured, and that is the claim the next chapter tests.</w:t>
      </w:r>
    </w:p>
    <w:bookmarkEnd w:id="101"/>
    <w:bookmarkStart w:id="102" w:name="X219820ebd6b5af4b6f53c9ed483fc5ee66605bd"/>
    <w:p>
      <w:pPr>
        <w:pStyle w:val="Heading2"/>
        <w:spacing w:line="480" w:lineRule="auto"/>
      </w:pPr>
      <w:r>
        <w:t xml:space="preserve">5.6 A closer look at the three venue families</w:t>
      </w:r>
    </w:p>
    <w:p>
      <w:pPr>
        <w:pStyle w:val="FirstParagraph"/>
        <w:spacing w:line="480" w:lineRule="auto"/>
      </w:pPr>
      <w:r>
        <w:t xml:space="preserve">The three venue families are not interchangeable bins, and understanding their internal character is necessary to read the venue coefficient correctly in Chapter 6. The AMOS conference family, coded one, is the most heterogeneous. It holds strategy and policy analysis alongside technical characterization work, so its records range from a burden-sharing policy piece to a machine-learning satellite-characterization study</w:t>
      </w:r>
      <w:r>
        <w:t xml:space="preserve"> </w:t>
      </w:r>
      <w:hyperlink w:anchor="ref-1">
        <w:r>
          <w:rPr>
            <w:rStyle w:val="Hyperlink"/>
          </w:rPr>
          <w:t xml:space="preserve">[1]</w:t>
        </w:r>
      </w:hyperlink>
      <w:r>
        <w:t xml:space="preserve"> </w:t>
      </w:r>
      <w:hyperlink w:anchor="ref-4">
        <w:r>
          <w:rPr>
            <w:rStyle w:val="Hyperlink"/>
          </w:rPr>
          <w:t xml:space="preserve">[4]</w:t>
        </w:r>
      </w:hyperlink>
      <w:r>
        <w:t xml:space="preserve">. What unites them is a venue culture that does not generate indexed citation counts in the retrieval, which is why every AMOS record in the pack carries a citation value of zero. Their signal scores, though, are often high, because conference titles, snippets, and keyword fields are dense with topic vocabulary. This combination, high signal and zero indexed citations, is what makes the AMOS family the anchor against which the venue coefficient is measured.</w:t>
      </w:r>
    </w:p>
    <w:p>
      <w:pPr>
        <w:pStyle w:val="BodyText"/>
        <w:spacing w:line="480" w:lineRule="auto"/>
        <w:ind w:firstLine="720"/>
      </w:pPr>
      <w:r>
        <w:t xml:space="preserve">The Acta Astronautica family, coded two, is the engineering spine of the corpus and the only family carrying substantial citation counts. Its records are peer-reviewed articles on propulsion, flight experiments, control, and mission design, and their citation values range from low single digits for recent articles to the low and mid thirties for the older propulsion and flight-experiment work</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These records are where the learning-curve model finds its only nonzero variation, and their distribution across publication years is precisely what determines whether the age-attention curve has any slope to estimate. Because a few of these articles carry most of the corpus’s total citations, they exert outsized influence on both estimators, a point Chapter 7 develops into an explicit sensitivity concern</w:t>
      </w:r>
      <w:r>
        <w:t xml:space="preserve"> </w:t>
      </w:r>
      <w:hyperlink w:anchor="ref-9">
        <w:r>
          <w:rPr>
            <w:rStyle w:val="Hyperlink"/>
          </w:rPr>
          <w:t xml:space="preserve">[9]</w:t>
        </w:r>
      </w:hyperlink>
      <w:r>
        <w:t xml:space="preserve">.</w:t>
      </w:r>
    </w:p>
    <w:p>
      <w:pPr>
        <w:pStyle w:val="BodyText"/>
        <w:spacing w:line="480" w:lineRule="auto"/>
        <w:ind w:firstLine="720"/>
      </w:pPr>
      <w:r>
        <w:t xml:space="preserve">Within the Acta family the citation distribution is itself informative about why the learning curve later comes out flat. The most-cited records are the older propulsion and flight-experiment articles, with counts in the low thirties, while several recent Acta articles carry only single-digit counts despite addressing active topics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If citations rose cleanly with age, the oldest records would be the most cited and the youngest the least, in a smooth gradient. Instead the counts are lumpy: a 2020 engine-simulator article and a 2023 control article both carry counts in the twenties, while a 2018 article carries the maximum and some intermediate-age articles carry very few</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This lumpiness, visible in the raw data before any model is fit, is the direct cause of the near-zero age elasticity Chapter 6 reports, and seeing it here in the distribution makes that later null unsurprising.</w:t>
      </w:r>
    </w:p>
    <w:p>
      <w:pPr>
        <w:pStyle w:val="BodyText"/>
        <w:spacing w:line="480" w:lineRule="auto"/>
        <w:ind w:firstLine="720"/>
      </w:pPr>
      <w:r>
        <w:t xml:space="preserve">The space-economy family, coded three, is the sparsest. Its six records are roadmap, forecasting, and strategic-economics documents whose retrieval metadata often lack snippets and keyword fields entirely, leaving their signal scores at the low end and their citation counts at zero. This sparseness is not a coding error; it reflects that these documents were surfaced by title and identifier rather than by rich indexed metadata. The consequence is mechanical and important: the highest-coded venue family carries the lowest signal scores, which is the arithmetic behind the negative venue coefficient reported in Chapter 6. Recognizing that the sign is partly driven by metadata richness, rather than purely by substantive topic engagement, is essential to interpreting it responsibly</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2"/>
    <w:bookmarkStart w:id="103" w:name="Xc90c3f86231e783553ef0472f9fccb86da4f4ee"/>
    <w:p>
      <w:pPr>
        <w:pStyle w:val="Heading2"/>
        <w:spacing w:line="480" w:lineRule="auto"/>
      </w:pPr>
      <w:r>
        <w:t xml:space="preserve">5.7 Variable distributions and what they foreshadow</w:t>
      </w:r>
    </w:p>
    <w:p>
      <w:pPr>
        <w:pStyle w:val="FirstParagraph"/>
        <w:spacing w:line="480" w:lineRule="auto"/>
      </w:pPr>
      <w:r>
        <w:t xml:space="preserve">Looking at how the variables are distributed across the thirty rows foreshadows the results and guards against surprise. The signal score is bounded and low-valued, ranging from one to six, with the high values concentrated in AMOS strategy and characterization records and the low values in economy documents. That distribution means the outcome has limited spread, which constrains how much any predictor can explain and sets a low ceiling on the achievable R-squared</w:t>
      </w:r>
      <w:r>
        <w:t xml:space="preserve"> </w:t>
      </w:r>
      <w:hyperlink w:anchor="ref-4">
        <w:r>
          <w:rPr>
            <w:rStyle w:val="Hyperlink"/>
          </w:rPr>
          <w:t xml:space="preserve">[4]</w:t>
        </w:r>
      </w:hyperlink>
      <w:r>
        <w:t xml:space="preserve">. A reader who expects a large explained-variance figure from this outcome has misjudged the raw material; the outcome simply does not vary enough to be explained in large proportion.</w:t>
      </w:r>
    </w:p>
    <w:p>
      <w:pPr>
        <w:pStyle w:val="BodyText"/>
        <w:spacing w:line="480" w:lineRule="auto"/>
        <w:ind w:firstLine="720"/>
      </w:pPr>
      <w:r>
        <w:t xml:space="preserve">The citation variable is heavily right-skewed and mostly zero. Of the thirty records, the majority report zero indexed citations, and the nonzero mass sits entirely in the Acta family, with a long tail reaching the mid thirties</w:t>
      </w:r>
      <w:r>
        <w:t xml:space="preserve"> </w:t>
      </w:r>
      <w:hyperlink w:anchor="ref-13">
        <w:r>
          <w:rPr>
            <w:rStyle w:val="Hyperlink"/>
          </w:rPr>
          <w:t xml:space="preserve">[13]</w:t>
        </w:r>
      </w:hyperlink>
      <w:r>
        <w:t xml:space="preserve">. This skew is the reason the raw citation coefficient in the signal model is weak once venue is controlled: after netting out the venue family that carries all the citations, little independent citation variation remains to explain the outcome</w:t>
      </w:r>
      <w:r>
        <w:t xml:space="preserve"> </w:t>
      </w:r>
      <w:hyperlink w:anchor="ref-7">
        <w:r>
          <w:rPr>
            <w:rStyle w:val="Hyperlink"/>
          </w:rPr>
          <w:t xml:space="preserve">[7]</w:t>
        </w:r>
      </w:hyperlink>
      <w:r>
        <w:t xml:space="preserve">. It is also why the log-log learning-curve outcome, built on citations plus one, is dominated by a floor of transformed-zero values, leaving the slope with scant nonzero structure to fit.</w:t>
      </w:r>
    </w:p>
    <w:p>
      <w:pPr>
        <w:pStyle w:val="BodyText"/>
        <w:spacing w:line="480" w:lineRule="auto"/>
        <w:ind w:firstLine="720"/>
      </w:pPr>
      <w:r>
        <w:t xml:space="preserve">The theme-hit component underlying the signal score deserves separate attention, because it is where the outcome’s information actually enters. Theme hits count how many candidate-topic terms appear in a record’s combined metadata, and they range across the pack from zero, for records whose metadata never touch the topic vocabulary, to three, for the most on-topic conference and journal records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Records with zero theme hits still receive a nonzero signal score, because the score also credits title, snippet, and keyword breadth, which is why the minimum observed signal score is one rather than zero. Understanding this construction matters for reading the venue coefficient: the economy documents score low not because they oppose the topic but because their thin metadata leave little for either the theme-hit count or the breadth credit to register</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outcome is a measure of documentary presence, and absence of metadata reads, mechanically, as absence of signal.</w:t>
      </w:r>
    </w:p>
    <w:p>
      <w:pPr>
        <w:pStyle w:val="BodyText"/>
        <w:spacing w:line="480" w:lineRule="auto"/>
        <w:ind w:firstLine="720"/>
      </w:pPr>
      <w:r>
        <w:t xml:space="preserve">The recency and age indices, by contrast, are well spread across their ranges, from one to nine and one to nine respectively, because the records span 2018 through 2026 fairly evenly. Time is therefore the best-behaved predictor in the pack, which is why the recency coefficient, though imprecise, at least points in a stable direction, and why any future expansion of the corpus would most cleanly strengthen the time-based part of the analysis</w:t>
      </w:r>
      <w:r>
        <w:t xml:space="preserve"> </w:t>
      </w:r>
      <w:hyperlink w:anchor="ref-5">
        <w:r>
          <w:rPr>
            <w:rStyle w:val="Hyperlink"/>
          </w:rPr>
          <w:t xml:space="preserve">[5]</w:t>
        </w:r>
      </w:hyperlink>
      <w:r>
        <w:t xml:space="preserve">. The distributions, taken together, predict the shape of Chapter 6 before a single model is run: a bounded outcome, a citation variable too concentrated to carry independent weight, a venue effect driven partly by metadata richness, and a time signal that is directionally sensible but underpowered.</w:t>
      </w:r>
    </w:p>
    <w:bookmarkEnd w:id="103"/>
    <w:bookmarkEnd w:id="104"/>
    <w:bookmarkStart w:id="113" w:name="chapter-6.-results"/>
    <w:p>
      <w:pPr>
        <w:pStyle w:val="Heading1"/>
        <w:spacing w:line="480" w:lineRule="auto"/>
      </w:pPr>
      <w:r>
        <w:t xml:space="preserve">Chapter 6. Results</w:t>
      </w:r>
    </w:p>
    <w:p>
      <w:pPr>
        <w:pStyle w:val="FirstParagraph"/>
        <w:spacing w:line="480" w:lineRule="auto"/>
      </w:pPr>
      <w:r>
        <w:t xml:space="preserve">This chapter reports what the two workbooks produce, exactly as they produce it, and then interprets the signs and magnitudes. No number here is rounded into a different story or dressed up beyond what the estimator returned. The verdict is mixed. Read it carefully. The mixture is the point: one structural coefficient is precise and consequential, the rest are imprecise, and the attention learning curve is effectively flat. Read together, the results say that the documentary shadow of reusable-launch learning is faint and is organized more by venue than by a smooth accumulation of topic attention.</w:t>
      </w:r>
    </w:p>
    <w:bookmarkStart w:id="105" w:name="the-cross-sectional-signal-model-1"/>
    <w:p>
      <w:pPr>
        <w:pStyle w:val="Heading2"/>
        <w:spacing w:line="480" w:lineRule="auto"/>
      </w:pPr>
      <w:r>
        <w:t xml:space="preserve">6.1 The cross-sectional signal model</w:t>
      </w:r>
    </w:p>
    <w:p>
      <w:pPr>
        <w:pStyle w:val="FirstParagraph"/>
        <w:spacing w:line="480" w:lineRule="auto"/>
      </w:pPr>
      <w:r>
        <w:t xml:space="preserve">Paper 1 estimates the signal model by ordinary least squares with robust HC1 standard errors on N = 30 records. The overall fit is:</w:t>
      </w:r>
    </w:p>
    <w:p>
      <w:pPr>
        <w:pStyle w:val="Compact"/>
        <w:spacing w:line="480" w:lineRule="auto"/>
        <w:numPr>
          <w:ilvl w:val="0"/>
          <w:numId w:val="1001"/>
        </w:numPr>
      </w:pPr>
      <w:r>
        <w:t xml:space="preserve">N = 30</w:t>
      </w:r>
    </w:p>
    <w:p>
      <w:pPr>
        <w:pStyle w:val="Compact"/>
        <w:spacing w:line="480" w:lineRule="auto"/>
        <w:numPr>
          <w:ilvl w:val="0"/>
          <w:numId w:val="1001"/>
        </w:numPr>
      </w:pPr>
      <w:r>
        <w:t xml:space="preserve">R-squared = 0.2794</w:t>
      </w:r>
    </w:p>
    <w:p>
      <w:pPr>
        <w:pStyle w:val="Compact"/>
        <w:spacing w:line="480" w:lineRule="auto"/>
        <w:numPr>
          <w:ilvl w:val="0"/>
          <w:numId w:val="1001"/>
        </w:numPr>
      </w:pPr>
      <w:r>
        <w:t xml:space="preserve">Adjusted R-squared = 0.1962</w:t>
      </w:r>
    </w:p>
    <w:p>
      <w:pPr>
        <w:pStyle w:val="Compact"/>
        <w:spacing w:line="480" w:lineRule="auto"/>
        <w:numPr>
          <w:ilvl w:val="0"/>
          <w:numId w:val="1001"/>
        </w:numPr>
      </w:pPr>
      <w:r>
        <w:t xml:space="preserve">F = 5.4658</w:t>
      </w:r>
    </w:p>
    <w:p>
      <w:pPr>
        <w:pStyle w:val="Compact"/>
        <w:spacing w:line="480" w:lineRule="auto"/>
        <w:numPr>
          <w:ilvl w:val="0"/>
          <w:numId w:val="1001"/>
        </w:numPr>
      </w:pPr>
      <w:r>
        <w:t xml:space="preserve">F p-value = 0.0048</w:t>
      </w:r>
    </w:p>
    <w:p>
      <w:pPr>
        <w:pStyle w:val="FirstParagraph"/>
        <w:spacing w:line="480" w:lineRule="auto"/>
      </w:pPr>
      <w:r>
        <w:t xml:space="preserve">The model as a whole is statistically significant. An F p-value of 0.0048 rejects the joint null that all three slope coefficients are zero, so the corpus is not structureless: the predictors together explain a meaningful share of the variation in signal score. Even so, the R-squared of 0.2794 means roughly seventy-two percent of the variation in topic-signal intensity is left unexplained by recency, citation attention, and venue family. The corpus has structure, and most of it lies outside the three dimensions the theory nominated. Both facts are true at once, and both matter</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per-coefficient results are:</w:t>
      </w:r>
    </w:p>
    <w:p>
      <w:pPr>
        <w:pStyle w:val="Compact"/>
        <w:spacing w:line="480" w:lineRule="auto"/>
        <w:numPr>
          <w:ilvl w:val="0"/>
          <w:numId w:val="1002"/>
        </w:numPr>
      </w:pPr>
      <w:r>
        <w:t xml:space="preserve">const: coefficient = 4.5463, p = 0.0024</w:t>
      </w:r>
    </w:p>
    <w:p>
      <w:pPr>
        <w:pStyle w:val="Compact"/>
        <w:spacing w:line="480" w:lineRule="auto"/>
        <w:numPr>
          <w:ilvl w:val="0"/>
          <w:numId w:val="1002"/>
        </w:numPr>
      </w:pPr>
      <w:r>
        <w:t xml:space="preserve">recency_index: coefficient = 0.0951, p = 0.5218</w:t>
      </w:r>
    </w:p>
    <w:p>
      <w:pPr>
        <w:pStyle w:val="Compact"/>
        <w:spacing w:line="480" w:lineRule="auto"/>
        <w:numPr>
          <w:ilvl w:val="0"/>
          <w:numId w:val="1002"/>
        </w:numPr>
      </w:pPr>
      <w:r>
        <w:t xml:space="preserve">cites_num: coefficient = -0.0205, p = 0.5740</w:t>
      </w:r>
    </w:p>
    <w:p>
      <w:pPr>
        <w:pStyle w:val="Compact"/>
        <w:spacing w:line="480" w:lineRule="auto"/>
        <w:numPr>
          <w:ilvl w:val="0"/>
          <w:numId w:val="1002"/>
        </w:numPr>
      </w:pPr>
      <w:r>
        <w:t xml:space="preserve">venue_score: coefficient = -1.1687, p = 0.0048</w:t>
      </w:r>
    </w:p>
    <w:p>
      <w:pPr>
        <w:pStyle w:val="FirstParagraph"/>
        <w:spacing w:line="480" w:lineRule="auto"/>
      </w:pPr>
      <w:r>
        <w:t xml:space="preserve">The constant is 4.5463 with a p-value of 0.0024, precisely estimated. It is the model’s baseline signal score for a record at the reference levels of the predictors, and its precision reflects that most records carry a nonzero topic footprint. The constant is not the finding; it is the anchor around which the slopes are read.</w:t>
      </w:r>
    </w:p>
    <w:p>
      <w:pPr>
        <w:pStyle w:val="BodyText"/>
        <w:spacing w:line="480" w:lineRule="auto"/>
        <w:ind w:firstLine="720"/>
      </w:pPr>
      <w:r>
        <w:t xml:space="preserve">The recency coefficient is 0.0951 with a p-value of 0.5218. Its sign is positive, which is the direction the theory predicted for an accumulating field: newer records carry slightly more topic signal. But the p-value of 0.5218 is far from any conventional threshold, so the model declines to certify the association. Following the discipline set in Chapter 4, this is read not as evidence that recency is unrelated to signal, but as the model being unable, with thirty records, to distinguish this small positive slope from zero. The direction is encouraging for H1a; the precision is not there to support it</w:t>
      </w:r>
      <w:r>
        <w:t xml:space="preserve"> </w:t>
      </w:r>
      <w:hyperlink w:anchor="ref-3">
        <w:r>
          <w:rPr>
            <w:rStyle w:val="Hyperlink"/>
          </w:rPr>
          <w:t xml:space="preserve">[3]</w:t>
        </w:r>
      </w:hyperlink>
      <w:r>
        <w:t xml:space="preserve">.</w:t>
      </w:r>
    </w:p>
    <w:p>
      <w:pPr>
        <w:pStyle w:val="BodyText"/>
        <w:spacing w:line="480" w:lineRule="auto"/>
        <w:ind w:firstLine="720"/>
      </w:pPr>
      <w:r>
        <w:t xml:space="preserve">The citation coefficient is -0.0205 with a p-value of 0.5740. The sign is negative and the estimate is imprecise. A negative citation coefficient is superficially surprising, since one might expect more-cited work to carry more topic signal, but the theory in Chapter 3 anticipated exactly this. Once venue family is held constant, citation count is stripped of the venue effect it would otherwise proxy for, and what remains is a weak, imprecisely negative residual association. The p-value of 0.5740 means this coefficient certifies nothing on its own. Its value is diagnostic: it shows that raw citation attention, conditional on venue, is not carrying the corpus’s structure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venue coefficient is the result that survives. It is the one number that matters. It is -1.1687 with a p-value of 0.0048, precisely estimated and substantively large, and it is where the corpus reveals how its topic vocabulary is distributed across the three families of documents that the retrieval surfaced for this study. Holding recency and citation attention fixed, moving up one step in the venue-family ordering is associated with a signal score lower by about 1.17 points, a substantial shift on a scale that tops out around six. The negative sign says that the space-economy documents, coded highest in the ordinal scheme, carry systematically less topic signal than the AMOS conference records coded lowest, even after controlling for recency and citations. This is the corpus telling a clear story about where the reusable-launch topic vocabulary actually concentrates: in the conference and characterization records, not in the economy documents whose sparse metadata pull their signal scores down</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5"/>
    <w:bookmarkStart w:id="106" w:name="what-the-signal-model-means"/>
    <w:p>
      <w:pPr>
        <w:pStyle w:val="Heading2"/>
        <w:spacing w:line="480" w:lineRule="auto"/>
      </w:pPr>
      <w:r>
        <w:t xml:space="preserve">6.2 What the signal model means</w:t>
      </w:r>
    </w:p>
    <w:p>
      <w:pPr>
        <w:pStyle w:val="FirstParagraph"/>
        <w:spacing w:line="480" w:lineRule="auto"/>
      </w:pPr>
      <w:r>
        <w:t xml:space="preserve">The headline of Paper 1 is that venue family, not recency or citation attention, is the dimension along which this corpus is structured. The joint F test confirms structure exists; the individual coefficients localize it. Recency points the right way but cannot be certified. Citation attention, once venue is controlled, is a weak negative residual with no precision behind it. Venue family is precise, large, and negative. The learning story predicted that an accumulating field would show up as rising recency signal and coherent attention; what the data actually show is that the strongest organizing feature is the kind of venue a document lives in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is a partial rejection of the simple H1a and a partial confirmation of the more nuanced version the theory allowed for. Chapter 3 explicitly predicted that venue would absorb much of the corpus structure because the families differ in indexing and vocabulary practice, and that is precisely what happened. The finding is real and interpretable. It is also a caution: a corpus whose signal is dominated by venue coding is a corpus whose apparent learning footprint may be an artifact of where documents are published rather than of a compounding technical process</w:t>
      </w:r>
      <w:r>
        <w:t xml:space="preserve"> </w:t>
      </w:r>
      <w:hyperlink w:anchor="ref-7">
        <w:r>
          <w:rPr>
            <w:rStyle w:val="Hyperlink"/>
          </w:rPr>
          <w:t xml:space="preserve">[7]</w:t>
        </w:r>
      </w:hyperlink>
      <w:r>
        <w:t xml:space="preserve">.</w:t>
      </w:r>
    </w:p>
    <w:bookmarkEnd w:id="106"/>
    <w:bookmarkStart w:id="107" w:name="the-attention-learning-curve-model-1"/>
    <w:p>
      <w:pPr>
        <w:pStyle w:val="Heading2"/>
        <w:spacing w:line="480" w:lineRule="auto"/>
      </w:pPr>
      <w:r>
        <w:t xml:space="preserve">6.3 The attention learning-curve model</w:t>
      </w:r>
    </w:p>
    <w:p>
      <w:pPr>
        <w:pStyle w:val="FirstParagraph"/>
        <w:spacing w:line="480" w:lineRule="auto"/>
      </w:pPr>
      <w:r>
        <w:t xml:space="preserve">Paper 2 estimates the log-log learning-curve model on the same N = 30 records with robust HC1 standard errors. The output is:</w:t>
      </w:r>
    </w:p>
    <w:p>
      <w:pPr>
        <w:pStyle w:val="Compact"/>
        <w:spacing w:line="480" w:lineRule="auto"/>
        <w:numPr>
          <w:ilvl w:val="0"/>
          <w:numId w:val="1003"/>
        </w:numPr>
      </w:pPr>
      <w:r>
        <w:t xml:space="preserve">N = 30</w:t>
      </w:r>
    </w:p>
    <w:p>
      <w:pPr>
        <w:pStyle w:val="Compact"/>
        <w:spacing w:line="480" w:lineRule="auto"/>
        <w:numPr>
          <w:ilvl w:val="0"/>
          <w:numId w:val="1003"/>
        </w:numPr>
      </w:pPr>
      <w:r>
        <w:t xml:space="preserve">R-squared = 0.0000832 (8.319e-05)</w:t>
      </w:r>
    </w:p>
    <w:p>
      <w:pPr>
        <w:pStyle w:val="Compact"/>
        <w:spacing w:line="480" w:lineRule="auto"/>
        <w:numPr>
          <w:ilvl w:val="0"/>
          <w:numId w:val="1003"/>
        </w:numPr>
      </w:pPr>
      <w:r>
        <w:t xml:space="preserve">elasticity (slope on log age) = 0.0205</w:t>
      </w:r>
    </w:p>
    <w:p>
      <w:pPr>
        <w:pStyle w:val="Compact"/>
        <w:spacing w:line="480" w:lineRule="auto"/>
        <w:numPr>
          <w:ilvl w:val="0"/>
          <w:numId w:val="1003"/>
        </w:numPr>
      </w:pPr>
      <w:r>
        <w:t xml:space="preserve">progress ratio (2 raised to the slope) = 1.0143</w:t>
      </w:r>
    </w:p>
    <w:p>
      <w:pPr>
        <w:pStyle w:val="FirstParagraph"/>
        <w:spacing w:line="480" w:lineRule="auto"/>
      </w:pPr>
      <w:r>
        <w:t xml:space="preserve">The per-coefficient results are:</w:t>
      </w:r>
    </w:p>
    <w:p>
      <w:pPr>
        <w:pStyle w:val="Compact"/>
        <w:spacing w:line="480" w:lineRule="auto"/>
        <w:numPr>
          <w:ilvl w:val="0"/>
          <w:numId w:val="1004"/>
        </w:numPr>
      </w:pPr>
      <w:r>
        <w:t xml:space="preserve">const: coefficient = 0.6894, p = 0.1975</w:t>
      </w:r>
    </w:p>
    <w:p>
      <w:pPr>
        <w:pStyle w:val="Compact"/>
        <w:spacing w:line="480" w:lineRule="auto"/>
        <w:numPr>
          <w:ilvl w:val="0"/>
          <w:numId w:val="1004"/>
        </w:numPr>
      </w:pPr>
      <w:r>
        <w:t xml:space="preserve">ln(age): coefficient = 0.0205, p = 0.9582</w:t>
      </w:r>
    </w:p>
    <w:p>
      <w:pPr>
        <w:pStyle w:val="FirstParagraph"/>
        <w:spacing w:line="480" w:lineRule="auto"/>
      </w:pPr>
      <w:r>
        <w:t xml:space="preserve">This is a flat curve. Flat, and not marginally so. The R-squared is 0.0000832, which is indistinguishable from zero: the log of article age explains essentially none of the variation in the log of accumulated citations across this corpus. The elasticity of accumulated attention with respect to age is 0.0205, with a p-value of 0.9582, about as far from significance as an estimate can be. The progress ratio implied by that slope is 1.0143, which is barely above one. In learning-curve terms, doubling an article’s age is associated with a change in accumulated attention of roughly one and a half percent, a magnitude that is both tiny and statistically uncertifiable</w:t>
      </w:r>
      <w:r>
        <w:t xml:space="preserve"> </w:t>
      </w:r>
      <w:hyperlink w:anchor="ref-9">
        <w:r>
          <w:rPr>
            <w:rStyle w:val="Hyperlink"/>
          </w:rPr>
          <w:t xml:space="preserve">[9]</w:t>
        </w:r>
      </w:hyperlink>
      <w:r>
        <w:t xml:space="preserve">.</w:t>
      </w:r>
    </w:p>
    <w:p>
      <w:pPr>
        <w:pStyle w:val="BodyText"/>
        <w:spacing w:line="480" w:lineRule="auto"/>
        <w:ind w:firstLine="720"/>
      </w:pPr>
      <w:r>
        <w:t xml:space="preserve">The constant, 0.6894 with a p-value of 0.1975, is likewise not precisely estimated. There is no anchor and no slope here worth building on. The model, run faithfully and reported exactly, finds no age-structured accumulation of attention in the retrieved corpus.</w:t>
      </w:r>
    </w:p>
    <w:p>
      <w:pPr>
        <w:pStyle w:val="BodyText"/>
        <w:spacing w:line="480" w:lineRule="auto"/>
        <w:ind w:firstLine="720"/>
      </w:pPr>
      <w:r>
        <w:t xml:space="preserve">To make the emptiness of this fit vivid, compare the two R-squared values across the models. The signal model’s 0.2794 is itself modest, leaving most variation unexplained, yet it is more than three thousand times larger than the learning-curve model’s 0.0000832</w:t>
      </w:r>
      <w:r>
        <w:t xml:space="preserve"> </w:t>
      </w:r>
      <w:hyperlink w:anchor="ref-9">
        <w:r>
          <w:rPr>
            <w:rStyle w:val="Hyperlink"/>
          </w:rPr>
          <w:t xml:space="preserve">[9]</w:t>
        </w:r>
      </w:hyperlink>
      <w:r>
        <w:t xml:space="preserve">. The signal model at least found a venue effect to grip; the learning-curve model found nothing at all to grip, because the log of age carries no usable relationship with the log of accumulated citations in these thirty records. A p-value of 0.9582 on the age slope means that if age and attention were truly unrelated, a slope this large or larger would arise more than ninety-five percent of the time by chance alone. The estimate is not near a threshold it narrowly missed. It is sitting in the middle of the distribution the null predicts</w:t>
      </w:r>
      <w:r>
        <w:t xml:space="preserve"> </w:t>
      </w:r>
      <w:hyperlink w:anchor="ref-11">
        <w:r>
          <w:rPr>
            <w:rStyle w:val="Hyperlink"/>
          </w:rPr>
          <w:t xml:space="preserve">[11]</w:t>
        </w:r>
      </w:hyperlink>
      <w:r>
        <w:t xml:space="preserve">.</w:t>
      </w:r>
    </w:p>
    <w:bookmarkEnd w:id="107"/>
    <w:bookmarkStart w:id="108" w:name="what-the-learning-curve-model-means"/>
    <w:p>
      <w:pPr>
        <w:pStyle w:val="Heading2"/>
        <w:spacing w:line="480" w:lineRule="auto"/>
      </w:pPr>
      <w:r>
        <w:t xml:space="preserve">6.4 What the learning-curve model means</w:t>
      </w:r>
    </w:p>
    <w:p>
      <w:pPr>
        <w:pStyle w:val="FirstParagraph"/>
        <w:spacing w:line="480" w:lineRule="auto"/>
      </w:pPr>
      <w:r>
        <w:t xml:space="preserve">H0b cannot be rejected. Citation accumulation in this corpus is not organized by article age in the constant-elasticity way the Wright form predicts. The reason is legible from the measurement described in Chapter 5: citations are concentrated in a small cluster of peer-reviewed propulsion and flight-experiment articles, and those articles do not line up neatly by age, because some of the most-cited work is not the oldest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When most records carry a citation-plus-one value of exactly one, and the nonzero values are scattered across ages rather than rising with them, the log-log slope has nothing to grip, and a near-zero elasticity is the honest result.</w:t>
      </w:r>
    </w:p>
    <w:p>
      <w:pPr>
        <w:pStyle w:val="BodyText"/>
        <w:spacing w:line="480" w:lineRule="auto"/>
        <w:ind w:firstLine="720"/>
      </w:pPr>
      <w:r>
        <w:t xml:space="preserve">This is the clean falsification the theory built a target for. The attention learning curve is flat, so the documentary shadow of a compounding process, tested through its most direct functional analogue, is absent in this corpus. That does not prove the underlying cost learning curve is false. It says that the retrieved literature does not carry an age-structured attention signal that would corroborate it, and that a stronger claim would need a different instrument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08"/>
    <w:bookmarkStart w:id="109" w:name="the-two-results-read-together"/>
    <w:p>
      <w:pPr>
        <w:pStyle w:val="Heading2"/>
        <w:spacing w:line="480" w:lineRule="auto"/>
      </w:pPr>
      <w:r>
        <w:t xml:space="preserve">6.5 The two results read together</w:t>
      </w:r>
    </w:p>
    <w:p>
      <w:pPr>
        <w:pStyle w:val="FirstParagraph"/>
        <w:spacing w:line="480" w:lineRule="auto"/>
      </w:pPr>
      <w:r>
        <w:t xml:space="preserve">The triangulation designed in Chapter 4 pays off in the disagreement between the two models. The signal model finds genuine structure, but the structure is venue, not the accumulation dimensions the learning story needs. The learning-curve model, aimed squarely at the accumulation shape, finds nothing. Together they say the same thing from two angles: this corpus is organized by where documents are published far more than by any smooth, age-driven growth of topic attention. The venue coefficient of -1.1687 at p = 0.0048 is the one precise, substantive finding, and the flat elasticity of 0.0205 at p = 0.9582 is its counterpart absence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properly bounded conclusion is that the documentary evidence for reusable-launch learning is weak and structurally driven by venue. One coefficient carries the whole certified result. Everything else the two models return is imprecise, and the design’s honesty lies in reporting that imprecision openly rather than promoting a suggestive sign into a claim. Chapter 7 takes up what this mixed verdict means and where its threats to validity lie.</w:t>
      </w:r>
    </w:p>
    <w:bookmarkEnd w:id="109"/>
    <w:bookmarkStart w:id="110" w:name="magnitudes-in-context"/>
    <w:p>
      <w:pPr>
        <w:pStyle w:val="Heading2"/>
        <w:spacing w:line="480" w:lineRule="auto"/>
      </w:pPr>
      <w:r>
        <w:t xml:space="preserve">6.6 Magnitudes in context</w:t>
      </w:r>
    </w:p>
    <w:p>
      <w:pPr>
        <w:pStyle w:val="FirstParagraph"/>
        <w:spacing w:line="480" w:lineRule="auto"/>
      </w:pPr>
      <w:r>
        <w:t xml:space="preserve">Reporting a coefficient is not the same as understanding what it is worth, so it helps to place the two certified numbers on the scales they live on. The venue coefficient of -1.1687 operates on a signal-score outcome that ranges from one to six. A shift of about 1.17 points per venue step is therefore roughly a quarter of the outcome’s entire observed range, which is a large effect in relative terms. Moving from the AMOS family at venue score one to the economy family at venue score three, holding recency and citations fixed, implies a modeled signal-score decline of about 2.3 points, nearly half the usable range. That is why the venue effect is described as substantively large and not merely statistically detectable: it moves the outcome by an amount a reader can feel, and it does so with a p-value of 0.0048 that leaves little doubt the association is real within the corpus</w:t>
      </w:r>
      <w:r>
        <w:t xml:space="preserve"> </w:t>
      </w:r>
      <w:hyperlink w:anchor="ref-6">
        <w:r>
          <w:rPr>
            <w:rStyle w:val="Hyperlink"/>
          </w:rPr>
          <w:t xml:space="preserve">[6]</w:t>
        </w:r>
      </w:hyperlink>
      <w:r>
        <w:t xml:space="preserve">.</w:t>
      </w:r>
    </w:p>
    <w:p>
      <w:pPr>
        <w:pStyle w:val="BodyText"/>
        <w:spacing w:line="480" w:lineRule="auto"/>
        <w:ind w:firstLine="720"/>
      </w:pPr>
      <w:r>
        <w:t xml:space="preserve">The learning-curve elasticity of 0.0205 invites the opposite reading. Translated through the progress ratio of 1.0143, it says that doubling an article’s age changes accumulated attention by about one and a half percent. In genuine manufacturing learning curves, progress ratios commonly sit well below one, encoding cost reductions of tens of percent per doubling; a ratio of 1.0143 is not merely weak but essentially at the no-effect boundary, and slightly on the wrong side of it</w:t>
      </w:r>
      <w:r>
        <w:t xml:space="preserve"> </w:t>
      </w:r>
      <w:hyperlink w:anchor="ref-11">
        <w:r>
          <w:rPr>
            <w:rStyle w:val="Hyperlink"/>
          </w:rPr>
          <w:t xml:space="preserve">[11]</w:t>
        </w:r>
      </w:hyperlink>
      <w:r>
        <w:t xml:space="preserve">. The magnitude confirms what the p-value of 0.9582 already signals: there is no age-structured accumulation here worth naming. Reporting the magnitude alongside the significance prevents a reader from imagining that a</w:t>
      </w:r>
      <w:r>
        <w:t xml:space="preserve"> </w:t>
      </w:r>
      <w:r>
        <w:t xml:space="preserve">“marginally insignificant”</w:t>
      </w:r>
      <w:r>
        <w:t xml:space="preserve"> </w:t>
      </w:r>
      <w:r>
        <w:t xml:space="preserve">curve is lurking behind the null. It is not. The curve is flat in both senses at once</w:t>
      </w:r>
      <w:r>
        <w:t xml:space="preserve"> </w:t>
      </w:r>
      <w:hyperlink w:anchor="ref-9">
        <w:r>
          <w:rPr>
            <w:rStyle w:val="Hyperlink"/>
          </w:rPr>
          <w:t xml:space="preserve">[9]</w:t>
        </w:r>
      </w:hyperlink>
      <w:r>
        <w:t xml:space="preserve">.</w:t>
      </w:r>
    </w:p>
    <w:p>
      <w:pPr>
        <w:pStyle w:val="BodyText"/>
        <w:spacing w:line="480" w:lineRule="auto"/>
        <w:ind w:firstLine="720"/>
      </w:pPr>
      <w:r>
        <w:t xml:space="preserve">The recency coefficient of 0.0951, though uncertified, also deserves a magnitude reading, because its size is not trivial even if its precision is absent. On a recency index running one to nine, that slope implies a modeled signal-score difference of about 0.76 points between the oldest and newest records, which is a meaningful fraction of the outcome range. The direction and the plausible size together are why Chapter 7 flags recency as the most likely true effect the small sample failed to resolve, rather than dismissing it as noise</w:t>
      </w:r>
      <w:r>
        <w:t xml:space="preserve"> </w:t>
      </w:r>
      <w:hyperlink w:anchor="ref-4">
        <w:r>
          <w:rPr>
            <w:rStyle w:val="Hyperlink"/>
          </w:rPr>
          <w:t xml:space="preserve">[4]</w:t>
        </w:r>
      </w:hyperlink>
      <w:r>
        <w:t xml:space="preserve">. Magnitude and precision are separate properties, and honest interpretation keeps them separate: a coefficient can be substantively interesting and statistically uncertifiable at the same time, and this one is.</w:t>
      </w:r>
    </w:p>
    <w:bookmarkEnd w:id="110"/>
    <w:bookmarkStart w:id="111" w:name="X3db427529c287a97ba90b0c9188216d6e03acec"/>
    <w:p>
      <w:pPr>
        <w:pStyle w:val="Heading2"/>
        <w:spacing w:line="480" w:lineRule="auto"/>
      </w:pPr>
      <w:r>
        <w:t xml:space="preserve">6.65 The negative citation coefficient examined</w:t>
      </w:r>
    </w:p>
    <w:p>
      <w:pPr>
        <w:pStyle w:val="FirstParagraph"/>
        <w:spacing w:line="480" w:lineRule="auto"/>
      </w:pPr>
      <w:r>
        <w:t xml:space="preserve">The most counterintuitive number in the signal model is the negative citation coefficient of -0.0205, and it repays a closer look because it illustrates how conditioning changes meaning. Taken in isolation, one expects citations and topic signal to move together, since a well-cited article is presumably an important one. Inside the model, though, the citation coefficient is estimated with venue family held constant, and venue family is where the citations live: essentially all nonzero counts sit in the Acta articles</w:t>
      </w:r>
      <w:r>
        <w:t xml:space="preserve"> </w:t>
      </w:r>
      <w:hyperlink w:anchor="ref-7">
        <w:r>
          <w:rPr>
            <w:rStyle w:val="Hyperlink"/>
          </w:rPr>
          <w:t xml:space="preserve">[7]</w:t>
        </w:r>
      </w:hyperlink>
      <w:r>
        <w:t xml:space="preserve"> </w:t>
      </w:r>
      <w:hyperlink w:anchor="ref-12">
        <w:r>
          <w:rPr>
            <w:rStyle w:val="Hyperlink"/>
          </w:rPr>
          <w:t xml:space="preserve">[12]</w:t>
        </w:r>
      </w:hyperlink>
      <w:r>
        <w:t xml:space="preserve">. Once the model has already used venue to explain the outcome, the residual citation variation is small and its association with signal score turns slightly negative, meaning that within a venue level, marginally more-cited records carry marginally less topic signal.</w:t>
      </w:r>
    </w:p>
    <w:p>
      <w:pPr>
        <w:pStyle w:val="BodyText"/>
        <w:spacing w:line="480" w:lineRule="auto"/>
        <w:ind w:firstLine="720"/>
      </w:pPr>
      <w:r>
        <w:t xml:space="preserve">That sign should not be over-interpreted, because its p-value of 0.5740 places it far from certification, but its direction is intelligible. The most-cited Acta articles are older propulsion and flight-experiment pieces whose titles and snippets are technical rather than topic-dense in the candidate vocabulary, so within the peer-reviewed family the heavily cited records are not the most on-topic ones</w:t>
      </w:r>
      <w:r>
        <w:t xml:space="preserve"> </w:t>
      </w:r>
      <w:hyperlink w:anchor="ref-13">
        <w:r>
          <w:rPr>
            <w:rStyle w:val="Hyperlink"/>
          </w:rPr>
          <w:t xml:space="preserve">[13]</w:t>
        </w:r>
      </w:hyperlink>
      <w:r>
        <w:t xml:space="preserve">. The negative residual is the model registering exactly that pattern. Reported honestly, it is a diagnostic detail rather than a finding: it shows citation attention and topic signal pulling apart once venue is netted out, which is one more piece of evidence that this corpus is organized by venue rather than by a coherent accumulation of topic-relevant attention</w:t>
      </w:r>
      <w:r>
        <w:t xml:space="preserve"> </w:t>
      </w:r>
      <w:hyperlink w:anchor="ref-8">
        <w:r>
          <w:rPr>
            <w:rStyle w:val="Hyperlink"/>
          </w:rPr>
          <w:t xml:space="preserve">[8]</w:t>
        </w:r>
      </w:hyperlink>
      <w:r>
        <w:t xml:space="preserve">.</w:t>
      </w:r>
    </w:p>
    <w:bookmarkEnd w:id="111"/>
    <w:bookmarkStart w:id="112" w:name="Xa1d07d06a247e516a4e75758b9bee23e06afdf0"/>
    <w:p>
      <w:pPr>
        <w:pStyle w:val="Heading2"/>
        <w:spacing w:line="480" w:lineRule="auto"/>
      </w:pPr>
      <w:r>
        <w:t xml:space="preserve">6.7 Reconciling the joint significance with the weak coefficients</w:t>
      </w:r>
    </w:p>
    <w:p>
      <w:pPr>
        <w:pStyle w:val="FirstParagraph"/>
        <w:spacing w:line="480" w:lineRule="auto"/>
      </w:pPr>
      <w:r>
        <w:t xml:space="preserve">A reader might reasonably ask how the signal model can be jointly significant, with an F p-value of 0.0048, when two of its three coefficients are imprecise. The reconciliation is that the joint significance is carried almost entirely by the venue coefficient. The F test asks whether the three predictors together improve on a model with no slopes, and a single strong predictor is enough to reject that joint null even when its companions add little</w:t>
      </w:r>
      <w:r>
        <w:t xml:space="preserve"> </w:t>
      </w:r>
      <w:hyperlink w:anchor="ref-6">
        <w:r>
          <w:rPr>
            <w:rStyle w:val="Hyperlink"/>
          </w:rPr>
          <w:t xml:space="preserve">[6]</w:t>
        </w:r>
      </w:hyperlink>
      <w:r>
        <w:t xml:space="preserve">. This is not a contradiction; it is the expected behavior of a model in which one predictor does the explanatory work and the others ride along without certifiable contributions.</w:t>
      </w:r>
    </w:p>
    <w:p>
      <w:pPr>
        <w:pStyle w:val="BodyText"/>
        <w:spacing w:line="480" w:lineRule="auto"/>
        <w:ind w:firstLine="720"/>
      </w:pPr>
      <w:r>
        <w:t xml:space="preserve">It helps to make the contrast concrete with the numbers in hand. The venue coefficient’s p-value of 0.0048 is more than a hundred times smaller than the recency coefficient’s 0.5218 and the citation coefficient’s 0.5740, which sit near the midpoint of the probability scale and thus convey essentially no evidence against their nulls</w:t>
      </w:r>
      <w:r>
        <w:t xml:space="preserve"> </w:t>
      </w:r>
      <w:hyperlink w:anchor="ref-6">
        <w:r>
          <w:rPr>
            <w:rStyle w:val="Hyperlink"/>
          </w:rPr>
          <w:t xml:space="preserve">[6]</w:t>
        </w:r>
      </w:hyperlink>
      <w:r>
        <w:t xml:space="preserve">. When one predictor’s evidence is that much stronger than its companions’, the joint F test inherits its strength from that predictor. The corpus is jointly structured in the specific sense that venue family structures it, and reporting the F p-value without this decomposition would leave a reader with an inflated sense of how much the full specified model earned</w:t>
      </w:r>
      <w:r>
        <w:t xml:space="preserve"> </w:t>
      </w:r>
      <w:hyperlink w:anchor="ref-4">
        <w:r>
          <w:rPr>
            <w:rStyle w:val="Hyperlink"/>
          </w:rPr>
          <w:t xml:space="preserve">[4]</w:t>
        </w:r>
      </w:hyperlink>
      <w:r>
        <w:t xml:space="preserve">.</w:t>
      </w:r>
    </w:p>
    <w:p>
      <w:pPr>
        <w:pStyle w:val="BodyText"/>
        <w:spacing w:line="480" w:lineRule="auto"/>
        <w:ind w:firstLine="720"/>
      </w:pPr>
      <w:r>
        <w:t xml:space="preserve">The adjusted R-squared of 0.1962, set against the unadjusted 0.2794, quantifies that ride-along cost. The adjustment penalizes the model for spending degrees of freedom on the two weak predictors, and the drop from 0.2794 to 0.1962 shows those predictors earning less than their statistical keep</w:t>
      </w:r>
      <w:r>
        <w:t xml:space="preserve"> </w:t>
      </w:r>
      <w:hyperlink w:anchor="ref-4">
        <w:r>
          <w:rPr>
            <w:rStyle w:val="Hyperlink"/>
          </w:rPr>
          <w:t xml:space="preserve">[4]</w:t>
        </w:r>
      </w:hyperlink>
      <w:r>
        <w:t xml:space="preserve">. A model containing venue alone might well explain a similar share of variation with fewer parameters. The design retains recency and citations despite their weakness because the theory nominated them and because reporting their imprecision is itself informative: it is direct evidence that the accumulation dimensions the learning story needs are not carrying the corpus. The joint significance, then, is real but narrow, and reading it as broad support for the specified model would misstate what the numbers show</w:t>
      </w:r>
      <w:r>
        <w:t xml:space="preserve"> </w:t>
      </w:r>
      <w:hyperlink w:anchor="ref-7">
        <w:r>
          <w:rPr>
            <w:rStyle w:val="Hyperlink"/>
          </w:rPr>
          <w:t xml:space="preserve">[7]</w:t>
        </w:r>
      </w:hyperlink>
      <w:r>
        <w:t xml:space="preserve">.</w:t>
      </w:r>
    </w:p>
    <w:bookmarkEnd w:id="112"/>
    <w:bookmarkEnd w:id="113"/>
    <w:bookmarkStart w:id="122"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mixed. That is not a hedge. A mixed result is where careful interpretation matters most. This chapter asks what the findings actually license, confronts the threats that could undermine them, and marks the line between what the record shows and what a decision-maker still needs to learn elsewhere. The temptation with a partly significant model is to lead with the one precise coefficient and let the imprecise ones fade. This chapter resists that, because the imprecise coefficients and the flat curve are as much a part of the answer as the significant venue effect.</w:t>
      </w:r>
    </w:p>
    <w:bookmarkStart w:id="114" w:name="what-the-findings-mean"/>
    <w:p>
      <w:pPr>
        <w:pStyle w:val="Heading2"/>
        <w:spacing w:line="480" w:lineRule="auto"/>
      </w:pPr>
      <w:r>
        <w:t xml:space="preserve">7.1 What the findings mean</w:t>
      </w:r>
    </w:p>
    <w:p>
      <w:pPr>
        <w:pStyle w:val="FirstParagraph"/>
        <w:spacing w:line="480" w:lineRule="auto"/>
      </w:pPr>
      <w:r>
        <w:t xml:space="preserve">The clearest thing the data say is that this corpus is organized by venue. The venue coefficient of -1.1687 at p = 0.0048 is precise and large, and it tells a coherent story: the reusable-launch topic vocabulary concentrates in the conference and characterization records and thins out in the space-economy documents, even after recency and citation attention are held constant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That is a genuine finding about how the field’s documentary attention is distributed. It is also a deflating one for the learning-curve hypothesis, because venue structure is not the accumulation signal the theory needed. A field that were compounding in the Wright sense should have shown a rising recency signal and an age-structured citation curve, and it showed neither with any precision.</w:t>
      </w:r>
    </w:p>
    <w:p>
      <w:pPr>
        <w:pStyle w:val="BodyText"/>
        <w:spacing w:line="480" w:lineRule="auto"/>
        <w:ind w:firstLine="720"/>
      </w:pPr>
      <w:r>
        <w:t xml:space="preserve">The recency coefficient points the predicted direction, positive at 0.0951, but the p-value of 0.5218 forbids treating that as support. The citation coefficient, negative at -0.0205 with p = 0.5740, is a conditional residual too imprecise to interpret as anything but the absence of a certified association once venue is netted out</w:t>
      </w:r>
      <w:r>
        <w:t xml:space="preserve"> </w:t>
      </w:r>
      <w:hyperlink w:anchor="ref-7">
        <w:r>
          <w:rPr>
            <w:rStyle w:val="Hyperlink"/>
          </w:rPr>
          <w:t xml:space="preserve">[7]</w:t>
        </w:r>
      </w:hyperlink>
      <w:r>
        <w:t xml:space="preserve">. The learning-curve elasticity of 0.0205 at p = 0.9582, with an R-squared of 0.0000832, is as close to a pure null as an estimate gets. The composite reading is that the documentary shadow of reusable-launch learning is faint, and that what structure exists is a publishing-practice artifact more than a compounding-knowledge signal</w:t>
      </w:r>
      <w:r>
        <w:t xml:space="preserve"> </w:t>
      </w:r>
      <w:hyperlink w:anchor="ref-9">
        <w:r>
          <w:rPr>
            <w:rStyle w:val="Hyperlink"/>
          </w:rPr>
          <w:t xml:space="preserve">[9]</w:t>
        </w:r>
      </w:hyperlink>
      <w:r>
        <w:t xml:space="preserve">.</w:t>
      </w:r>
    </w:p>
    <w:p>
      <w:pPr>
        <w:pStyle w:val="BodyText"/>
        <w:spacing w:line="480" w:lineRule="auto"/>
        <w:ind w:firstLine="720"/>
      </w:pPr>
      <w:r>
        <w:t xml:space="preserve">For the underlying policy question, this is a useful and honest deflation. The strategic literature loads the learning curve into planning as if its footprint were obvious</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retrieved record does not corroborate that obviousness. It does not refute the cost curve either, and the discussion is careful not to overclaim in the opposite direction. What it establishes is that the easy, auditable documentary signal a compounding field would leave is not present here, which means the confident planning assumption is running ahead of the inspectable evidence.</w:t>
      </w:r>
    </w:p>
    <w:bookmarkEnd w:id="114"/>
    <w:bookmarkStart w:id="115" w:name="threats-to-validity"/>
    <w:p>
      <w:pPr>
        <w:pStyle w:val="Heading2"/>
        <w:spacing w:line="480" w:lineRule="auto"/>
      </w:pPr>
      <w:r>
        <w:t xml:space="preserve">7.2 Threats to validity</w:t>
      </w:r>
    </w:p>
    <w:p>
      <w:pPr>
        <w:pStyle w:val="FirstParagraph"/>
        <w:spacing w:line="480" w:lineRule="auto"/>
      </w:pPr>
      <w:r>
        <w:t xml:space="preserve">Several threats could distort these findings, and each deserves a direct hearing rather than a footnote.</w:t>
      </w:r>
    </w:p>
    <w:p>
      <w:pPr>
        <w:pStyle w:val="BodyText"/>
        <w:spacing w:line="480" w:lineRule="auto"/>
        <w:ind w:firstLine="720"/>
      </w:pPr>
      <w:r>
        <w:t xml:space="preserve">Source-pack noise is the first. The signal score is a term-hit count over metadata fields that vary in richness across venue families. The economy documents carry sparse or empty snippet and keyword fields, which mechanically depresses their signal scores and inflates the venue coefficient’s magnitude. Some of the precise venue effect, in other words, may be a measurement artifact of uneven metadata rather than a substantive difference in topic engagement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finding is real within the corpus, but its size should be held loosely because the measurement is not symmetric across families.</w:t>
      </w:r>
    </w:p>
    <w:p>
      <w:pPr>
        <w:pStyle w:val="BodyText"/>
        <w:spacing w:line="480" w:lineRule="auto"/>
        <w:ind w:firstLine="720"/>
      </w:pPr>
      <w:r>
        <w:t xml:space="preserve">The citation measure is the second threat. Citation counts here are local index values parsed from a brain search field, not universal totals from a comprehensive bibliometric harvest. They undercount, and they undercount unevenly: conference and economy records report zero not necessarily because they are uncited but because the index did not record counts for them</w:t>
      </w:r>
      <w:r>
        <w:t xml:space="preserve"> </w:t>
      </w:r>
      <w:hyperlink w:anchor="ref-8">
        <w:r>
          <w:rPr>
            <w:rStyle w:val="Hyperlink"/>
          </w:rPr>
          <w:t xml:space="preserve">[8]</w:t>
        </w:r>
      </w:hyperlink>
      <w:r>
        <w:t xml:space="preserve">. This measurement floor is exactly why the citation and learning-curve results are weak, and it means the flat attention curve reflects the index’s coverage as much as the field’s behavior. A fuller citation harvest could change the learning-curve result, and the design cannot rule that out.</w:t>
      </w:r>
    </w:p>
    <w:p>
      <w:pPr>
        <w:pStyle w:val="BodyText"/>
        <w:spacing w:line="480" w:lineRule="auto"/>
        <w:ind w:firstLine="720"/>
      </w:pPr>
      <w:r>
        <w:t xml:space="preserve">Venue coding is the third. The ordinal scheme, AMOS equals one, Acta equals two, economy equals three, encodes venue kind, not quality, and the coefficient should not be read as a quality gradient. The ordering is also only one of several defensible codings, and a different mapping could shift the venue coefficient. The finding that venue organizes the corpus is robust to recoding in its direction, but the precise magnitude of -1.1687 is specific to this ordinal choice and should be treated as illustrative rather than exact</w:t>
      </w:r>
      <w:r>
        <w:t xml:space="preserve"> </w:t>
      </w:r>
      <w:hyperlink w:anchor="ref-6">
        <w:r>
          <w:rPr>
            <w:rStyle w:val="Hyperlink"/>
          </w:rPr>
          <w:t xml:space="preserve">[6]</w:t>
        </w:r>
      </w:hyperlink>
      <w:r>
        <w:t xml:space="preserve">.</w:t>
      </w:r>
    </w:p>
    <w:p>
      <w:pPr>
        <w:pStyle w:val="BodyText"/>
        <w:spacing w:line="480" w:lineRule="auto"/>
        <w:ind w:firstLine="720"/>
      </w:pPr>
      <w:r>
        <w:t xml:space="preserve">A distinct threat concerns the plus-one transformation at the heart of the learning-curve outcome. Shifting citations by one to admit the zeros keeps the sample whole, but it also means the many uncited records all collapse to a single transformed value at the curve’s floor, and that floor is set by the transformation rather than by the data</w:t>
      </w:r>
      <w:r>
        <w:t xml:space="preserve"> </w:t>
      </w:r>
      <w:hyperlink w:anchor="ref-9">
        <w:r>
          <w:rPr>
            <w:rStyle w:val="Hyperlink"/>
          </w:rPr>
          <w:t xml:space="preserve">[9]</w:t>
        </w:r>
      </w:hyperlink>
      <w:r>
        <w:t xml:space="preserve">. With most of the sample pinned to that floor and only the Acta articles rising above it, the fitted slope is estimated from a small, lumpy set of elevated points against a flat mass of ones. A different admissible handling of zeros, such as modeling presence and count separately, could yield a different slope, so the flat elasticity is partly a property of the transformation choice and not solely of the field</w:t>
      </w:r>
      <w:r>
        <w:t xml:space="preserve"> </w:t>
      </w:r>
      <w:hyperlink w:anchor="ref-13">
        <w:r>
          <w:rPr>
            <w:rStyle w:val="Hyperlink"/>
          </w:rPr>
          <w:t xml:space="preserve">[13]</w:t>
        </w:r>
      </w:hyperlink>
      <w:r>
        <w:t xml:space="preserve">. The design discloses this because the alternative, presenting the null as if the data spoke with one clean voice, would overstate its firmness.</w:t>
      </w:r>
    </w:p>
    <w:p>
      <w:pPr>
        <w:pStyle w:val="BodyText"/>
        <w:spacing w:line="480" w:lineRule="auto"/>
        <w:ind w:firstLine="720"/>
      </w:pPr>
      <w:r>
        <w:t xml:space="preserve">Small sample size is the fourth and most pervasive threat. Thirty records give the estimators little power, so the imprecise coefficients may be masking real associations that a larger corpus would certify. The positive recency sign is the clearest candidate for a true effect that this N simply cannot resolve</w:t>
      </w:r>
      <w:r>
        <w:t xml:space="preserve"> </w:t>
      </w:r>
      <w:hyperlink w:anchor="ref-4">
        <w:r>
          <w:rPr>
            <w:rStyle w:val="Hyperlink"/>
          </w:rPr>
          <w:t xml:space="preserve">[4]</w:t>
        </w:r>
      </w:hyperlink>
      <w:r>
        <w:t xml:space="preserve">. Influence is also concentrated: a few high-citation propulsion articles drive most of the variation in the citation and age variables, so the learning-curve estimate is sensitive to that small cluster and would move if those records were added or removed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115"/>
    <w:bookmarkStart w:id="116" w:name="what-the-data-cannot-show"/>
    <w:p>
      <w:pPr>
        <w:pStyle w:val="Heading2"/>
        <w:spacing w:line="480" w:lineRule="auto"/>
      </w:pPr>
      <w:r>
        <w:t xml:space="preserve">7.3 What the data cannot show</w:t>
      </w:r>
    </w:p>
    <w:p>
      <w:pPr>
        <w:pStyle w:val="FirstParagraph"/>
        <w:spacing w:line="480" w:lineRule="auto"/>
      </w:pPr>
      <w:r>
        <w:t xml:space="preserve">Boundaries are as important as findings. This design cannot show what a kilogram to orbit costs, or how that cost has moved with cumulative flights, because those numbers are not in the record and were never claimed to be. The signal score is a footprint of topic vocabulary, not a measure of engineering cost or manufacturing yield, so no coefficient here speaks to production economics directly</w:t>
      </w:r>
      <w:r>
        <w:t xml:space="preserve"> </w:t>
      </w:r>
      <w:hyperlink w:anchor="ref-3">
        <w:r>
          <w:rPr>
            <w:rStyle w:val="Hyperlink"/>
          </w:rPr>
          <w:t xml:space="preserve">[3]</w:t>
        </w:r>
      </w:hyperlink>
      <w:r>
        <w:t xml:space="preserve">. Reading the venue effect as if it described launch prices would be a category error, and the design is built to prevent exactly that slippage.</w:t>
      </w:r>
    </w:p>
    <w:p>
      <w:pPr>
        <w:pStyle w:val="BodyText"/>
        <w:spacing w:line="480" w:lineRule="auto"/>
        <w:ind w:firstLine="720"/>
      </w:pPr>
      <w:r>
        <w:t xml:space="preserve">The data also cannot establish causation. Every coefficient is a conditional association within a retrieved corpus, not a treatment effect. Recency does not cause signal score; both are features documents acquire as a field evolves. The learning-curve elasticity, even had it been significant, would have identified an age-attention shape, not a causal mechanism by which age produces citations</w:t>
      </w:r>
      <w:r>
        <w:t xml:space="preserve"> </w:t>
      </w:r>
      <w:hyperlink w:anchor="ref-9">
        <w:r>
          <w:rPr>
            <w:rStyle w:val="Hyperlink"/>
          </w:rPr>
          <w:t xml:space="preserve">[9]</w:t>
        </w:r>
      </w:hyperlink>
      <w:r>
        <w:t xml:space="preserve">. Nothing in the two screens supports a causal claim, and the interpretation throughout has been careful to speak of structure and association rather than effect.</w:t>
      </w:r>
    </w:p>
    <w:p>
      <w:pPr>
        <w:pStyle w:val="BodyText"/>
        <w:spacing w:line="480" w:lineRule="auto"/>
        <w:ind w:firstLine="720"/>
      </w:pPr>
      <w:r>
        <w:t xml:space="preserve">The data also cannot separate a topic that is genuinely young from a topic that is genuinely stalled. Both a fast-emerging field early in its trajectory and a field that has plateaued would present as a corpus with weak accumulation structure, because the emerging field has not yet had time to accumulate attention and the stalled field has stopped accumulating it</w:t>
      </w:r>
      <w:r>
        <w:t xml:space="preserve"> </w:t>
      </w:r>
      <w:hyperlink w:anchor="ref-10">
        <w:r>
          <w:rPr>
            <w:rStyle w:val="Hyperlink"/>
          </w:rPr>
          <w:t xml:space="preserve">[10]</w:t>
        </w:r>
      </w:hyperlink>
      <w:r>
        <w:t xml:space="preserve">. The estimators see the weak structure but not the trajectory behind it, and distinguishing the two would require a longer time window and a growth-rate analysis this cross-sectional screen does not perform. This is a genuine interpretive limit, and it cautions against reading the faint signal as a verdict on the field’s vitality rather than as a description of its current documentary footprint</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Finally, the data cannot generalize beyond the retrieved pack. Thirty records surfaced for this topic are not a representative sample of the global launch literature, and the venue distribution is a property of the retrieval, not of the field at large. A different retrieval, a different index, or a fuller citation harvest could produce a different corpus with different structure. The findings are claims about this auditable corpus, and their value is that they are exactly that: bounded, inspectable, and honestly scoped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6"/>
    <w:bookmarkStart w:id="117" w:name="Xc2098d9b4bccdeae0c3780e7678216b31caa369"/>
    <w:p>
      <w:pPr>
        <w:pStyle w:val="Heading2"/>
        <w:spacing w:line="480" w:lineRule="auto"/>
      </w:pPr>
      <w:r>
        <w:t xml:space="preserve">7.35 What a decision-maker should take from this</w:t>
      </w:r>
    </w:p>
    <w:p>
      <w:pPr>
        <w:pStyle w:val="FirstParagraph"/>
        <w:spacing w:line="480" w:lineRule="auto"/>
      </w:pPr>
      <w:r>
        <w:t xml:space="preserve">Translating the findings into guidance requires care, because the easiest translations are the wrong ones. A program office weighing an investment premised on reuse compounding should take from this study neither a green light nor a red one, but a specific caution: the documentary evidence a strongly compounding field would leave is not visible in the retrieved record, so the compounding assumption should be held as a hypothesis rather than as a settled premise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posture is actionable. It argues for structuring commitments so they remain sound whether the curve turns out strong or weak, and for funding the direct cost study that would resolve the question rather than continuing to assume its answer.</w:t>
      </w:r>
    </w:p>
    <w:p>
      <w:pPr>
        <w:pStyle w:val="BodyText"/>
        <w:spacing w:line="480" w:lineRule="auto"/>
        <w:ind w:firstLine="720"/>
      </w:pPr>
      <w:r>
        <w:t xml:space="preserve">An allied planner reasoning about burden sharing should read the venue finding with particular care, because it warns that the topic’s apparent prominence in the literature is concentrated in conference and policy venues that do not, by themselves, establish a cost trajectory</w:t>
      </w:r>
      <w:r>
        <w:t xml:space="preserve"> </w:t>
      </w:r>
      <w:hyperlink w:anchor="ref-2">
        <w:r>
          <w:rPr>
            <w:rStyle w:val="Hyperlink"/>
          </w:rPr>
          <w:t xml:space="preserve">[2]</w:t>
        </w:r>
      </w:hyperlink>
      <w:r>
        <w:t xml:space="preserve"> </w:t>
      </w:r>
      <w:hyperlink w:anchor="ref-6">
        <w:r>
          <w:rPr>
            <w:rStyle w:val="Hyperlink"/>
          </w:rPr>
          <w:t xml:space="preserve">[6]</w:t>
        </w:r>
      </w:hyperlink>
      <w:r>
        <w:t xml:space="preserve">. Prominence in strategy writing is not evidence of falling cost, and the two are easy to conflate when a topic is fashionable. The study’s contribution to that planner is to separate the two: the topic is visible, its visibility is venue-driven, and its cost behavior remains untested in any inspectable form. A burden-sharing arrangement built on the visibility while assuming the cost behavior would be building on the wrong half of the evidence</w:t>
      </w:r>
      <w:r>
        <w:t xml:space="preserve"> </w:t>
      </w:r>
      <w:hyperlink w:anchor="ref-1">
        <w:r>
          <w:rPr>
            <w:rStyle w:val="Hyperlink"/>
          </w:rPr>
          <w:t xml:space="preserve">[1]</w:t>
        </w:r>
      </w:hyperlink>
      <w:r>
        <w:t xml:space="preserve">.</w:t>
      </w:r>
    </w:p>
    <w:bookmarkEnd w:id="117"/>
    <w:bookmarkStart w:id="118" w:name="X9fbdbd3be24e255e29d3de3857169d0d93781f9"/>
    <w:p>
      <w:pPr>
        <w:pStyle w:val="Heading2"/>
        <w:spacing w:line="480" w:lineRule="auto"/>
      </w:pPr>
      <w:r>
        <w:t xml:space="preserve">7.4 Why the honest limits are the contribution</w:t>
      </w:r>
    </w:p>
    <w:p>
      <w:pPr>
        <w:pStyle w:val="FirstParagraph"/>
        <w:spacing w:line="480" w:lineRule="auto"/>
      </w:pPr>
      <w:r>
        <w:t xml:space="preserve">There is a version of this dissertation that would have led with the significant venue coefficient, muted the flat learning curve, and implied that the documentary record supports the reusable-launch cost story. That version would have been more flattering and less true. The contribution of the actual design is that it refuses the flattering reading. It reports a corpus that is structured by venue rather than by accumulation, an attention curve that is flat, and a set of imprecise coefficients that certify little, and it treats all of that as the finding</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This matters for how the result should travel. A planner who reads only the F test might conclude the corpus is meaningfully structured and take comfort. A planner who reads the whole chapter learns that the structure is a publishing artifact, that the accumulation signal is absent, and that the confident learning-curve assumption is not yet backed by an inspectable documentary shadow. The second reading is the one the evidence supports, and delivering it honestly is worth more than a manufactured confirmation. The threats catalogued here are not disclaimers appended for form. They are the reason the single certified coefficient should be carried carefully, and the reason the next study needs a sharper instrument, which Chapter 8 specifies.</w:t>
      </w:r>
    </w:p>
    <w:bookmarkEnd w:id="118"/>
    <w:bookmarkStart w:id="119" w:name="X344f0c025bf2c02bc3420835ecd5805e9430564"/>
    <w:p>
      <w:pPr>
        <w:pStyle w:val="Heading2"/>
        <w:spacing w:line="480" w:lineRule="auto"/>
      </w:pPr>
      <w:r>
        <w:t xml:space="preserve">7.45 The comparison to genuine cost learning curves</w:t>
      </w:r>
    </w:p>
    <w:p>
      <w:pPr>
        <w:pStyle w:val="FirstParagraph"/>
        <w:spacing w:line="480" w:lineRule="auto"/>
      </w:pPr>
      <w:r>
        <w:t xml:space="preserve">Setting the attention result against a real manufacturing learning curve sharpens what the null does and does not say. Genuine cost curves in aircraft and electronics production routinely show progress ratios in the seventy to ninety percent range, encoding double-digit cost reductions per doubling of output, and they show them with tight fits because internal production feedback is a strong, direct mechanism</w:t>
      </w:r>
      <w:r>
        <w:t xml:space="preserve"> </w:t>
      </w:r>
      <w:hyperlink w:anchor="ref-11">
        <w:r>
          <w:rPr>
            <w:rStyle w:val="Hyperlink"/>
          </w:rPr>
          <w:t xml:space="preserve">[11]</w:t>
        </w:r>
      </w:hyperlink>
      <w:r>
        <w:t xml:space="preserve">. The attention curve estimated here shows a progress ratio essentially at one hundred percent and a fit indistinguishable from zero, which is not a weak version of a learning curve but the absence of one in the attention data</w:t>
      </w:r>
      <w:r>
        <w:t xml:space="preserve"> </w:t>
      </w:r>
      <w:hyperlink w:anchor="ref-9">
        <w:r>
          <w:rPr>
            <w:rStyle w:val="Hyperlink"/>
          </w:rPr>
          <w:t xml:space="preserve">[9]</w:t>
        </w:r>
      </w:hyperlink>
      <w:r>
        <w:t xml:space="preserve">. The contrast is instructive precisely because the two share a functional form: the same equation that captures strong learning in production captures no learning in this corpus’s attention, which localizes the null in the attention mechanism rather than in the mathematics. Reading the null this way keeps it honest, because it neither inflates a flat curve into a finding about cost nor dismisses it as a mere artifact of an unsuitable model</w:t>
      </w:r>
      <w:r>
        <w:t xml:space="preserve"> </w:t>
      </w:r>
      <w:hyperlink w:anchor="ref-13">
        <w:r>
          <w:rPr>
            <w:rStyle w:val="Hyperlink"/>
          </w:rPr>
          <w:t xml:space="preserve">[13]</w:t>
        </w:r>
      </w:hyperlink>
      <w:r>
        <w:t xml:space="preserve">.</w:t>
      </w:r>
    </w:p>
    <w:bookmarkEnd w:id="119"/>
    <w:bookmarkStart w:id="120" w:name="Xae024b0275b34413267f8bb3859357566d6530a"/>
    <w:p>
      <w:pPr>
        <w:pStyle w:val="Heading2"/>
        <w:spacing w:line="480" w:lineRule="auto"/>
      </w:pPr>
      <w:r>
        <w:t xml:space="preserve">7.5 Alternative explanations for the venue effect</w:t>
      </w:r>
    </w:p>
    <w:p>
      <w:pPr>
        <w:pStyle w:val="FirstParagraph"/>
        <w:spacing w:line="480" w:lineRule="auto"/>
      </w:pPr>
      <w:r>
        <w:t xml:space="preserve">The one certified finding, the negative venue coefficient, admits more than one explanation, and separating them is where the discussion earns its keep. The substantive explanation is that the reusable-launch topic vocabulary genuinely concentrates in conference and characterization work and is genuinely sparse in economy documents, so venue is picking up a real difference in how directly each family engages the topic</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artifactual explanation is that the economy documents simply carry thinner retrieval metadata, so their low signal scores reflect empty snippet and keyword fields rather than disengagement with the topic. Both explanations predict the same negative coefficient, and the design cannot fully adjudicate between them.</w:t>
      </w:r>
    </w:p>
    <w:p>
      <w:pPr>
        <w:pStyle w:val="BodyText"/>
        <w:spacing w:line="480" w:lineRule="auto"/>
        <w:ind w:firstLine="720"/>
      </w:pPr>
      <w:r>
        <w:t xml:space="preserve">That inability is a real limit, and pretending otherwise would violate the project’s stance. What can be said is that the two explanations point to different follow-on tests. If the effect is substantive, a richer document-coding pass over the economy documents would still find low topic density in their full text. If the effect is artifactual, that same pass would recover topic engagement that the sparse metadata hid. The current design measures metadata, not full text, so it registers whichever mechanism is operating without distinguishing them</w:t>
      </w:r>
      <w:r>
        <w:t xml:space="preserve"> </w:t>
      </w:r>
      <w:hyperlink w:anchor="ref-5">
        <w:r>
          <w:rPr>
            <w:rStyle w:val="Hyperlink"/>
          </w:rPr>
          <w:t xml:space="preserve">[5]</w:t>
        </w:r>
      </w:hyperlink>
      <w:r>
        <w:t xml:space="preserve">. Naming both explanations, and the test that would separate them, is more useful than asserting the flattering substantive reading as if it were established.</w:t>
      </w:r>
    </w:p>
    <w:p>
      <w:pPr>
        <w:pStyle w:val="BodyText"/>
        <w:spacing w:line="480" w:lineRule="auto"/>
        <w:ind w:firstLine="720"/>
      </w:pPr>
      <w:r>
        <w:t xml:space="preserve">A third possibility deserves mention: that the venue coefficient reflects retrieval selection rather than any property of the field. If the retrieval surfaced topic-dense conference records and topic-sparse economy records for reasons tied to how each venue is indexed, the venue effect could be partly a fingerprint of the retrieval process itself</w:t>
      </w:r>
      <w:r>
        <w:t xml:space="preserve"> </w:t>
      </w:r>
      <w:hyperlink w:anchor="ref-4">
        <w:r>
          <w:rPr>
            <w:rStyle w:val="Hyperlink"/>
          </w:rPr>
          <w:t xml:space="preserve">[4]</w:t>
        </w:r>
      </w:hyperlink>
      <w:r>
        <w:t xml:space="preserve">. This is the selection threat named in the theory chapter, now concrete. It does not erase the finding, because the structure is real within the retrieved corpus, but it bounds the finding’s reach: the venue effect is a claim about this pack, and its generalization to the field depends on the retrieval being representative, which the design cannot guarantee</w:t>
      </w:r>
      <w:r>
        <w:t xml:space="preserve"> </w:t>
      </w:r>
      <w:hyperlink w:anchor="ref-6">
        <w:r>
          <w:rPr>
            <w:rStyle w:val="Hyperlink"/>
          </w:rPr>
          <w:t xml:space="preserve">[6]</w:t>
        </w:r>
      </w:hyperlink>
      <w:r>
        <w:t xml:space="preserve">.</w:t>
      </w:r>
    </w:p>
    <w:bookmarkEnd w:id="120"/>
    <w:bookmarkStart w:id="121" w:name="X18d1c23dcef48384ed3bc9326b9cb059274f31a"/>
    <w:p>
      <w:pPr>
        <w:pStyle w:val="Heading2"/>
        <w:spacing w:line="480" w:lineRule="auto"/>
      </w:pPr>
      <w:r>
        <w:t xml:space="preserve">7.6 Situating the null learning curve honestly</w:t>
      </w:r>
    </w:p>
    <w:p>
      <w:pPr>
        <w:pStyle w:val="FirstParagraph"/>
        <w:spacing w:line="480" w:lineRule="auto"/>
      </w:pPr>
      <w:r>
        <w:t xml:space="preserve">The flat attention curve is the result most vulnerable to misreading in both directions, so it deserves a careful situating. A hostile reading would take the near-zero elasticity as proof that reusable launch is not a learning field. That overreaches badly. The learning-curve model tested attention accumulation by age within a thirty-record pack whose citations are concentrated in a handful of articles and whose index undercounts conference and economy work</w:t>
      </w:r>
      <w:r>
        <w:t xml:space="preserve"> </w:t>
      </w:r>
      <w:hyperlink w:anchor="ref-8">
        <w:r>
          <w:rPr>
            <w:rStyle w:val="Hyperlink"/>
          </w:rPr>
          <w:t xml:space="preserve">[8]</w:t>
        </w:r>
      </w:hyperlink>
      <w:r>
        <w:t xml:space="preserve"> </w:t>
      </w:r>
      <w:hyperlink w:anchor="ref-13">
        <w:r>
          <w:rPr>
            <w:rStyle w:val="Hyperlink"/>
          </w:rPr>
          <w:t xml:space="preserve">[13]</w:t>
        </w:r>
      </w:hyperlink>
      <w:r>
        <w:t xml:space="preserve">. A flat curve under those conditions is exactly what a genuinely learning field would also produce if its attention signal were swamped by measurement floors and small-sample scatter. The null does not reach the cost curve, and reading it as if it did would repeat, in reverse, the very overclaiming the dissertation criticizes.</w:t>
      </w:r>
    </w:p>
    <w:p>
      <w:pPr>
        <w:pStyle w:val="BodyText"/>
        <w:spacing w:line="480" w:lineRule="auto"/>
        <w:ind w:firstLine="720"/>
      </w:pPr>
      <w:r>
        <w:t xml:space="preserve">A friendly reading errs the other way, treating the null as a mere artifact to be explained away. That also overreaches. The curve is genuinely flat in this corpus, the R-squared is genuinely indistinguishable from zero, and the honest statement is that the documentary record examined here does not corroborate an age-structured accumulation of attention</w:t>
      </w:r>
      <w:r>
        <w:t xml:space="preserve"> </w:t>
      </w:r>
      <w:hyperlink w:anchor="ref-9">
        <w:r>
          <w:rPr>
            <w:rStyle w:val="Hyperlink"/>
          </w:rPr>
          <w:t xml:space="preserve">[9]</w:t>
        </w:r>
      </w:hyperlink>
      <w:r>
        <w:t xml:space="preserve">. The disciplined position sits between the two: the null is real and it is bounded. It says the easy documentary shadow is absent, it does not say the object casting shadows is absent, and it points precisely to the measurement improvements, a fuller citation harvest and a venue-conditioned specification, that would let a future study distinguish a truly flat field from a flat measurement</w:t>
      </w:r>
      <w:r>
        <w:t xml:space="preserve"> </w:t>
      </w:r>
      <w:hyperlink w:anchor="ref-7">
        <w:r>
          <w:rPr>
            <w:rStyle w:val="Hyperlink"/>
          </w:rPr>
          <w:t xml:space="preserve">[7]</w:t>
        </w:r>
      </w:hyperlink>
      <w:r>
        <w:t xml:space="preserve">. Holding that middle position, refusing both the hostile and the friendly overreach, is the interpretive discipline the null demands.</w:t>
      </w:r>
    </w:p>
    <w:bookmarkEnd w:id="121"/>
    <w:bookmarkEnd w:id="122"/>
    <w:bookmarkStart w:id="160"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test whether the learning curve holds for reusable launch, not by measuring launch prices that are not in the record, but by asking whether the documentary and bibliometric footprint of reusable-launch learning behaves the way an accumulating field should. The answer is a qualified no. It is reported in Chapter 6 without embellishment. The retrieved corpus is structured, but it is structured by venue rather than by the accumulation signals a compounding process would leave, and the attention learning curve tested through its own functional form is flat. This closing chapter states the contribution in its bounded form, draws out what it means for programs and governance, and specifies the sharper instrument a follow-on study would need.</w:t>
      </w:r>
    </w:p>
    <w:bookmarkStart w:id="123" w:name="the-contribution-bounded"/>
    <w:p>
      <w:pPr>
        <w:pStyle w:val="Heading2"/>
        <w:spacing w:line="480" w:lineRule="auto"/>
      </w:pPr>
      <w:r>
        <w:t xml:space="preserve">8.1 The contribution, bounded</w:t>
      </w:r>
    </w:p>
    <w:p>
      <w:pPr>
        <w:pStyle w:val="FirstParagraph"/>
        <w:spacing w:line="480" w:lineRule="auto"/>
      </w:pPr>
      <w:r>
        <w:t xml:space="preserve">The contribution is a single falsifiable, fully auditable test, and its value lies as much in what it declined to claim as in what it found. The design took a broad policy intuition, that reuse compounds learning and bends the cost curve, and converted it into a document-level test that a reader can walk end to end, from source record set to variable construction to estimator output to interpretation</w:t>
      </w:r>
      <w:r>
        <w:t xml:space="preserve"> </w:t>
      </w:r>
      <w:hyperlink w:anchor="ref-3">
        <w:r>
          <w:rPr>
            <w:rStyle w:val="Hyperlink"/>
          </w:rPr>
          <w:t xml:space="preserve">[3]</w:t>
        </w:r>
      </w:hyperlink>
      <w:r>
        <w:t xml:space="preserve"> </w:t>
      </w:r>
      <w:hyperlink w:anchor="ref-5">
        <w:r>
          <w:rPr>
            <w:rStyle w:val="Hyperlink"/>
          </w:rPr>
          <w:t xml:space="preserve">[5]</w:t>
        </w:r>
      </w:hyperlink>
      <w:r>
        <w:t xml:space="preserve">. That traceability is the methodological product. In a domain where the decision-relevant cost numbers are proprietary and the rhetorical claims are abundant, an inspectable chain from evidence to conclusion is itself worth building.</w:t>
      </w:r>
    </w:p>
    <w:p>
      <w:pPr>
        <w:pStyle w:val="BodyText"/>
        <w:spacing w:line="480" w:lineRule="auto"/>
        <w:ind w:firstLine="720"/>
      </w:pPr>
      <w:r>
        <w:t xml:space="preserve">The empirical product is a mixed verdict, reported honestly. The signal model found the corpus significantly structured overall, with an F p-value of 0.0048, but localized that structure to venue family: a precise, large, negative venue coefficient of -1.1687 at p = 0.0048, with recency and citation attention imprecise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learning-curve model found no age-structured attention accumulation, an elasticity of 0.0205 at p = 0.9582 with an R-squared indistinguishable from zero, implying a progress ratio of 1.0143 that is effectively no learning in the attention data at all</w:t>
      </w:r>
      <w:r>
        <w:t xml:space="preserve"> </w:t>
      </w:r>
      <w:hyperlink w:anchor="ref-9">
        <w:r>
          <w:rPr>
            <w:rStyle w:val="Hyperlink"/>
          </w:rPr>
          <w:t xml:space="preserve">[9]</w:t>
        </w:r>
      </w:hyperlink>
      <w:r>
        <w:t xml:space="preserve">. Read together, the two screens say the documentary shadow of reusable-launch learning is faint and venue-driven, which is a real finding even though it disappoints the simple hypothesis.</w:t>
      </w:r>
    </w:p>
    <w:p>
      <w:pPr>
        <w:pStyle w:val="BodyText"/>
        <w:spacing w:line="480" w:lineRule="auto"/>
        <w:ind w:firstLine="720"/>
      </w:pPr>
      <w:r>
        <w:t xml:space="preserve">The falsifiability is not decorative. H1b was refuted cleanly by its own data, and the simple form of H1a was only partly supported, with the certified structure landing on venue rather than on the accumulation dimensions the theory wanted</w:t>
      </w:r>
      <w:r>
        <w:t xml:space="preserve"> </w:t>
      </w:r>
      <w:hyperlink w:anchor="ref-7">
        <w:r>
          <w:rPr>
            <w:rStyle w:val="Hyperlink"/>
          </w:rPr>
          <w:t xml:space="preserve">[7]</w:t>
        </w:r>
      </w:hyperlink>
      <w:r>
        <w:t xml:space="preserve">. A design that could only confirm would have taught nothing. This one lost part of its own argument on the evidence and reported the loss, which is the behavior that separates a test from an advocacy exercise.</w:t>
      </w:r>
    </w:p>
    <w:bookmarkEnd w:id="123"/>
    <w:bookmarkStart w:id="124" w:name="implications-for-programs-and-governance"/>
    <w:p>
      <w:pPr>
        <w:pStyle w:val="Heading2"/>
        <w:spacing w:line="480" w:lineRule="auto"/>
      </w:pPr>
      <w:r>
        <w:t xml:space="preserve">8.2 Implications for programs and governance</w:t>
      </w:r>
    </w:p>
    <w:p>
      <w:pPr>
        <w:pStyle w:val="FirstParagraph"/>
        <w:spacing w:line="480" w:lineRule="auto"/>
      </w:pPr>
      <w:r>
        <w:t xml:space="preserve">The governance implication follows directly from the deflation. Strategy and acquisition documents have folded the reusable-launch learning curve into planning as though its evidentiary footprint were settled, treating responsive and reusable access as a burden-sharing and deterrence asset premised on a compounding cost decline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This dissertation shows that the easy, auditable documentary signal such a compounding process would leave is not present in the retrieved record. That is not a directive to abandon reuse. It is a caution that a load-bearing planning assumption is running ahead of the inspectable evidence, and that decisions leaning on it should carry an explicit acknowledgment of that gap.</w:t>
      </w:r>
    </w:p>
    <w:p>
      <w:pPr>
        <w:pStyle w:val="BodyText"/>
        <w:spacing w:line="480" w:lineRule="auto"/>
        <w:ind w:firstLine="720"/>
      </w:pPr>
      <w:r>
        <w:t xml:space="preserve">For program managers, the practical reading is about proportioning confidence. Where a decision depends on the learning curve being strong, this evidence counsels hedging rather than certainty, because the documentary record does not yet corroborate strength</w:t>
      </w:r>
      <w:r>
        <w:t xml:space="preserve"> </w:t>
      </w:r>
      <w:hyperlink w:anchor="ref-3">
        <w:r>
          <w:rPr>
            <w:rStyle w:val="Hyperlink"/>
          </w:rPr>
          <w:t xml:space="preserve">[3]</w:t>
        </w:r>
      </w:hyperlink>
      <w:r>
        <w:t xml:space="preserve">. Where a decision can be structured to remain sound whether the curve is strong or weak, that structure is the prudent one on present evidence. The finding does not tell a manager what launch costs; it tells a manager not to treat the compounding assumption as if it were already measured.</w:t>
      </w:r>
    </w:p>
    <w:p>
      <w:pPr>
        <w:pStyle w:val="BodyText"/>
        <w:spacing w:line="480" w:lineRule="auto"/>
        <w:ind w:firstLine="720"/>
      </w:pPr>
      <w:r>
        <w:t xml:space="preserve">For governance bodies reasoning under uncertainty, the dissertation models a discipline worth adopting. The right move when data are imperfect is neither to wait for perfect data nor to overstate weak evidence, but to mark the boundary between what the record shows and what remains unknown</w:t>
      </w:r>
      <w:r>
        <w:t xml:space="preserve"> </w:t>
      </w:r>
      <w:hyperlink w:anchor="ref-6">
        <w:r>
          <w:rPr>
            <w:rStyle w:val="Hyperlink"/>
          </w:rPr>
          <w:t xml:space="preserve">[6]</w:t>
        </w:r>
      </w:hyperlink>
      <w:r>
        <w:t xml:space="preserve">. Standards forums, allied burden-sharing arrangements, and international coordination efforts all reason ahead of complete data, and all benefit from claims that arrive with their evidentiary status attached. A venue-driven corpus structure and a flat attention curve are exactly the kind of honestly scoped inputs such bodies can use without being misled.</w:t>
      </w:r>
    </w:p>
    <w:bookmarkEnd w:id="124"/>
    <w:bookmarkStart w:id="125" w:name="future-work-the-sharper-instrument"/>
    <w:p>
      <w:pPr>
        <w:pStyle w:val="Heading2"/>
        <w:spacing w:line="480" w:lineRule="auto"/>
      </w:pPr>
      <w:r>
        <w:t xml:space="preserve">8.3 Future work: the sharper instrument</w:t>
      </w:r>
    </w:p>
    <w:p>
      <w:pPr>
        <w:pStyle w:val="FirstParagraph"/>
        <w:spacing w:line="480" w:lineRule="auto"/>
      </w:pPr>
      <w:r>
        <w:t xml:space="preserve">The clearest contribution a follow-on study could make is to replace the documentary shadow with the object itself. This design measured topic vocabulary and citation attention because launch-cost data were unavailable, but the natural next instrument is a direct document-coding study of primary cost claims: extracting, from provider filings, program records, and technical reports, the actual cost-per-flight assertions and the cumulative-flight counts they attach to, then fitting the Wright curve to those coded values rather than to their bibliometric shadow</w:t>
      </w:r>
      <w:r>
        <w:t xml:space="preserve"> </w:t>
      </w:r>
      <w:hyperlink w:anchor="ref-3">
        <w:r>
          <w:rPr>
            <w:rStyle w:val="Hyperlink"/>
          </w:rPr>
          <w:t xml:space="preserve">[3]</w:t>
        </w:r>
      </w:hyperlink>
      <w:r>
        <w:t xml:space="preserve"> </w:t>
      </w:r>
      <w:hyperlink w:anchor="ref-13">
        <w:r>
          <w:rPr>
            <w:rStyle w:val="Hyperlink"/>
          </w:rPr>
          <w:t xml:space="preserve">[13]</w:t>
        </w:r>
      </w:hyperlink>
      <w:r>
        <w:t xml:space="preserve">. That study would be more expensive and less clean, because primary cost documents are guarded and inconsistent, but it would test the cost curve directly rather than by proxy.</w:t>
      </w:r>
    </w:p>
    <w:p>
      <w:pPr>
        <w:pStyle w:val="BodyText"/>
        <w:spacing w:line="480" w:lineRule="auto"/>
        <w:ind w:firstLine="720"/>
      </w:pPr>
      <w:r>
        <w:t xml:space="preserve">A longitudinal extension would address the sharpest interpretive limit named in Chapter 7, the inability to tell a young field from a stalled one. Tracking the topic signal and the citation stock across a rolling window of years, rather than in a single cross-section, would reveal whether the faint present footprint is thickening or thinning over time</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A field on the way up and a field on the way down look identical in a snapshot and completely different in a sequence, so the growth rate, not the level, is the quantity that would finally speak to the field’s trajectory. That extension needs no new data source, only a re-slicing of the retrieval by year, which makes it the cheapest high-value improvement available</w:t>
      </w:r>
      <w:r>
        <w:t xml:space="preserve"> </w:t>
      </w:r>
      <w:hyperlink w:anchor="ref-10">
        <w:r>
          <w:rPr>
            <w:rStyle w:val="Hyperlink"/>
          </w:rPr>
          <w:t xml:space="preserve">[10]</w:t>
        </w:r>
      </w:hyperlink>
      <w:r>
        <w:t xml:space="preserve">.</w:t>
      </w:r>
    </w:p>
    <w:p>
      <w:pPr>
        <w:pStyle w:val="BodyText"/>
        <w:spacing w:line="480" w:lineRule="auto"/>
        <w:ind w:firstLine="720"/>
      </w:pPr>
      <w:r>
        <w:t xml:space="preserve">Three narrower extensions also follow from the specific threats identified in Chapter 7. A fuller citation harvest, replacing the local index counts with comprehensive bibliometric totals, would test whether the flat attention curve is a property of the field or of the index’s coverage</w:t>
      </w:r>
      <w:r>
        <w:t xml:space="preserve"> </w:t>
      </w:r>
      <w:hyperlink w:anchor="ref-8">
        <w:r>
          <w:rPr>
            <w:rStyle w:val="Hyperlink"/>
          </w:rPr>
          <w:t xml:space="preserve">[8]</w:t>
        </w:r>
      </w:hyperlink>
      <w:r>
        <w:t xml:space="preserve">. A venue-conditioned attention model, adding venue family to the learning-curve specification, would separate the raw age-attention shape from the venue entanglement the single-predictor screen could not resolve</w:t>
      </w:r>
      <w:r>
        <w:t xml:space="preserve"> </w:t>
      </w:r>
      <w:hyperlink w:anchor="ref-7">
        <w:r>
          <w:rPr>
            <w:rStyle w:val="Hyperlink"/>
          </w:rPr>
          <w:t xml:space="preserve">[7]</w:t>
        </w:r>
      </w:hyperlink>
      <w:r>
        <w:t xml:space="preserve">. And a larger corpus, expanding well beyond thirty records, would give the imprecise coefficients, especially the positively signed recency term, the statistical power this sample denied them</w:t>
      </w:r>
      <w:r>
        <w:t xml:space="preserve"> </w:t>
      </w:r>
      <w:hyperlink w:anchor="ref-4">
        <w:r>
          <w:rPr>
            <w:rStyle w:val="Hyperlink"/>
          </w:rPr>
          <w:t xml:space="preserve">[4]</w:t>
        </w:r>
      </w:hyperlink>
      <w:r>
        <w:t xml:space="preserve">.</w:t>
      </w:r>
    </w:p>
    <w:p>
      <w:pPr>
        <w:pStyle w:val="BodyText"/>
        <w:spacing w:line="480" w:lineRule="auto"/>
        <w:ind w:firstLine="720"/>
      </w:pPr>
      <w:r>
        <w:t xml:space="preserve">Each extension inherits the design’s core commitment, which is the real bequest of this project. Whatever instrument comes next should keep the chain from source to coefficient fully inspectable, so that its findings, strong or weak, arrive with their provenance and their limits attached. The reusable-launch learning curve may yet prove strong when tested against primary cost data. This dissertation’s job was narrower and is complete: it built an auditable screen, ran it faithfully, and reported that the documentary evidence for a compounding footprint is, on this corpus, faint and venue-driven rather than the clear accumulation signal the planning rhetoric assumes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25"/>
    <w:bookmarkStart w:id="126" w:name="X6e292f85728ab9a02c2f4e6b203db60ea59fc73"/>
    <w:p>
      <w:pPr>
        <w:pStyle w:val="Heading2"/>
        <w:spacing w:line="480" w:lineRule="auto"/>
      </w:pPr>
      <w:r>
        <w:t xml:space="preserve">8.35 The place of this work in a longer research program</w:t>
      </w:r>
    </w:p>
    <w:p>
      <w:pPr>
        <w:pStyle w:val="FirstParagraph"/>
        <w:spacing w:line="480" w:lineRule="auto"/>
      </w:pPr>
      <w:r>
        <w:t xml:space="preserve">No single dissertation resolves a six-decade debate, and this one is best understood as the first instrument in a sequence rather than as a terminal answer. Its role in that sequence is specific: it establishes, cheaply and auditably, that the documentary shadow of reusable-launch learning is faint and venue-driven, which is exactly the finding that justifies building the more expensive instruments next</w:t>
      </w:r>
      <w:r>
        <w:t xml:space="preserve"> </w:t>
      </w:r>
      <w:hyperlink w:anchor="ref-5">
        <w:r>
          <w:rPr>
            <w:rStyle w:val="Hyperlink"/>
          </w:rPr>
          <w:t xml:space="preserve">[5]</w:t>
        </w:r>
      </w:hyperlink>
      <w:r>
        <w:t xml:space="preserve"> </w:t>
      </w:r>
      <w:hyperlink w:anchor="ref-6">
        <w:r>
          <w:rPr>
            <w:rStyle w:val="Hyperlink"/>
          </w:rPr>
          <w:t xml:space="preserve">[6]</w:t>
        </w:r>
      </w:hyperlink>
      <w:r>
        <w:t xml:space="preserve">. A research program that jumped straight to a costly primary-document coding study without first checking whether the easy documentary signal exists would have skipped a useful screening step. This project is that step, and its value is partly in what it saves a successor from assuming.</w:t>
      </w:r>
    </w:p>
    <w:p>
      <w:pPr>
        <w:pStyle w:val="BodyText"/>
        <w:spacing w:line="480" w:lineRule="auto"/>
        <w:ind w:firstLine="720"/>
      </w:pPr>
      <w:r>
        <w:t xml:space="preserve">The sequence it implies has a natural order. First comes the screen performed here, which asks whether the retrieved literature carries an accumulation signal and finds that it does not, cleanly. Second comes the longitudinal re-slicing, which asks whether the faint present signal is growing or shrinking and would distinguish a young field from a stalled one</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Third comes the fuller citation harvest and the venue-conditioned attention model, which would test whether the flat learning curve is a property of the field or of the local index’s coverage</w:t>
      </w:r>
      <w:r>
        <w:t xml:space="preserve"> </w:t>
      </w:r>
      <w:hyperlink w:anchor="ref-7">
        <w:r>
          <w:rPr>
            <w:rStyle w:val="Hyperlink"/>
          </w:rPr>
          <w:t xml:space="preserve">[7]</w:t>
        </w:r>
      </w:hyperlink>
      <w:r>
        <w:t xml:space="preserve"> </w:t>
      </w:r>
      <w:hyperlink w:anchor="ref-8">
        <w:r>
          <w:rPr>
            <w:rStyle w:val="Hyperlink"/>
          </w:rPr>
          <w:t xml:space="preserve">[8]</w:t>
        </w:r>
      </w:hyperlink>
      <w:r>
        <w:t xml:space="preserve">. Only fourth, and only if the earlier steps warranted the expense, comes the direct coding of primary cost documents against the Wright curve, which is the study that would finally speak to launch economics rather than to their documentary shadow</w:t>
      </w:r>
      <w:r>
        <w:t xml:space="preserve"> </w:t>
      </w:r>
      <w:hyperlink w:anchor="ref-3">
        <w:r>
          <w:rPr>
            <w:rStyle w:val="Hyperlink"/>
          </w:rPr>
          <w:t xml:space="preserve">[3]</w:t>
        </w:r>
      </w:hyperlink>
      <w:r>
        <w:t xml:space="preserve"> </w:t>
      </w:r>
      <w:hyperlink w:anchor="ref-13">
        <w:r>
          <w:rPr>
            <w:rStyle w:val="Hyperlink"/>
          </w:rPr>
          <w:t xml:space="preserve">[13]</w:t>
        </w:r>
      </w:hyperlink>
      <w:r>
        <w:t xml:space="preserve">. Each step is cheaper than the one after it and screens whether that next step is worth taking.</w:t>
      </w:r>
    </w:p>
    <w:p>
      <w:pPr>
        <w:pStyle w:val="BodyText"/>
        <w:spacing w:line="480" w:lineRule="auto"/>
        <w:ind w:firstLine="720"/>
      </w:pPr>
      <w:r>
        <w:t xml:space="preserve">Placed in that sequence, the modesty of the present findings is a strength rather than a limitation. A screen is supposed to be modest; its job is to sort, not to settle. This screen sorted honestly, reporting a venue-dominated structure and a null attention curve, and in doing so it told the research program where the easy signal is not</w:t>
      </w:r>
      <w:r>
        <w:t xml:space="preserve"> </w:t>
      </w:r>
      <w:hyperlink w:anchor="ref-9">
        <w:r>
          <w:rPr>
            <w:rStyle w:val="Hyperlink"/>
          </w:rPr>
          <w:t xml:space="preserve">[9]</w:t>
        </w:r>
      </w:hyperlink>
      <w:r>
        <w:t xml:space="preserve">. That negative information has real value, because it steers a successor away from the assumption that the documentary record will corroborate the cost story on its own and toward the harder primary-document work that the record cannot substitute for. A dissertation that maps the floor of its evidence as carefully as its ceiling is a dissertation built to be built upon</w:t>
      </w:r>
      <w:r>
        <w:t xml:space="preserve"> </w:t>
      </w:r>
      <w:hyperlink w:anchor="ref-1">
        <w:r>
          <w:rPr>
            <w:rStyle w:val="Hyperlink"/>
          </w:rPr>
          <w:t xml:space="preserve">[1]</w:t>
        </w:r>
      </w:hyperlink>
      <w:r>
        <w:t xml:space="preserve">.</w:t>
      </w:r>
    </w:p>
    <w:bookmarkEnd w:id="126"/>
    <w:bookmarkStart w:id="127" w:name="closing"/>
    <w:p>
      <w:pPr>
        <w:pStyle w:val="Heading2"/>
        <w:spacing w:line="480" w:lineRule="auto"/>
      </w:pPr>
      <w:r>
        <w:t xml:space="preserve">8.4 Closing</w:t>
      </w:r>
    </w:p>
    <w:p>
      <w:pPr>
        <w:pStyle w:val="FirstParagraph"/>
        <w:spacing w:line="480" w:lineRule="auto"/>
      </w:pPr>
      <w:r>
        <w:t xml:space="preserve">A dissertation like this succeeds not by producing a large effect but by producing a trustworthy one. The trustworthy result here is unglamorous: a corpus organized by where documents are published, a citation attention curve that does not rise with age, and a single certified coefficient carrying the weight of the certified findings. Everything else the estimators returned was imprecise, and saying so plainly is the discipline the whole design was built to enforce</w:t>
      </w:r>
      <w:r>
        <w:t xml:space="preserve"> </w:t>
      </w:r>
      <w:hyperlink w:anchor="ref-9">
        <w:r>
          <w:rPr>
            <w:rStyle w:val="Hyperlink"/>
          </w:rPr>
          <w:t xml:space="preserve">[9]</w:t>
        </w:r>
      </w:hyperlink>
      <w:r>
        <w:t xml:space="preserve">. The learning curve for reusable launch remains an open empirical question. What this project settled is smaller and firmer: the documentary record, read with full auditability, does not yet show the compounding shadow that six decades of expectation would lead one to assume, and any planning that depends on that shadow should say so out loud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27"/>
    <w:bookmarkStart w:id="128" w:name="X2c794f9fa915da1de60784c41f403a6a3e3983c"/>
    <w:p>
      <w:pPr>
        <w:pStyle w:val="Heading2"/>
        <w:spacing w:line="480" w:lineRule="auto"/>
      </w:pPr>
      <w:r>
        <w:t xml:space="preserve">8.5 How the contribution generalizes beyond this topic</w:t>
      </w:r>
    </w:p>
    <w:p>
      <w:pPr>
        <w:pStyle w:val="FirstParagraph"/>
        <w:spacing w:line="480" w:lineRule="auto"/>
      </w:pPr>
      <w:r>
        <w:t xml:space="preserve">The specific finding about reusable launch is bounded, but the method the dissertation demonstrates is portable, and that portability is part of what the project contributes. Space policy is full of load-bearing assumptions that sit between disciplines and go untested: that a given capability will mature on schedule, that a market will form at a projected scale, that a governance rule will hold under pressure. Each of these is, in principle, amenable to the same treatment applied here: convert the intuition into a document-level test, build variables whose construction is fully documented, run a transparent estimator, and report the result with its imprecision intact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value is not in any single coefficient but in the template for turning a policy assertion into an auditable claim.</w:t>
      </w:r>
    </w:p>
    <w:p>
      <w:pPr>
        <w:pStyle w:val="BodyText"/>
        <w:spacing w:line="480" w:lineRule="auto"/>
        <w:ind w:firstLine="720"/>
      </w:pPr>
      <w:r>
        <w:t xml:space="preserve">The template also has a defensive value that is easy to overlook. In a policy environment where advocacy and skepticism both arrive loud and unaudited, an inspectable weak result is a check on both. It denies the advocate the comfort of an unexamined compounding assumption, and it denies the skeptic the satisfaction of declaring the field dead, because the same faint signal is consistent with a young field, a turbulent field, and a measurement floor</w:t>
      </w:r>
      <w:r>
        <w:t xml:space="preserve"> </w:t>
      </w:r>
      <w:hyperlink w:anchor="ref-1">
        <w:r>
          <w:rPr>
            <w:rStyle w:val="Hyperlink"/>
          </w:rPr>
          <w:t xml:space="preserve">[1]</w:t>
        </w:r>
      </w:hyperlink>
      <w:r>
        <w:t xml:space="preserve"> </w:t>
      </w:r>
      <w:hyperlink w:anchor="ref-10">
        <w:r>
          <w:rPr>
            <w:rStyle w:val="Hyperlink"/>
          </w:rPr>
          <w:t xml:space="preserve">[10]</w:t>
        </w:r>
      </w:hyperlink>
      <w:r>
        <w:t xml:space="preserve">. A method that can disappoint everyone equally, and show its work while doing so, is precisely the kind of method a contested domain needs, and demonstrating that on the hardest available case is part of what the project set out to do</w:t>
      </w:r>
      <w:r>
        <w:t xml:space="preserve"> </w:t>
      </w:r>
      <w:hyperlink w:anchor="ref-6">
        <w:r>
          <w:rPr>
            <w:rStyle w:val="Hyperlink"/>
          </w:rPr>
          <w:t xml:space="preserve">[6]</w:t>
        </w:r>
      </w:hyperlink>
      <w:r>
        <w:t xml:space="preserve">.</w:t>
      </w:r>
    </w:p>
    <w:p>
      <w:pPr>
        <w:pStyle w:val="BodyText"/>
        <w:spacing w:line="480" w:lineRule="auto"/>
        <w:ind w:firstLine="720"/>
      </w:pPr>
      <w:r>
        <w:t xml:space="preserve">The reusable-launch case is a particularly stringent trial of that template, because the decision-relevant numbers are so thoroughly hidden. If the approach can produce an honest, bounded, useful result even here, where the object of interest is invisible and only its shadow is measurable, it can do so in domains where the data are somewhat richer. The transferable lesson is that data scarcity is not a license for confident narrative; it is a reason for disciplined, provenance-heavy measurement of whatever is inspectable</w:t>
      </w:r>
      <w:r>
        <w:t xml:space="preserve"> </w:t>
      </w:r>
      <w:hyperlink w:anchor="ref-5">
        <w:r>
          <w:rPr>
            <w:rStyle w:val="Hyperlink"/>
          </w:rPr>
          <w:t xml:space="preserve">[5]</w:t>
        </w:r>
      </w:hyperlink>
      <w:r>
        <w:t xml:space="preserve">. Adjacent space-domain fields have already institutionalized that discipline for sensor and observational data, and this project extends it to the documentary record, which is the substrate on which most policy claims actually rest</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28"/>
    <w:bookmarkStart w:id="129" w:name="the-discipline-as-the-transferable-asset"/>
    <w:p>
      <w:pPr>
        <w:pStyle w:val="Heading2"/>
        <w:spacing w:line="480" w:lineRule="auto"/>
      </w:pPr>
      <w:r>
        <w:t xml:space="preserve">8.55 The discipline as the transferable asset</w:t>
      </w:r>
    </w:p>
    <w:p>
      <w:pPr>
        <w:pStyle w:val="FirstParagraph"/>
        <w:spacing w:line="480" w:lineRule="auto"/>
      </w:pPr>
      <w:r>
        <w:t xml:space="preserve">If one thing survives from this project into the successor studies it implies, it should be the discipline rather than the specific coefficients. The discipline has three parts, each demonstrated here on a hard case. Provenance: every observation carries a source, so every downstream number is checkable</w:t>
      </w:r>
      <w:r>
        <w:t xml:space="preserve"> </w:t>
      </w:r>
      <w:hyperlink w:anchor="ref-3">
        <w:r>
          <w:rPr>
            <w:rStyle w:val="Hyperlink"/>
          </w:rPr>
          <w:t xml:space="preserve">[3]</w:t>
        </w:r>
      </w:hyperlink>
      <w:r>
        <w:t xml:space="preserve"> </w:t>
      </w:r>
      <w:hyperlink w:anchor="ref-5">
        <w:r>
          <w:rPr>
            <w:rStyle w:val="Hyperlink"/>
          </w:rPr>
          <w:t xml:space="preserve">[5]</w:t>
        </w:r>
      </w:hyperlink>
      <w:r>
        <w:t xml:space="preserve">. Determinism: the estimators are fixed functions of the pack, so there are no hidden researcher choices to distrust</w:t>
      </w:r>
      <w:r>
        <w:t xml:space="preserve"> </w:t>
      </w:r>
      <w:hyperlink w:anchor="ref-9">
        <w:r>
          <w:rPr>
            <w:rStyle w:val="Hyperlink"/>
          </w:rPr>
          <w:t xml:space="preserve">[9]</w:t>
        </w:r>
      </w:hyperlink>
      <w:r>
        <w:t xml:space="preserve">. Honest reporting: an imprecise coefficient is reported as imprecise and a null curve as a null, so the reader is never handed a suggestive sign dressed as a finding</w:t>
      </w:r>
      <w:r>
        <w:t xml:space="preserve"> </w:t>
      </w:r>
      <w:hyperlink w:anchor="ref-6">
        <w:r>
          <w:rPr>
            <w:rStyle w:val="Hyperlink"/>
          </w:rPr>
          <w:t xml:space="preserve">[6]</w:t>
        </w:r>
      </w:hyperlink>
      <w:r>
        <w:t xml:space="preserve">. These three commitments are what let a weak result be trusted, and a weak result that can be trusted is more useful to a decision-maker than a strong result that cannot. Any successor study, whatever its instrument, inherits its credibility from keeping these three commitments intact, and losing any one of them would forfeit the very trustworthiness that makes a bounded finding worth having</w:t>
      </w:r>
      <w:r>
        <w:t xml:space="preserve"> </w:t>
      </w:r>
      <w:hyperlink w:anchor="ref-1">
        <w:r>
          <w:rPr>
            <w:rStyle w:val="Hyperlink"/>
          </w:rPr>
          <w:t xml:space="preserve">[1]</w:t>
        </w:r>
      </w:hyperlink>
      <w:r>
        <w:t xml:space="preserve">.</w:t>
      </w:r>
    </w:p>
    <w:bookmarkEnd w:id="129"/>
    <w:bookmarkStart w:id="130" w:name="Xc9bf614b061b00df114785d4227746aaaaa6e11"/>
    <w:p>
      <w:pPr>
        <w:pStyle w:val="Heading2"/>
        <w:spacing w:line="480" w:lineRule="auto"/>
      </w:pPr>
      <w:r>
        <w:t xml:space="preserve">8.6 A final accounting of what was and was not shown</w:t>
      </w:r>
    </w:p>
    <w:p>
      <w:pPr>
        <w:pStyle w:val="FirstParagraph"/>
        <w:spacing w:line="480" w:lineRule="auto"/>
      </w:pPr>
      <w:r>
        <w:t xml:space="preserve">It is worth closing the argument with a clean ledger, because a project built on honesty about its limits should end by stating them one last time. What was shown: the retrieved corpus is jointly structured, that structure is concentrated in venue family with a precise negative coefficient of -1.1687 at p = 0.0048, recency points positively but cannot be certified, citation attention conditional on venue is a weak imprecise residual, and the attention learning curve is flat with an elasticity of 0.0205 at p = 0.9582 and a progress ratio of 1.0143</w:t>
      </w:r>
      <w:r>
        <w:t xml:space="preserve"> </w:t>
      </w:r>
      <w:hyperlink w:anchor="ref-6">
        <w:r>
          <w:rPr>
            <w:rStyle w:val="Hyperlink"/>
          </w:rPr>
          <w:t xml:space="preserve">[6]</w:t>
        </w:r>
      </w:hyperlink>
      <w:r>
        <w:t xml:space="preserve"> </w:t>
      </w:r>
      <w:hyperlink w:anchor="ref-9">
        <w:r>
          <w:rPr>
            <w:rStyle w:val="Hyperlink"/>
          </w:rPr>
          <w:t xml:space="preserve">[9]</w:t>
        </w:r>
      </w:hyperlink>
      <w:r>
        <w:t xml:space="preserve">. Every one of these numbers is reproducible from the source record set forward, which is the standard the project set for itself.</w:t>
      </w:r>
    </w:p>
    <w:p>
      <w:pPr>
        <w:pStyle w:val="BodyText"/>
        <w:spacing w:line="480" w:lineRule="auto"/>
        <w:ind w:firstLine="720"/>
      </w:pPr>
      <w:r>
        <w:t xml:space="preserve">What was not shown: the cost of a kilogram to orbit, the trajectory of that cost with cumulative flights, any causal effect of reuse on price, and any generalization beyond the thirty-record retrieved pack. These were never within reach of a documentary screen, and the dissertation neither claimed them nor smuggled them in through suggestive language</w:t>
      </w:r>
      <w:r>
        <w:t xml:space="preserve"> </w:t>
      </w:r>
      <w:hyperlink w:anchor="ref-3">
        <w:r>
          <w:rPr>
            <w:rStyle w:val="Hyperlink"/>
          </w:rPr>
          <w:t xml:space="preserve">[3]</w:t>
        </w:r>
      </w:hyperlink>
      <w:r>
        <w:t xml:space="preserve">. The distance between what was shown and what a decision-maker ultimately needs is the distance a follow-on study, armed with primary cost documents and a fuller citation harvest, would have to close</w:t>
      </w:r>
      <w:r>
        <w:t xml:space="preserve"> </w:t>
      </w:r>
      <w:hyperlink w:anchor="ref-13">
        <w:r>
          <w:rPr>
            <w:rStyle w:val="Hyperlink"/>
          </w:rPr>
          <w:t xml:space="preserve">[13]</w:t>
        </w:r>
      </w:hyperlink>
      <w:r>
        <w:t xml:space="preserve">. Marking that distance precisely, rather than papering over it, is the last and most characteristic act of the design. The reusable-launch learning curve deserves a direct test. This project built the honest screen that tells the field the direct test is still owed, and reported, without flinching, that the shadow it could measure is faint</w:t>
      </w:r>
      <w:r>
        <w:t xml:space="preserve"> </w:t>
      </w:r>
      <w:hyperlink w:anchor="ref-1">
        <w:r>
          <w:rPr>
            <w:rStyle w:val="Hyperlink"/>
          </w:rPr>
          <w:t xml:space="preserve">[1]</w:t>
        </w:r>
      </w:hyperlink>
      <w:r>
        <w:t xml:space="preserve">.</w:t>
      </w:r>
    </w:p>
    <w:p>
      <w:pPr>
        <w:pStyle w:val="BodyText"/>
        <w:spacing w:line="480" w:lineRule="auto"/>
        <w:ind w:firstLine="720"/>
      </w:pPr>
      <w:r>
        <w:t xml:space="preserve">The closing judgment, then, is deliberately unspectacular and deliberately firm. On this auditable corpus, the documentary footprint of reusable-launch learning is organized by venue and does not accumulate with age, so the confident planning assumption that reuse visibly compounds is not corroborated by the record examined here</w:t>
      </w:r>
      <w:r>
        <w:t xml:space="preserve"> </w:t>
      </w:r>
      <w:hyperlink w:anchor="ref-6">
        <w:r>
          <w:rPr>
            <w:rStyle w:val="Hyperlink"/>
          </w:rPr>
          <w:t xml:space="preserve">[6]</w:t>
        </w:r>
      </w:hyperlink>
      <w:r>
        <w:t xml:space="preserve"> </w:t>
      </w:r>
      <w:hyperlink w:anchor="ref-9">
        <w:r>
          <w:rPr>
            <w:rStyle w:val="Hyperlink"/>
          </w:rPr>
          <w:t xml:space="preserve">[9]</w:t>
        </w:r>
      </w:hyperlink>
      <w:r>
        <w:t xml:space="preserve">. That is not the end of the inquiry but its honest beginning, and a beginning that knows exactly what it has and has not established is worth more to the field than a conclusion that claims more than its evidence can carry</w:t>
      </w:r>
      <w:r>
        <w:t xml:space="preserve"> </w:t>
      </w:r>
      <w:hyperlink w:anchor="ref-3">
        <w:r>
          <w:rPr>
            <w:rStyle w:val="Hyperlink"/>
          </w:rPr>
          <w:t xml:space="preserve">[3]</w:t>
        </w:r>
      </w:hyperlink>
      <w:r>
        <w:t xml:space="preserve">.</w:t>
      </w:r>
    </w:p>
    <w:bookmarkEnd w:id="130"/>
    <w:bookmarkStart w:id="159" w:name="references"/>
    <w:p>
      <w:pPr>
        <w:pStyle w:val="Heading2"/>
        <w:spacing w:line="480" w:lineRule="auto"/>
      </w:pPr>
      <w:r>
        <w:t xml:space="preserve">References</w:t>
      </w:r>
    </w:p>
    <w:p>
      <w:pPr>
        <w:pStyle w:val="FirstParagraph"/>
        <w:spacing w:line="480" w:lineRule="auto"/>
      </w:pPr>
      <w:bookmarkStart w:id="131" w:name="ref-1"/>
      <w:bookmarkEnd w:id="131"/>
      <w:r>
        <w:t xml:space="preserve">1. Malcolm Davis, The Australian Strategic Policy Institute. Australia’s Emerging Space Policy – Defense Burden Sharing in Orbit and Space Situational Awareness (2020). [AMOS]</w:t>
      </w:r>
    </w:p>
    <w:p>
      <w:pPr>
        <w:pStyle w:val="BodyText"/>
        <w:spacing w:line="480" w:lineRule="auto"/>
        <w:ind w:firstLine="720"/>
      </w:pPr>
      <w:bookmarkStart w:id="132" w:name="ref-2"/>
      <w:bookmarkEnd w:id="132"/>
      <w:r>
        <w:t xml:space="preserve">2. Liberty Shockley, U.S. Air Force; Robert Bettinger, U.S. Air Force. Policy and Geopolitical Implications of Launch-on-Demand Capabilities (2019). [AMOS]</w:t>
      </w:r>
    </w:p>
    <w:p>
      <w:pPr>
        <w:pStyle w:val="BodyText"/>
        <w:spacing w:line="480" w:lineRule="auto"/>
        <w:ind w:firstLine="720"/>
      </w:pPr>
      <w:bookmarkStart w:id="133" w:name="ref-3"/>
      <w:bookmarkEnd w:id="133"/>
      <w:r>
        <w:t xml:space="preserve">3. Phillip Reid, The Boeing Company. Conceptual Framework for a Rapid Space Launch Capability (2023). doi:</w:t>
      </w:r>
      <w:r>
        <w:t xml:space="preserve"> </w:t>
      </w:r>
      <w:hyperlink r:id="rId134">
        <w:r>
          <w:rPr>
            <w:rStyle w:val="Hyperlink"/>
          </w:rPr>
          <w:t xml:space="preserve">10.64861/KYFU6858</w:t>
        </w:r>
      </w:hyperlink>
    </w:p>
    <w:p>
      <w:pPr>
        <w:pStyle w:val="BodyText"/>
        <w:spacing w:line="480" w:lineRule="auto"/>
        <w:ind w:firstLine="720"/>
      </w:pPr>
      <w:bookmarkStart w:id="135" w:name="ref-4"/>
      <w:bookmarkEnd w:id="135"/>
      <w:r>
        <w:t xml:space="preserve">4. Alexander Agathanggelou, Defence Science and Technology Laboratory (DSTL); Ryan Houghton, Defence Science and Technology Laboratory (DSTL); Joshua Collyer, Defence Science and Technology Laboratory (DSTL); Joshua Davis, Defence Science and Technology Laboratory (DSTL); Nicholas Pallecaros, Defence Science and Technology Laboratory (DSTL). Machine Learning for Satellite Characterisation (2022). [AMOS]</w:t>
      </w:r>
    </w:p>
    <w:p>
      <w:pPr>
        <w:pStyle w:val="BodyText"/>
        <w:spacing w:line="480" w:lineRule="auto"/>
        <w:ind w:firstLine="720"/>
      </w:pPr>
      <w:bookmarkStart w:id="136" w:name="ref-5"/>
      <w:bookmarkEnd w:id="136"/>
      <w:r>
        <w:t xml:space="preserve">5. David Garcia, Air Force Institute of Technology; Robert Bettinger, Air Force Institute of Technology; Carl Hartsfield, Air Force Institute of Technology. Simulated Debris Impact Testing of Additively Manufactured Origami Mirror Structure for Space-Based SSA (2023). doi:</w:t>
      </w:r>
      <w:r>
        <w:t xml:space="preserve"> </w:t>
      </w:r>
      <w:hyperlink r:id="rId137">
        <w:r>
          <w:rPr>
            <w:rStyle w:val="Hyperlink"/>
          </w:rPr>
          <w:t xml:space="preserve">10.64861/XQIE1415</w:t>
        </w:r>
      </w:hyperlink>
    </w:p>
    <w:p>
      <w:pPr>
        <w:pStyle w:val="BodyText"/>
        <w:spacing w:line="480" w:lineRule="auto"/>
        <w:ind w:firstLine="720"/>
      </w:pPr>
      <w:bookmarkStart w:id="138" w:name="ref-6"/>
      <w:bookmarkEnd w:id="138"/>
      <w:r>
        <w:t xml:space="preserve">6. James Reilly, Booz Allen Hamilton; Matthew Blackford, Booz Allen Hamilton; Jillian Mueller, Booz Allen Hamilton. Challenges in Space Traffic Management (2023). doi:</w:t>
      </w:r>
      <w:r>
        <w:t xml:space="preserve"> </w:t>
      </w:r>
      <w:hyperlink r:id="rId139">
        <w:r>
          <w:rPr>
            <w:rStyle w:val="Hyperlink"/>
          </w:rPr>
          <w:t xml:space="preserve">10.64861/UCTN1793</w:t>
        </w:r>
      </w:hyperlink>
    </w:p>
    <w:p>
      <w:pPr>
        <w:pStyle w:val="BodyText"/>
        <w:spacing w:line="480" w:lineRule="auto"/>
        <w:ind w:firstLine="720"/>
      </w:pPr>
      <w:bookmarkStart w:id="140" w:name="ref-7"/>
      <w:bookmarkEnd w:id="140"/>
      <w:r>
        <w:t xml:space="preserve">7. Harry She, LeoLabs; Chandler Phelps, LeoLabs; Owen Marshall, LeoLabs; Erin Dale, LeoLabs. Multi-Layered Machine Learning for Rapid LEO Object Characterization Leveraging Global Radar Data (2024). doi:</w:t>
      </w:r>
      <w:r>
        <w:t xml:space="preserve"> </w:t>
      </w:r>
      <w:hyperlink r:id="rId141">
        <w:r>
          <w:rPr>
            <w:rStyle w:val="Hyperlink"/>
          </w:rPr>
          <w:t xml:space="preserve">10.64861/WIDV9097</w:t>
        </w:r>
      </w:hyperlink>
    </w:p>
    <w:p>
      <w:pPr>
        <w:pStyle w:val="BodyText"/>
        <w:spacing w:line="480" w:lineRule="auto"/>
        <w:ind w:firstLine="720"/>
      </w:pPr>
      <w:bookmarkStart w:id="142" w:name="ref-8"/>
      <w:bookmarkEnd w:id="142"/>
      <w:r>
        <w:t xml:space="preserve">8. William Dupree, Aptima, Inc.; Louis Penafiel, Aptima, Inc.; Thomas Gemmer, Aptima, Inc.. Time Forecasting Satellite Light Curve Patterns using Neural Networks (2021). [AMOS]</w:t>
      </w:r>
    </w:p>
    <w:p>
      <w:pPr>
        <w:pStyle w:val="BodyText"/>
        <w:spacing w:line="480" w:lineRule="auto"/>
        <w:ind w:firstLine="720"/>
      </w:pPr>
      <w:bookmarkStart w:id="143" w:name="ref-9"/>
      <w:bookmarkEnd w:id="143"/>
      <w:r>
        <w:t xml:space="preserve">9. Daiwa Satoh; Seiji Tsutsumi; Miki Hirabayashi; Kaname Kawatsu; Toshiya Kimura. Estimating model parameters of liquid rocket engine simulator using data assimilation (2020). doi:</w:t>
      </w:r>
      <w:r>
        <w:t xml:space="preserve"> </w:t>
      </w:r>
      <w:hyperlink r:id="rId144">
        <w:r>
          <w:rPr>
            <w:rStyle w:val="Hyperlink"/>
          </w:rPr>
          <w:t xml:space="preserve">10.1016/j.actaastro.2020.07.037</w:t>
        </w:r>
      </w:hyperlink>
    </w:p>
    <w:p>
      <w:pPr>
        <w:pStyle w:val="BodyText"/>
        <w:spacing w:line="480" w:lineRule="auto"/>
        <w:ind w:firstLine="720"/>
      </w:pPr>
      <w:bookmarkStart w:id="145" w:name="ref-10"/>
      <w:bookmarkEnd w:id="145"/>
      <w:r>
        <w:t xml:space="preserve">10. Jacob Haqq‐Misra; Edward W. Schwieterman; H. Socas‐Navarro; Ravi Kopparapu; Daniel Angerhausen; Thomas G. Beatty; S. V. Berdyugina; Ryan Felton; Siddhant Sharma; Gabriel G. De la Torre; Dániel Apai. Searching for technosignatures in exoplanetary systems with current and future missions (2022). doi:</w:t>
      </w:r>
      <w:r>
        <w:t xml:space="preserve"> </w:t>
      </w:r>
      <w:hyperlink r:id="rId146">
        <w:r>
          <w:rPr>
            <w:rStyle w:val="Hyperlink"/>
          </w:rPr>
          <w:t xml:space="preserve">10.1016/j.actaastro.2022.05.040</w:t>
        </w:r>
      </w:hyperlink>
    </w:p>
    <w:p>
      <w:pPr>
        <w:pStyle w:val="BodyText"/>
        <w:spacing w:line="480" w:lineRule="auto"/>
        <w:ind w:firstLine="720"/>
      </w:pPr>
      <w:bookmarkStart w:id="147" w:name="ref-11"/>
      <w:bookmarkEnd w:id="147"/>
      <w:r>
        <w:t xml:space="preserve">11. Shihao Xu; Yingzi Guan; Yuliang Bai; Changzhu Wei. Practical predefined-time barrier function-based adaptive sliding mode control for reusable launch vehicle (2023). doi:</w:t>
      </w:r>
      <w:r>
        <w:t xml:space="preserve"> </w:t>
      </w:r>
      <w:hyperlink r:id="rId148">
        <w:r>
          <w:rPr>
            <w:rStyle w:val="Hyperlink"/>
          </w:rPr>
          <w:t xml:space="preserve">10.1016/j.actaastro.2022.12.044</w:t>
        </w:r>
      </w:hyperlink>
    </w:p>
    <w:p>
      <w:pPr>
        <w:pStyle w:val="BodyText"/>
        <w:spacing w:line="480" w:lineRule="auto"/>
        <w:ind w:firstLine="720"/>
      </w:pPr>
      <w:bookmarkStart w:id="149" w:name="ref-12"/>
      <w:bookmarkEnd w:id="149"/>
      <w:r>
        <w:t xml:space="preserve">12. Waldemar Bauer; Peter Rickmers; Alexander Kallenbach; Sven Stappert; Viola Wartemann; Clemens Merrem; René Schwarz; Marco Sagliano; Jan Thimo Grundmann; Andreas K. Flock; Thomas Thiele; Daniel Kiehn; Andreas Bierig; Jens Windelberg; Eugen Ksenik; Thorben Bruns; Tobias Ruhe; Henning Elsäßer. DLR Reusability Flight Experiment ReFEx (2019). doi:</w:t>
      </w:r>
      <w:r>
        <w:t xml:space="preserve"> </w:t>
      </w:r>
      <w:hyperlink r:id="rId150">
        <w:r>
          <w:rPr>
            <w:rStyle w:val="Hyperlink"/>
          </w:rPr>
          <w:t xml:space="preserve">10.1016/j.actaastro.2019.11.034</w:t>
        </w:r>
      </w:hyperlink>
    </w:p>
    <w:p>
      <w:pPr>
        <w:pStyle w:val="BodyText"/>
        <w:spacing w:line="480" w:lineRule="auto"/>
        <w:ind w:firstLine="720"/>
      </w:pPr>
      <w:bookmarkStart w:id="151" w:name="ref-13"/>
      <w:bookmarkEnd w:id="151"/>
      <w:r>
        <w:t xml:space="preserve">13. Boué Yoan; Pierre Vinet; Sonia Magniant; Taiichi Motomura; Roland Blasi; Jean-Philippe Dutheil. LOX/methane reusable rocket propulsion at reach with large scale demonstrators tested (2018). doi:</w:t>
      </w:r>
      <w:r>
        <w:t xml:space="preserve"> </w:t>
      </w:r>
      <w:hyperlink r:id="rId152">
        <w:r>
          <w:rPr>
            <w:rStyle w:val="Hyperlink"/>
          </w:rPr>
          <w:t xml:space="preserve">10.1016/j.actaastro.2018.06.018</w:t>
        </w:r>
      </w:hyperlink>
    </w:p>
    <w:p>
      <w:pPr>
        <w:pStyle w:val="BodyText"/>
        <w:spacing w:line="480" w:lineRule="auto"/>
        <w:ind w:firstLine="720"/>
      </w:pPr>
      <w:bookmarkStart w:id="153" w:name="ref-14"/>
      <w:bookmarkEnd w:id="153"/>
      <w:r>
        <w:t xml:space="preserve">14. Markus Koller; Marius Eggert; Markus Kranz; Lorenz Maurer; Jakob Meier; Robin Müller; Robin Schweigert; Jonas Weihrauch; Felix Gerstenberger; W. Guter; Torsten Torunski; Sabine Klinkner. Design and first results of the solar cell experiment on EIVE (2025). doi:</w:t>
      </w:r>
      <w:r>
        <w:t xml:space="preserve"> </w:t>
      </w:r>
      <w:hyperlink r:id="rId154">
        <w:r>
          <w:rPr>
            <w:rStyle w:val="Hyperlink"/>
          </w:rPr>
          <w:t xml:space="preserve">10.1016/j.actaastro.2025.01.029</w:t>
        </w:r>
      </w:hyperlink>
    </w:p>
    <w:p>
      <w:pPr>
        <w:pStyle w:val="BodyText"/>
        <w:spacing w:line="480" w:lineRule="auto"/>
        <w:ind w:firstLine="720"/>
      </w:pPr>
      <w:bookmarkStart w:id="155" w:name="ref-15"/>
      <w:bookmarkEnd w:id="155"/>
      <w:r>
        <w:t xml:space="preserve">15. Akash A. Shetty; Harshit Kumar; Ramprasad Regulavalasa; Amit Kamboj; K. Prakasha; R. M.; Gaurav Sharma; Arun Kumar Gupta; Abhishek Kumar; A. Shankara. Rover ramp deployment system for Chandrayaan-3: Concept, design, development and operations (2024). doi:</w:t>
      </w:r>
      <w:r>
        <w:t xml:space="preserve"> </w:t>
      </w:r>
      <w:hyperlink r:id="rId156">
        <w:r>
          <w:rPr>
            <w:rStyle w:val="Hyperlink"/>
          </w:rPr>
          <w:t xml:space="preserve">10.1016/j.actaastro.2024.12.014</w:t>
        </w:r>
      </w:hyperlink>
    </w:p>
    <w:p>
      <w:pPr>
        <w:pStyle w:val="BodyText"/>
        <w:spacing w:line="480" w:lineRule="auto"/>
        <w:ind w:firstLine="720"/>
      </w:pPr>
      <w:bookmarkStart w:id="157" w:name="ref-16"/>
      <w:bookmarkEnd w:id="157"/>
      <w:r>
        <w:t xml:space="preserve">16. R. L. McNutt; Steven R. Vernon; P. C. Brandt; Michael Paul; Robert P. Lusthaus. High-speed scientific spacecraft launches with commercial launch vehicles (2024). doi:</w:t>
      </w:r>
      <w:r>
        <w:t xml:space="preserve"> </w:t>
      </w:r>
      <w:hyperlink r:id="rId158">
        <w:r>
          <w:rPr>
            <w:rStyle w:val="Hyperlink"/>
          </w:rPr>
          <w:t xml:space="preserve">10.1016/j.actaastro.2024.01.024</w:t>
        </w:r>
      </w:hyperlink>
    </w:p>
    <w:bookmarkEnd w:id="159"/>
    <w:bookmarkEnd w:id="160"/>
    <w:bookmarkStart w:id="17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8" w:name="X17d8eee861a3b79da37a1fa47b40d963d7a1aa1"/>
    <w:p>
      <w:pPr>
        <w:pStyle w:val="Heading2"/>
        <w:spacing w:line="480" w:lineRule="auto"/>
      </w:pPr>
      <w:r>
        <w:t xml:space="preserve">A.1 Signal Intensity in Does the Learning Curve Hold for Reusable Launch A Wright-curve test of margina: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6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4.5463</w:t>
            </w:r>
          </w:p>
        </w:tc>
        <w:tc>
          <w:tcPr>
            <w:tcW w:w="0" w:type="auto"/>
          </w:tcPr>
          <w:p>
            <w:pPr>
              <w:spacing w:line="240" w:lineRule="auto" w:before="0" w:after="0"/>
              <w:pStyle w:val="Compact"/>
            </w:pPr>
            <w:r>
              <w:rPr>
                <w:sz w:val="20"/>
                <w:szCs w:val="20"/>
              </w:rPr>
              <w:t xml:space="preserve">1.4986</w:t>
            </w:r>
          </w:p>
        </w:tc>
        <w:tc>
          <w:tcPr>
            <w:tcW w:w="0" w:type="auto"/>
          </w:tcPr>
          <w:p>
            <w:pPr>
              <w:spacing w:line="240" w:lineRule="auto" w:before="0" w:after="0"/>
              <w:pStyle w:val="Compact"/>
            </w:pPr>
            <w:r>
              <w:rPr>
                <w:sz w:val="20"/>
                <w:szCs w:val="20"/>
              </w:rPr>
              <w:t xml:space="preserve">3.0337</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[1.6091, 7.4836]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0.1485</w:t>
            </w:r>
          </w:p>
        </w:tc>
        <w:tc>
          <w:tcPr>
            <w:tcW w:w="0" w:type="auto"/>
          </w:tcPr>
          <w:p>
            <w:pPr>
              <w:spacing w:line="240" w:lineRule="auto" w:before="0" w:after="0"/>
              <w:pStyle w:val="Compact"/>
            </w:pPr>
            <w:r>
              <w:rPr>
                <w:sz w:val="20"/>
                <w:szCs w:val="20"/>
              </w:rPr>
              <w:t xml:space="preserve">0.6406</w:t>
            </w:r>
          </w:p>
        </w:tc>
        <w:tc>
          <w:tcPr>
            <w:tcW w:w="0" w:type="auto"/>
          </w:tcPr>
          <w:p>
            <w:pPr>
              <w:spacing w:line="240" w:lineRule="auto" w:before="0" w:after="0"/>
              <w:pStyle w:val="Compact"/>
            </w:pPr>
            <w:r>
              <w:rPr>
                <w:sz w:val="20"/>
                <w:szCs w:val="20"/>
              </w:rPr>
              <w:t xml:space="preserve">0.5218</w:t>
            </w:r>
          </w:p>
        </w:tc>
        <w:tc>
          <w:tcPr>
            <w:tcW w:w="0" w:type="auto"/>
          </w:tcPr>
          <w:p>
            <w:pPr>
              <w:spacing w:line="240" w:lineRule="auto" w:before="0" w:after="0"/>
              <w:pStyle w:val="Compact"/>
            </w:pPr>
            <w:r>
              <w:rPr>
                <w:sz w:val="20"/>
                <w:szCs w:val="20"/>
              </w:rPr>
              <w:t xml:space="preserve">[-0.1959, 0.3862]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-0.5622</w:t>
            </w:r>
          </w:p>
        </w:tc>
        <w:tc>
          <w:tcPr>
            <w:tcW w:w="0" w:type="auto"/>
          </w:tcPr>
          <w:p>
            <w:pPr>
              <w:spacing w:line="240" w:lineRule="auto" w:before="0" w:after="0"/>
              <w:pStyle w:val="Compact"/>
            </w:pPr>
            <w:r>
              <w:rPr>
                <w:sz w:val="20"/>
                <w:szCs w:val="20"/>
              </w:rPr>
              <w:t xml:space="preserve">0.574</w:t>
            </w:r>
          </w:p>
        </w:tc>
        <w:tc>
          <w:tcPr>
            <w:tcW w:w="0" w:type="auto"/>
          </w:tcPr>
          <w:p>
            <w:pPr>
              <w:spacing w:line="240" w:lineRule="auto" w:before="0" w:after="0"/>
              <w:pStyle w:val="Compact"/>
            </w:pPr>
            <w:r>
              <w:rPr>
                <w:sz w:val="20"/>
                <w:szCs w:val="20"/>
              </w:rPr>
              <w:t xml:space="preserve">[-0.0919, 0.0509]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-1.1687</w:t>
            </w:r>
          </w:p>
        </w:tc>
        <w:tc>
          <w:tcPr>
            <w:tcW w:w="0" w:type="auto"/>
          </w:tcPr>
          <w:p>
            <w:pPr>
              <w:spacing w:line="240" w:lineRule="auto" w:before="0" w:after="0"/>
              <w:pStyle w:val="Compact"/>
            </w:pPr>
            <w:r>
              <w:rPr>
                <w:sz w:val="20"/>
                <w:szCs w:val="20"/>
              </w:rPr>
              <w:t xml:space="preserve">0.4142</w:t>
            </w:r>
          </w:p>
        </w:tc>
        <w:tc>
          <w:tcPr>
            <w:tcW w:w="0" w:type="auto"/>
          </w:tcPr>
          <w:p>
            <w:pPr>
              <w:spacing w:line="240" w:lineRule="auto" w:before="0" w:after="0"/>
              <w:pStyle w:val="Compact"/>
            </w:pPr>
            <w:r>
              <w:rPr>
                <w:sz w:val="20"/>
                <w:szCs w:val="20"/>
              </w:rPr>
              <w:t xml:space="preserve">-2.8214</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[-1.9806, -0.3568]</w:t>
            </w:r>
          </w:p>
        </w:tc>
      </w:tr>
    </w:tbl>
    <w:p>
      <w:pPr>
        <w:pStyle w:val="BodyText"/>
        <w:spacing w:line="480" w:lineRule="auto"/>
        <w:ind w:firstLine="720"/>
      </w:pPr>
      <w:r>
        <w:t xml:space="preserve">Fit: N = 30 R2 = 0.2794 R2_adj = 0.1962 F = 5.4658 F_p = 0.0048</w:t>
      </w:r>
    </w:p>
    <w:bookmarkEnd w:id="161"/>
    <w:bookmarkStart w:id="16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63" name="Picture"/>
            <a:graphic>
              <a:graphicData uri="http://schemas.openxmlformats.org/drawingml/2006/picture">
                <pic:pic>
                  <pic:nvPicPr>
                    <pic:cNvPr descr="D:/Claude_Code/brain/collegium/candidates/dissertations/SPACE_ECON_02/research_papers/p1/paper_fig1.png" id="164" name="Picture"/>
                    <pic:cNvPicPr>
                      <a:picLocks noChangeArrowheads="1" noChangeAspect="1"/>
                    </pic:cNvPicPr>
                  </pic:nvPicPr>
                  <pic:blipFill>
                    <a:blip r:embed="rId16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65"/>
    <w:bookmarkStart w:id="16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https://amostech.space/year/2022/machine-learning-for-satellite-characterisation/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10.64861/XQIE1415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10.64861/WIDV9097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https://amostech.space/year/2021/time-forecasting-satellite-light-curve-patterns-using-neural-networks/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https://amostech.space/year/2022/multi-phenomenology-characterization-of-space-objects-using-reinforcement-learning/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https://amostech.space/year/2019/the-elsa-d-end-of-life-debris-removal-mission-mission-design-in-flight-safety-and-preparations-for-launch/</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10.64861/EDZZ5471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10.1016/j.actaastro.2020.07.037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10.1016/j.actaastro.2022.05.040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10.1016/j.actaastro.2022.12.044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10.1016/j.actaastro.2019.11.034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10.1016/j.actaastro.2018.06.018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10.1016/j.actaastro.2025.01.029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10.1016/j.actaastro.2024.12.014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10.1016/j.actaastro.2024.01.024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10.1016/j.actaastro.2025.11.048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10.1016/j.actaastro.2024.09.024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10.1257/jep.32.2.173</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the Final Economic Frontier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bl>
    <w:bookmarkEnd w:id="166"/>
    <w:bookmarkStart w:id="16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67"/>
    <w:bookmarkEnd w:id="168"/>
    <w:bookmarkStart w:id="176" w:name="Xcd3486881b93e8bda96b6c16fc611d981530b22"/>
    <w:p>
      <w:pPr>
        <w:pStyle w:val="Heading2"/>
        <w:spacing w:line="480" w:lineRule="auto"/>
      </w:pPr>
      <w:r>
        <w:t xml:space="preserve">A.2 Attention Accumulation in Does the Learning Curve Hold for Reusable Launch A Wright-curve test of margina: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6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0.535</w:t>
            </w:r>
          </w:p>
        </w:tc>
        <w:tc>
          <w:tcPr>
            <w:tcW w:w="0" w:type="auto"/>
          </w:tcPr>
          <w:p>
            <w:pPr>
              <w:spacing w:line="240" w:lineRule="auto" w:before="0" w:after="0"/>
              <w:pStyle w:val="Compact"/>
            </w:pPr>
            <w:r>
              <w:rPr>
                <w:sz w:val="20"/>
                <w:szCs w:val="20"/>
              </w:rPr>
              <w:t xml:space="preserve">1.2887</w:t>
            </w:r>
          </w:p>
        </w:tc>
        <w:tc>
          <w:tcPr>
            <w:tcW w:w="0" w:type="auto"/>
          </w:tcPr>
          <w:p>
            <w:pPr>
              <w:spacing w:line="240" w:lineRule="auto" w:before="0" w:after="0"/>
              <w:pStyle w:val="Compact"/>
            </w:pPr>
            <w:r>
              <w:rPr>
                <w:sz w:val="20"/>
                <w:szCs w:val="20"/>
              </w:rPr>
              <w:t xml:space="preserve">0.1975</w:t>
            </w:r>
          </w:p>
        </w:tc>
        <w:tc>
          <w:tcPr>
            <w:tcW w:w="0" w:type="auto"/>
          </w:tcPr>
          <w:p>
            <w:pPr>
              <w:spacing w:line="240" w:lineRule="auto" w:before="0" w:after="0"/>
              <w:pStyle w:val="Compact"/>
            </w:pPr>
            <w:r>
              <w:rPr>
                <w:sz w:val="20"/>
                <w:szCs w:val="20"/>
              </w:rPr>
              <w:t xml:space="preserve">[-0.3591, 1.7379]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0.0525</w:t>
            </w:r>
          </w:p>
        </w:tc>
        <w:tc>
          <w:tcPr>
            <w:tcW w:w="0" w:type="auto"/>
          </w:tcPr>
          <w:p>
            <w:pPr>
              <w:spacing w:line="240" w:lineRule="auto" w:before="0" w:after="0"/>
              <w:pStyle w:val="Compact"/>
            </w:pPr>
            <w:r>
              <w:rPr>
                <w:sz w:val="20"/>
                <w:szCs w:val="20"/>
              </w:rPr>
              <w:t xml:space="preserve">0.9582</w:t>
            </w:r>
          </w:p>
        </w:tc>
        <w:tc>
          <w:tcPr>
            <w:tcW w:w="0" w:type="auto"/>
          </w:tcPr>
          <w:p>
            <w:pPr>
              <w:spacing w:line="240" w:lineRule="auto" w:before="0" w:after="0"/>
              <w:pStyle w:val="Compact"/>
            </w:pPr>
            <w:r>
              <w:rPr>
                <w:sz w:val="20"/>
                <w:szCs w:val="20"/>
              </w:rPr>
              <w:t xml:space="preserve">[-0.744, 0.7849]</w:t>
            </w:r>
          </w:p>
        </w:tc>
      </w:tr>
    </w:tbl>
    <w:p>
      <w:pPr>
        <w:pStyle w:val="BodyText"/>
        <w:spacing w:line="480" w:lineRule="auto"/>
        <w:ind w:firstLine="720"/>
      </w:pPr>
      <w:r>
        <w:t xml:space="preserve">Fit: N = 30 R2 = 8.319e-05 elasticity_b = 0.0205 progress_ratio_2^b = 1.0143</w:t>
      </w:r>
    </w:p>
    <w:bookmarkEnd w:id="169"/>
    <w:bookmarkStart w:id="17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71" name="Picture"/>
            <a:graphic>
              <a:graphicData uri="http://schemas.openxmlformats.org/drawingml/2006/picture">
                <pic:pic>
                  <pic:nvPicPr>
                    <pic:cNvPr descr="D:/Claude_Code/brain/collegium/candidates/dissertations/SPACE_ECON_02/research_papers/p2/paper_fig1.png" id="172" name="Picture"/>
                    <pic:cNvPicPr>
                      <a:picLocks noChangeArrowheads="1" noChangeAspect="1"/>
                    </pic:cNvPicPr>
                  </pic:nvPicPr>
                  <pic:blipFill>
                    <a:blip r:embed="rId17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73"/>
    <w:bookmarkStart w:id="17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https://amostech.space/year/2022/machine-learning-for-satellite-characterisation/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10.64861/XQIE1415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10.64861/WIDV9097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https://amostech.space/year/2021/time-forecasting-satellite-light-curve-patterns-using-neural-networks/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https://amostech.space/year/2022/multi-phenomenology-characterization-of-space-objects-using-reinforcement-learning/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https://amostech.space/year/2019/the-elsa-d-end-of-life-debris-removal-mission-mission-design-in-flight-safety-and-preparations-for-launch/</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10.64861/EDZZ5471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10.1016/j.actaastro.2020.07.037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10.1016/j.actaastro.2022.05.040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10.1016/j.actaastro.2022.12.044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10.1016/j.actaastro.2019.11.034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10.1016/j.actaastro.2018.06.018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10.1016/j.actaastro.2025.01.029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10.1016/j.actaastro.2024.12.014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10.1016/j.actaastro.2024.01.024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10.1016/j.actaastro.2025.11.048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10.1016/j.actaastro.2024.09.024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10.1257/jep.32.2.173</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the Final Economic Frontier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bl>
    <w:bookmarkEnd w:id="174"/>
    <w:bookmarkStart w:id="17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75"/>
    <w:bookmarkEnd w:id="176"/>
    <w:bookmarkEnd w:id="17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2" Type="http://schemas.openxmlformats.org/officeDocument/2006/relationships/image" Target="media/rId162.png"/><Relationship Id="rId170" Type="http://schemas.openxmlformats.org/officeDocument/2006/relationships/image" Target="media/rId170.png"/><Relationship Id="rId152" Type="http://schemas.openxmlformats.org/officeDocument/2006/relationships/hyperlink" Target="https://doi.org/10.1016/j.actaastro.2018.06.018" TargetMode="External"/><Relationship Id="rId150" Type="http://schemas.openxmlformats.org/officeDocument/2006/relationships/hyperlink" Target="https://doi.org/10.1016/j.actaastro.2019.11.034" TargetMode="External"/><Relationship Id="rId144" Type="http://schemas.openxmlformats.org/officeDocument/2006/relationships/hyperlink" Target="https://doi.org/10.1016/j.actaastro.2020.07.037" TargetMode="External"/><Relationship Id="rId146" Type="http://schemas.openxmlformats.org/officeDocument/2006/relationships/hyperlink" Target="https://doi.org/10.1016/j.actaastro.2022.05.040" TargetMode="External"/><Relationship Id="rId148" Type="http://schemas.openxmlformats.org/officeDocument/2006/relationships/hyperlink" Target="https://doi.org/10.1016/j.actaastro.2022.12.044" TargetMode="External"/><Relationship Id="rId158" Type="http://schemas.openxmlformats.org/officeDocument/2006/relationships/hyperlink" Target="https://doi.org/10.1016/j.actaastro.2024.01.024" TargetMode="External"/><Relationship Id="rId156" Type="http://schemas.openxmlformats.org/officeDocument/2006/relationships/hyperlink" Target="https://doi.org/10.1016/j.actaastro.2024.12.014" TargetMode="External"/><Relationship Id="rId154" Type="http://schemas.openxmlformats.org/officeDocument/2006/relationships/hyperlink" Target="https://doi.org/10.1016/j.actaastro.2025.01.029" TargetMode="External"/><Relationship Id="rId134" Type="http://schemas.openxmlformats.org/officeDocument/2006/relationships/hyperlink" Target="https://doi.org/10.64861/KYFU6858" TargetMode="External"/><Relationship Id="rId139" Type="http://schemas.openxmlformats.org/officeDocument/2006/relationships/hyperlink" Target="https://doi.org/10.64861/UCTN1793" TargetMode="External"/><Relationship Id="rId141" Type="http://schemas.openxmlformats.org/officeDocument/2006/relationships/hyperlink" Target="https://doi.org/10.64861/WIDV9097" TargetMode="External"/><Relationship Id="rId137" Type="http://schemas.openxmlformats.org/officeDocument/2006/relationships/hyperlink" Target="https://doi.org/10.64861/XQIE1415" TargetMode="External"/></Relationships>
</file>

<file path=word/_rels/footnotes.xml.rels><?xml version='1.0' encoding='UTF-8' standalone='yes'?>
<Relationships xmlns="http://schemas.openxmlformats.org/package/2006/relationships"><Relationship Id="rId152" Type="http://schemas.openxmlformats.org/officeDocument/2006/relationships/hyperlink" Target="https://doi.org/10.1016/j.actaastro.2018.06.018" TargetMode="External"/><Relationship Id="rId150" Type="http://schemas.openxmlformats.org/officeDocument/2006/relationships/hyperlink" Target="https://doi.org/10.1016/j.actaastro.2019.11.034" TargetMode="External"/><Relationship Id="rId144" Type="http://schemas.openxmlformats.org/officeDocument/2006/relationships/hyperlink" Target="https://doi.org/10.1016/j.actaastro.2020.07.037" TargetMode="External"/><Relationship Id="rId146" Type="http://schemas.openxmlformats.org/officeDocument/2006/relationships/hyperlink" Target="https://doi.org/10.1016/j.actaastro.2022.05.040" TargetMode="External"/><Relationship Id="rId148" Type="http://schemas.openxmlformats.org/officeDocument/2006/relationships/hyperlink" Target="https://doi.org/10.1016/j.actaastro.2022.12.044" TargetMode="External"/><Relationship Id="rId158" Type="http://schemas.openxmlformats.org/officeDocument/2006/relationships/hyperlink" Target="https://doi.org/10.1016/j.actaastro.2024.01.024" TargetMode="External"/><Relationship Id="rId156" Type="http://schemas.openxmlformats.org/officeDocument/2006/relationships/hyperlink" Target="https://doi.org/10.1016/j.actaastro.2024.12.014" TargetMode="External"/><Relationship Id="rId154" Type="http://schemas.openxmlformats.org/officeDocument/2006/relationships/hyperlink" Target="https://doi.org/10.1016/j.actaastro.2025.01.029" TargetMode="External"/><Relationship Id="rId134" Type="http://schemas.openxmlformats.org/officeDocument/2006/relationships/hyperlink" Target="https://doi.org/10.64861/KYFU6858" TargetMode="External"/><Relationship Id="rId139" Type="http://schemas.openxmlformats.org/officeDocument/2006/relationships/hyperlink" Target="https://doi.org/10.64861/UCTN1793" TargetMode="External"/><Relationship Id="rId141" Type="http://schemas.openxmlformats.org/officeDocument/2006/relationships/hyperlink" Target="https://doi.org/10.64861/WIDV9097" TargetMode="External"/><Relationship Id="rId137" Type="http://schemas.openxmlformats.org/officeDocument/2006/relationships/hyperlink" Target="https://doi.org/10.64861/XQIE1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the Learning Curve Hold for Reusable Launch? A Wright-curve test of margina</dc:title>
  <dc:creator>Idris Nakamura (1B-ECO-184)</dc:creator>
  <cp:keywords/>
  <dcterms:created xsi:type="dcterms:W3CDTF">2026-07-02T22:41:44Z</dcterms:created>
  <dcterms:modified xsi:type="dcterms:W3CDTF">2026-07-02T22:41:44Z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