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fd036ad6de6e32b44a6c660dc3ef5c9997d4bf4"/>
    <w:p>
      <w:pPr>
        <w:pStyle w:val="Heading1"/>
      </w:pPr>
      <w:r>
        <w:t xml:space="preserve">Which Shells Enter the High-Fee Tier? Logit Evidence on LEO Congestion Pricing Bands</w:t>
      </w:r>
    </w:p>
    <w:bookmarkStart w:id="61" w:name="abstract"/>
    <w:p>
      <w:pPr>
        <w:pStyle w:val="Heading2"/>
      </w:pPr>
      <w:r>
        <w:t xml:space="preserve">Abstract</w:t>
      </w:r>
    </w:p>
    <w:p>
      <w:pPr>
        <w:pStyle w:val="FirstParagraph"/>
      </w:pPr>
      <w:r>
        <w:t xml:space="preserve">This paper converts shell pressure into a discrete policy question: which parts of low Earth orbit belong in the highest orbital-use fee tier? Using the same 72 shell-regime observations built from the 2026-06-27 CelesTrak SATCAT snapshot, I define a high-fee shell as one in the top tercile of tracked occupancy, which here means at least 91 tracked objects in the shell-regime bin</w:t>
      </w:r>
      <w:r>
        <w:t xml:space="preserve"> </w:t>
      </w:r>
      <w:hyperlink w:anchor="ref-3">
        <m:oMathPara>
          <m:oMathParaPr>
            <m:jc m:val="center"/>
          </m:oMathParaPr>
          <m:oMath>
            <m:r>
              <m:t>3</m:t>
            </m:r>
          </m:oMath>
        </m:oMathPara>
      </w:hyperlink>
      <w:r>
        <w:t xml:space="preserve">. The resulting binary outcome marks 24 of the 72 observations as top-tier shells. A logit model regresses that indicator on sun-synchronous concentration, the 500 to 900 km policy-critical band, debris share, and active payload share. The fitted model returns N = 72 and pseudo R2 = 0.3624. The sun-synchronous coefficient is 2.7574 with p = 0.000383, which implies an odds ratio of 15.76. Active payload share is 4.1768 with p = 0.0180, implying an odds ratio of 65.16. The 500 to 900 km band is positive but only marginally precise at p = 0.0975. Debris share is positive but imprecise at p = 0.1722. The policy implication is that the upper tier of any fee schedule should be defined by regime concentration and active-use density, not by a simple altitude cutoff alone.</w:t>
      </w:r>
    </w:p>
    <w:bookmarkEnd w:id="61"/>
    <w:bookmarkStart w:id="62" w:name="research-question"/>
    <w:p>
      <w:pPr>
        <w:pStyle w:val="Heading2"/>
      </w:pPr>
      <w:r>
        <w:t xml:space="preserve">Research Question</w:t>
      </w:r>
    </w:p>
    <w:p>
      <w:pPr>
        <w:pStyle w:val="FirstParagraph"/>
      </w:pPr>
      <w:r>
        <w:t xml:space="preserve">Once one rejects the flat-fee intuition, a second question follows. It is not enough to know that shell pressure varies. A regulator or multilateral regime would still need a rule for identifying which shells belong in the highest band. If the highest tier is effectively random across LEO, then a banded fee schedule would be hard to defend administratively. If, by contrast, the high-tier shells cluster in recognizable regimes, then tiering becomes practical</w:t>
      </w:r>
      <w:r>
        <w:t xml:space="preserve"> </w:t>
      </w:r>
      <w:hyperlink w:anchor="ref-1">
        <m:oMathPara>
          <m:oMathParaPr>
            <m:jc m:val="center"/>
          </m:oMathParaPr>
          <m:oMath>
            <m:r>
              <m:t>1</m:t>
            </m:r>
          </m:oMath>
        </m:oMathPara>
      </w:hyperlink>
      <w:r>
        <w:t xml:space="preserve">[2][4][6].</w:t>
      </w:r>
    </w:p>
    <w:p>
      <w:pPr>
        <w:pStyle w:val="FirstParagraph"/>
      </w:pPr>
      <w:r>
        <w:t xml:space="preserve">The paper’s question is therefore: can a transparent empirical rule identify the shells that ought to sit in the top fee tier? I use a deliberately simple rule, top tercile of tracked occupancy, because the purpose is not to smuggle in a preferred tariff. The purpose is to test whether the shells that would receive the highest price band are systematically different from the rest.</w:t>
      </w:r>
    </w:p>
    <w:bookmarkEnd w:id="62"/>
    <w:bookmarkStart w:id="63" w:name="data-and-construction"/>
    <w:p>
      <w:pPr>
        <w:pStyle w:val="Heading2"/>
      </w:pPr>
      <w:r>
        <w:t xml:space="preserve">Data and Construction</w:t>
      </w:r>
    </w:p>
    <w:p>
      <w:pPr>
        <w:pStyle w:val="FirstParagraph"/>
      </w:pPr>
      <w:r>
        <w:t xml:space="preserve">The underlying shell table is identical to Paper 1. The dependent variable is new. A shell-regime observation is coded as top_fee_shell = 1 when tracked_count falls in the top third of the 72 observations, which here means 91 or more tracked objects in the bin. Twenty-four observations meet that threshold and forty-eight do not. The covariates are the same observable structure variables used in Paper 1: sun-synchronous regime, the 500 to 900 km concern band, debris share, and active payload share</w:t>
      </w:r>
      <w:r>
        <w:t xml:space="preserve"> </w:t>
      </w:r>
      <w:hyperlink w:anchor="ref-3">
        <m:oMathPara>
          <m:oMathParaPr>
            <m:jc m:val="center"/>
          </m:oMathParaPr>
          <m:oMath>
            <m:r>
              <m:t>3</m:t>
            </m:r>
          </m:oMath>
        </m:oMathPara>
      </w:hyperlink>
      <w:r>
        <w:t xml:space="preserve">[4][5].</w:t>
      </w:r>
    </w:p>
    <w:p>
      <w:pPr>
        <w:pStyle w:val="FirstParagraph"/>
      </w:pPr>
      <w:r>
        <w:t xml:space="preserve">The construction is policy-facing by design. It does not claim that 91 tracked objects is a natural law. It claims only that once a regime chooses to reserve a top fee tier for the most crowded observed shells, the empirical pattern of which shells enter that tier can be studied directly.</w:t>
      </w:r>
    </w:p>
    <w:bookmarkEnd w:id="63"/>
    <w:bookmarkStart w:id="64" w:name="method"/>
    <w:p>
      <w:pPr>
        <w:pStyle w:val="Heading2"/>
      </w:pPr>
      <w:r>
        <w:t xml:space="preserve">Method</w:t>
      </w:r>
    </w:p>
    <w:p>
      <w:pPr>
        <w:pStyle w:val="FirstParagraph"/>
      </w:pPr>
      <w:r>
        <w:t xml:space="preserve">The estimator is logit. The binary outcome is high-tier membership. The model returns pseudo R2 = 0.3624 and log likelihood = -29.2226. The sun-synchronous coefficient is 2.7574 with p = 0.000383. In odds-ratio terms, a shell in the sun-synchronous band has about 15.76 times the odds of entering the top fee tier relative to an otherwise similar non-SSO shell. Active payload share is also strongly positive, coefficient 4.1768 with p = 0.0180, corresponding to an odds ratio of about 65.16.</w:t>
      </w:r>
    </w:p>
    <w:p>
      <w:pPr>
        <w:pStyle w:val="BodyText"/>
      </w:pPr>
      <w:r>
        <w:t xml:space="preserve">Two additional findings matter. The 500 to 900 km band is positive, coefficient 1.3049, but its p-value of 0.0975 is weaker than the regime and active-use terms. Debris share is positive, coefficient 2.5884, but imprecise at p = 0.1722. The interpretation is not that debris does not matter. It is that, once top-tier membership is defined by actual observed shell occupancy, the strongest separations come from where active fleets cluster and where the sun-synchronous regime concentrates traffic.</w:t>
      </w:r>
    </w:p>
    <w:bookmarkEnd w:id="64"/>
    <w:bookmarkStart w:id="65" w:name="interpretation"/>
    <w:p>
      <w:pPr>
        <w:pStyle w:val="Heading2"/>
      </w:pPr>
      <w:r>
        <w:t xml:space="preserve">Interpretation</w:t>
      </w:r>
    </w:p>
    <w:p>
      <w:pPr>
        <w:pStyle w:val="FirstParagraph"/>
      </w:pPr>
      <w:r>
        <w:t xml:space="preserve">This is a useful economic result because it narrows what a practical fee schedule needs to do. Policymakers often default to altitude as the whole rule. The logit result suggests that altitude band alone is too coarse. The top fee tier is better understood as a regime-and-composition phenomenon. A shell that combines sun-synchronous geometry with dense active use is exactly the place where an additional entrant imposes the most obvious operating burden on others, from conjunction screening to maneuver planning to long-run debris persistence</w:t>
      </w:r>
      <w:r>
        <w:t xml:space="preserve"> </w:t>
      </w:r>
      <w:hyperlink w:anchor="ref-1">
        <m:oMathPara>
          <m:oMathParaPr>
            <m:jc m:val="center"/>
          </m:oMathParaPr>
          <m:oMath>
            <m:r>
              <m:t>1</m:t>
            </m:r>
          </m:oMath>
        </m:oMathPara>
      </w:hyperlink>
      <w:r>
        <w:t xml:space="preserve">[2][4][7][9].</w:t>
      </w:r>
    </w:p>
    <w:p>
      <w:pPr>
        <w:pStyle w:val="FirstParagraph"/>
      </w:pPr>
      <w:r>
        <w:t xml:space="preserve">The positive active-payload effect is also a warning against pricing schemes that frame congestion only as a legacy-cleanup issue. The highest fee tier is not composed only of abandoned or debris-dominated shells. It is also where active operators choose to cluster because the regime is commercially valuable. That means the fee schedule has to govern living market behavior, not just historical pollution. In Krugman-style economic language, the rents of agglomeration and the costs of congestion are arriving together, and the price instrument has to separate them rather than pretend one side does not exist</w:t>
      </w:r>
      <w:r>
        <w:t xml:space="preserve"> </w:t>
      </w:r>
      <w:hyperlink w:anchor="ref-10">
        <m:oMathPara>
          <m:oMathParaPr>
            <m:jc m:val="center"/>
          </m:oMathParaPr>
          <m:oMath>
            <m:r>
              <m:t>10</m:t>
            </m:r>
          </m:oMath>
        </m:oMathPara>
      </w:hyperlink>
      <w:r>
        <w:t xml:space="preserve">.</w:t>
      </w:r>
    </w:p>
    <w:bookmarkEnd w:id="65"/>
    <w:bookmarkStart w:id="66" w:name="contribution-to-the-dissertation"/>
    <w:p>
      <w:pPr>
        <w:pStyle w:val="Heading2"/>
      </w:pPr>
      <w:r>
        <w:t xml:space="preserve">Contribution to the Dissertation</w:t>
      </w:r>
    </w:p>
    <w:p>
      <w:pPr>
        <w:pStyle w:val="FirstParagraph"/>
      </w:pPr>
      <w:r>
        <w:t xml:space="preserve">Paper 2 converts the continuous shell-pressure result into a discrete governance tool. It shows that the upper tier of a congestion-pricing schedule can be defined empirically and does not need to be guessed. Combined with Paper 1, the dissertation can now build a normalized shadow-price ladder, lower tiers for quieter shells, a top tier for SSO and active-use dense shells, and sensitivity analysis around the threshold rule.</w:t>
      </w:r>
    </w:p>
    <w:bookmarkEnd w:id="66"/>
    <w:bookmarkStart w:id="67" w:name="limitations"/>
    <w:p>
      <w:pPr>
        <w:pStyle w:val="Heading2"/>
      </w:pPr>
      <w:r>
        <w:t xml:space="preserve">Limitations</w:t>
      </w:r>
    </w:p>
    <w:p>
      <w:pPr>
        <w:pStyle w:val="FirstParagraph"/>
      </w:pPr>
      <w:r>
        <w:t xml:space="preserve">The main limitation is that the top-tier threshold is a transparent empirical convention rather than a welfare optimum. A second limitation is that the logit does not include sub-catalog flux, maneuverability, or operator-specific traffic management quality. A third is that the cross section is static. The result therefore identifies where the top tier belongs in the current observed environment, not the permanent tariff for all future launch cycles.</w:t>
      </w:r>
    </w:p>
    <w:bookmarkEnd w:id="67"/>
    <w:bookmarkStart w:id="84" w:name="references"/>
    <w:p>
      <w:pPr>
        <w:pStyle w:val="Heading2"/>
      </w:pPr>
      <w:r>
        <w:t xml:space="preserve">References</w:t>
      </w:r>
    </w:p>
    <w:p>
      <w:pPr>
        <w:pStyle w:val="FirstParagraph"/>
      </w:pPr>
      <w:bookmarkStart w:id="68" w:name="ref-1"/>
      <w:bookmarkEnd w:id="68"/>
      <w:r>
        <w:t xml:space="preserve">1. NASA Orbital Debris Program Office. ORDEM 3.2: OD Engineering Model. NASA Johnson Space Center. NASA orbital debris modeling portal.</w:t>
      </w:r>
      <w:r>
        <w:t xml:space="preserve"> </w:t>
      </w:r>
      <w:bookmarkStart w:id="69" w:name="ref-2"/>
      <w:bookmarkEnd w:id="69"/>
      <w:r>
        <w:t xml:space="preserve">2. European Space Agency. ESA’s Annual Space Environment Report 2025. ESA Space Debris Office, 2025.</w:t>
      </w:r>
      <w:r>
        <w:t xml:space="preserve"> </w:t>
      </w:r>
      <w:bookmarkStart w:id="70" w:name="ref-3"/>
      <w:bookmarkEnd w:id="70"/>
      <w:r>
        <w:t xml:space="preserve">3. T. S. Kelso. CelesTrak SATCAT public catalog CSV, downloaded 2026-06-27. https://celestrak.org/pub/satcat.csv.</w:t>
      </w:r>
      <w:r>
        <w:t xml:space="preserve"> </w:t>
      </w:r>
      <w:bookmarkStart w:id="71" w:name="ref-4"/>
      <w:bookmarkEnd w:id="71"/>
      <w:r>
        <w:t xml:space="preserve">4. C. Pardini and L. Anselmo. Using the space debris flux to assess the criticality of the environment in low Earth orbit. Acta Astronautica 198, 2022. doi:</w:t>
      </w:r>
      <w:r>
        <w:t xml:space="preserve"> </w:t>
      </w:r>
      <w:hyperlink r:id="rId72">
        <w:r>
          <w:rPr>
            <w:rStyle w:val="Hyperlink"/>
          </w:rPr>
          <w:t xml:space="preserve">10.1016/j.actaastro.2022.05.045</w:t>
        </w:r>
      </w:hyperlink>
      <w:r>
        <w:t xml:space="preserve"> </w:t>
      </w:r>
      <w:bookmarkStart w:id="73" w:name="ref-5"/>
      <w:bookmarkEnd w:id="73"/>
      <w:r>
        <w:t xml:space="preserve">5. Di Wu and Richard Linares. Unlocking the Value of Space Debris: An Investigation on Multi-shell Source-Sink Physical-Economical Model and Space Debris Value Definition. AMOS Conference, 2023. doi:</w:t>
      </w:r>
      <w:r>
        <w:t xml:space="preserve"> </w:t>
      </w:r>
      <w:hyperlink r:id="rId74">
        <w:r>
          <w:rPr>
            <w:rStyle w:val="Hyperlink"/>
          </w:rPr>
          <w:t xml:space="preserve">10.64861/IGYM9299</w:t>
        </w:r>
      </w:hyperlink>
      <w:r>
        <w:t xml:space="preserve"> </w:t>
      </w:r>
      <w:bookmarkStart w:id="75" w:name="ref-6"/>
      <w:bookmarkEnd w:id="75"/>
      <w:r>
        <w:t xml:space="preserve">6. Emmanuelle David, Adrien Saada, Anja Nakarada Pecujlic, Maruska Strah, Xiao-Shan Yap, Danielle Wood, and Jean-Paul Kneib. Fostering multi-stakeholder collaboration for space sustainability through an incentive-based mechanism. Acta Astronautica, 2025. doi:</w:t>
      </w:r>
      <w:r>
        <w:t xml:space="preserve"> </w:t>
      </w:r>
      <w:hyperlink r:id="rId76">
        <w:r>
          <w:rPr>
            <w:rStyle w:val="Hyperlink"/>
          </w:rPr>
          <w:t xml:space="preserve">10.1016/j.actaastro.2025.06.029</w:t>
        </w:r>
      </w:hyperlink>
      <w:r>
        <w:t xml:space="preserve"> </w:t>
      </w:r>
      <w:bookmarkStart w:id="77" w:name="ref-7"/>
      <w:bookmarkEnd w:id="77"/>
      <w:r>
        <w:t xml:space="preserve">7. Minoo Rathnasabapathy, Francesca Letizia, Stijn Lemmens, Moriba Jah, Simon J. Potter, Nikolai Khlystov, Kristi Acuff, Miles Lifson, Scott Dorrington, Sina Eshaghi, Emmanuelle David, Jean-Paul Kneib, and Danielle Wood. Space sustainability rating: Designing a composite indicator to incentivize satellite operators to pursue long-term sustainability of the space environment. Acta Astronautica, 2025. doi:</w:t>
      </w:r>
      <w:r>
        <w:t xml:space="preserve"> </w:t>
      </w:r>
      <w:hyperlink r:id="rId78">
        <w:r>
          <w:rPr>
            <w:rStyle w:val="Hyperlink"/>
          </w:rPr>
          <w:t xml:space="preserve">10.1016/j.actaastro.2025.03.034</w:t>
        </w:r>
      </w:hyperlink>
      <w:r>
        <w:t xml:space="preserve"> </w:t>
      </w:r>
      <w:bookmarkStart w:id="79" w:name="ref-8"/>
      <w:bookmarkEnd w:id="79"/>
      <w:r>
        <w:t xml:space="preserve">8. M. A. Sturza, M. D. Dankberg, and W. N. Blount. LEO Capacity Modeling for Sustainable Design. Advanced Maui Optical and Space Surveillance Technologies Conference, 2022.</w:t>
      </w:r>
      <w:r>
        <w:t xml:space="preserve"> </w:t>
      </w:r>
      <w:bookmarkStart w:id="80" w:name="ref-9"/>
      <w:bookmarkEnd w:id="80"/>
      <w:r>
        <w:t xml:space="preserve">9. Miles Lifson, Daniel Jang, and Richard Linares. Space Environmental Governance and Decision-Support using Source-Sink Evolutionary Environmental Models. AMOS Conference, 2023. doi:</w:t>
      </w:r>
      <w:r>
        <w:t xml:space="preserve"> </w:t>
      </w:r>
      <w:hyperlink r:id="rId81">
        <w:r>
          <w:rPr>
            <w:rStyle w:val="Hyperlink"/>
          </w:rPr>
          <w:t xml:space="preserve">10.64861/FKER7625</w:t>
        </w:r>
      </w:hyperlink>
      <w:r>
        <w:t xml:space="preserve"> </w:t>
      </w:r>
      <w:bookmarkStart w:id="82" w:name="ref-10"/>
      <w:bookmarkEnd w:id="82"/>
      <w:r>
        <w:t xml:space="preserve">10. M. Weinzierl. Space, the Final Economic Frontier. Journal of Economic Perspectives, vol. 32, no. 2, pp. 173-192, 2018. doi:</w:t>
      </w:r>
      <w:r>
        <w:t xml:space="preserve"> </w:t>
      </w:r>
      <w:hyperlink r:id="rId83">
        <w:r>
          <w:rPr>
            <w:rStyle w:val="Hyperlink"/>
          </w:rPr>
          <w:t xml:space="preserve">10.1257/jep.32.2.173</w:t>
        </w:r>
      </w:hyperlink>
    </w:p>
    <w:bookmarkEnd w:id="84"/>
    <w:bookmarkStart w:id="85" w:name="specification"/>
    <w:p>
      <w:pPr>
        <w:pStyle w:val="Heading2"/>
      </w:pPr>
      <w:r>
        <w:t xml:space="preserve">Specification</w:t>
      </w:r>
    </w:p>
    <w:p>
      <w:pPr>
        <w:pStyle w:val="FirstParagraph"/>
      </w:pPr>
      <w:r>
        <w:t xml:space="preserve">$$ \\operatorname{logit}\\{P(H_{sb}=1)\\} = \\alpha + \\beta_1 SSO_b + \\beta_2 C_{sb} + \\beta_3 D_{sb} + \\beta_4 A_{sb} $$</w:t>
      </w:r>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-4.2468</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[-7.2338, -1.2597]</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2.7574</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3.5512</w:t>
            </w:r>
          </w:p>
        </w:tc>
        <w:tc>
          <w:tcPr>
            <w:tcW w:w="0" w:type="auto"/>
          </w:tcPr>
          <w:p>
            <w:pPr>
              <w:spacing w:line="240" w:lineRule="auto" w:before="0" w:after="0"/>
              <w:pStyle w:val="Compact"/>
            </w:pPr>
            <w:r>
              <w:rPr>
                <w:sz w:val="20"/>
                <w:szCs w:val="20"/>
              </w:rPr>
              <w:t xml:space="preserve">0.0003835</w:t>
            </w:r>
          </w:p>
        </w:tc>
        <w:tc>
          <w:tcPr>
            <w:tcW w:w="0" w:type="auto"/>
          </w:tcPr>
          <w:p>
            <w:pPr>
              <w:spacing w:line="240" w:lineRule="auto" w:before="0" w:after="0"/>
              <w:pStyle w:val="Compact"/>
            </w:pPr>
            <w:r>
              <w:rPr>
                <w:sz w:val="20"/>
                <w:szCs w:val="20"/>
              </w:rPr>
              <w:t xml:space="preserve">[1.2355, 4.2792]</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1.3049</w:t>
            </w:r>
          </w:p>
        </w:tc>
        <w:tc>
          <w:tcPr>
            <w:tcW w:w="0" w:type="auto"/>
          </w:tcPr>
          <w:p>
            <w:pPr>
              <w:spacing w:line="240" w:lineRule="auto" w:before="0" w:after="0"/>
              <w:pStyle w:val="Compact"/>
            </w:pPr>
            <w:r>
              <w:rPr>
                <w:sz w:val="20"/>
                <w:szCs w:val="20"/>
              </w:rPr>
              <w:t xml:space="preserve">0.7875</w:t>
            </w:r>
          </w:p>
        </w:tc>
        <w:tc>
          <w:tcPr>
            <w:tcW w:w="0" w:type="auto"/>
          </w:tcPr>
          <w:p>
            <w:pPr>
              <w:spacing w:line="240" w:lineRule="auto" w:before="0" w:after="0"/>
              <w:pStyle w:val="Compact"/>
            </w:pPr>
            <w:r>
              <w:rPr>
                <w:sz w:val="20"/>
                <w:szCs w:val="20"/>
              </w:rPr>
              <w:t xml:space="preserve">1.6569</w:t>
            </w:r>
          </w:p>
        </w:tc>
        <w:tc>
          <w:tcPr>
            <w:tcW w:w="0" w:type="auto"/>
          </w:tcPr>
          <w:p>
            <w:pPr>
              <w:spacing w:line="240" w:lineRule="auto" w:before="0" w:after="0"/>
              <w:pStyle w:val="Compact"/>
            </w:pPr>
            <w:r>
              <w:rPr>
                <w:sz w:val="20"/>
                <w:szCs w:val="20"/>
              </w:rPr>
              <w:t xml:space="preserve">0.0975</w:t>
            </w:r>
          </w:p>
        </w:tc>
        <w:tc>
          <w:tcPr>
            <w:tcW w:w="0" w:type="auto"/>
          </w:tcPr>
          <w:p>
            <w:pPr>
              <w:spacing w:line="240" w:lineRule="auto" w:before="0" w:after="0"/>
              <w:pStyle w:val="Compact"/>
            </w:pPr>
            <w:r>
              <w:rPr>
                <w:sz w:val="20"/>
                <w:szCs w:val="20"/>
              </w:rPr>
              <w:t xml:space="preserve">[-0.2387, 2.8484]</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2.5884</w:t>
            </w:r>
          </w:p>
        </w:tc>
        <w:tc>
          <w:tcPr>
            <w:tcW w:w="0" w:type="auto"/>
          </w:tcPr>
          <w:p>
            <w:pPr>
              <w:spacing w:line="240" w:lineRule="auto" w:before="0" w:after="0"/>
              <w:pStyle w:val="Compact"/>
            </w:pPr>
            <w:r>
              <w:rPr>
                <w:sz w:val="20"/>
                <w:szCs w:val="20"/>
              </w:rPr>
              <w:t xml:space="preserve">1.8962</w:t>
            </w:r>
          </w:p>
        </w:tc>
        <w:tc>
          <w:tcPr>
            <w:tcW w:w="0" w:type="auto"/>
          </w:tcPr>
          <w:p>
            <w:pPr>
              <w:spacing w:line="240" w:lineRule="auto" w:before="0" w:after="0"/>
              <w:pStyle w:val="Compact"/>
            </w:pPr>
            <w:r>
              <w:rPr>
                <w:sz w:val="20"/>
                <w:szCs w:val="20"/>
              </w:rPr>
              <w:t xml:space="preserve">1.3651</w:t>
            </w:r>
          </w:p>
        </w:tc>
        <w:tc>
          <w:tcPr>
            <w:tcW w:w="0" w:type="auto"/>
          </w:tcPr>
          <w:p>
            <w:pPr>
              <w:spacing w:line="240" w:lineRule="auto" w:before="0" w:after="0"/>
              <w:pStyle w:val="Compact"/>
            </w:pPr>
            <w:r>
              <w:rPr>
                <w:sz w:val="20"/>
                <w:szCs w:val="20"/>
              </w:rPr>
              <w:t xml:space="preserve">0.1722</w:t>
            </w:r>
          </w:p>
        </w:tc>
        <w:tc>
          <w:tcPr>
            <w:tcW w:w="0" w:type="auto"/>
          </w:tcPr>
          <w:p>
            <w:pPr>
              <w:spacing w:line="240" w:lineRule="auto" w:before="0" w:after="0"/>
              <w:pStyle w:val="Compact"/>
            </w:pPr>
            <w:r>
              <w:rPr>
                <w:sz w:val="20"/>
                <w:szCs w:val="20"/>
              </w:rPr>
              <w:t xml:space="preserve">[-1.128, 6.3049]</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4.1768</w:t>
            </w:r>
          </w:p>
        </w:tc>
        <w:tc>
          <w:tcPr>
            <w:tcW w:w="0" w:type="auto"/>
          </w:tcPr>
          <w:p>
            <w:pPr>
              <w:spacing w:line="240" w:lineRule="auto" w:before="0" w:after="0"/>
              <w:pStyle w:val="Compact"/>
            </w:pPr>
            <w:r>
              <w:rPr>
                <w:sz w:val="20"/>
                <w:szCs w:val="20"/>
              </w:rPr>
              <w:t xml:space="preserve">1.7655</w:t>
            </w:r>
          </w:p>
        </w:tc>
        <w:tc>
          <w:tcPr>
            <w:tcW w:w="0" w:type="auto"/>
          </w:tcPr>
          <w:p>
            <w:pPr>
              <w:spacing w:line="240" w:lineRule="auto" w:before="0" w:after="0"/>
              <w:pStyle w:val="Compact"/>
            </w:pPr>
            <w:r>
              <w:rPr>
                <w:sz w:val="20"/>
                <w:szCs w:val="20"/>
              </w:rPr>
              <w:t xml:space="preserve">2.3658</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[0.7165, 7.6371]</w:t>
            </w:r>
          </w:p>
        </w:tc>
      </w:tr>
    </w:tbl>
    <w:p>
      <w:pPr>
        <w:pStyle w:val="BodyText"/>
      </w:pPr>
      <w:r>
        <w:t xml:space="preserve">Fit: N = 72 pseudo_R2 = 0.3624 LL = -29.2226</w:t>
      </w:r>
    </w:p>
    <w:p>
      <w:pPr>
        <w:pStyle w:val="CaptionedFigure"/>
      </w:pPr>
      <w:r>
        <w:drawing>
          <wp:inline>
            <wp:extent cx="5669280" cy="3657600"/>
            <wp:effectExtent b="0" l="0" r="0" t="0"/>
            <wp:docPr descr="Figure 1. Probability that a shell enters the top occupancy fee tier as active payload concentration rises." title="" id="87" name="Picture"/>
            <a:graphic>
              <a:graphicData uri="http://schemas.openxmlformats.org/drawingml/2006/picture">
                <pic:pic>
                  <pic:nvPicPr>
                    <pic:cNvPr descr="D:\Claude_Code\brain\collegium\candidates\dissertations\SPACE_ECON_01\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Probability that a shell enters the top occupancy fee tier as active payload concentration rises.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top_fee_shell</w:t>
            </w:r>
          </w:p>
        </w:tc>
        <w:tc>
          <w:tcPr>
            <w:tcW w:w="0" w:type="auto"/>
          </w:tcPr>
          <w:p>
            <w:pPr>
              <w:spacing w:line="240" w:lineRule="auto" w:before="0" w:after="0"/>
              <w:pStyle w:val="Compact"/>
            </w:pPr>
            <w:r>
              <w:rPr>
                <w:sz w:val="20"/>
                <w:szCs w:val="20"/>
              </w:rPr>
              <w:t xml:space="preserve">top_fee_threshold_count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top_fee_shell</w:t>
            </w:r>
          </w:p>
        </w:tc>
        <w:tc>
          <w:tcPr>
            <w:tcW w:w="0" w:type="auto"/>
          </w:tcPr>
          <w:p>
            <w:pPr>
              <w:spacing w:line="240" w:lineRule="auto" w:before="0" w:after="0"/>
              <w:pStyle w:val="Compact"/>
            </w:pPr>
            <w:r>
              <w:rPr>
                <w:sz w:val="20"/>
                <w:szCs w:val="20"/>
              </w:rPr>
              <w:t xml:space="preserve">Indicator equal to one when tracked shell occupancy is in the top tercile of the 72 shell-regime observations, which here means at least 91 tracked objects</w:t>
            </w:r>
          </w:p>
        </w:tc>
        <w:tc>
          <w:tcPr>
            <w:tcW w:w="0" w:type="auto"/>
          </w:tcPr>
          <w:p>
            <w:pPr>
              <w:spacing w:line="240" w:lineRule="auto" w:before="0" w:after="0"/>
              <w:pStyle w:val="Compact"/>
            </w:pPr>
            <w:r>
              <w:rPr>
                <w:sz w:val="20"/>
                <w:szCs w:val="20"/>
              </w:rPr>
              <w:t xml:space="preserve">Constructed from the shell-level tracked_count distribution in the SATCAT-derived dataset</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the sun-synchronous or polar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used in LEO congestion discussions</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in the shell classified as debris</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active status divided by tracked_count</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-4.2468</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[-7.2338, -1.2597]</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2.7574</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3.5512</w:t>
            </w:r>
          </w:p>
        </w:tc>
        <w:tc>
          <w:tcPr>
            <w:tcW w:w="0" w:type="auto"/>
          </w:tcPr>
          <w:p>
            <w:pPr>
              <w:spacing w:line="240" w:lineRule="auto" w:before="0" w:after="0"/>
              <w:pStyle w:val="Compact"/>
            </w:pPr>
            <w:r>
              <w:rPr>
                <w:sz w:val="20"/>
                <w:szCs w:val="20"/>
              </w:rPr>
              <w:t xml:space="preserve">0.0003835</w:t>
            </w:r>
          </w:p>
        </w:tc>
        <w:tc>
          <w:tcPr>
            <w:tcW w:w="0" w:type="auto"/>
          </w:tcPr>
          <w:p>
            <w:pPr>
              <w:spacing w:line="240" w:lineRule="auto" w:before="0" w:after="0"/>
              <w:pStyle w:val="Compact"/>
            </w:pPr>
            <w:r>
              <w:rPr>
                <w:sz w:val="20"/>
                <w:szCs w:val="20"/>
              </w:rPr>
              <w:t xml:space="preserve">[1.2355, 4.2792]</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1.3049</w:t>
            </w:r>
          </w:p>
        </w:tc>
        <w:tc>
          <w:tcPr>
            <w:tcW w:w="0" w:type="auto"/>
          </w:tcPr>
          <w:p>
            <w:pPr>
              <w:spacing w:line="240" w:lineRule="auto" w:before="0" w:after="0"/>
              <w:pStyle w:val="Compact"/>
            </w:pPr>
            <w:r>
              <w:rPr>
                <w:sz w:val="20"/>
                <w:szCs w:val="20"/>
              </w:rPr>
              <w:t xml:space="preserve">0.7875</w:t>
            </w:r>
          </w:p>
        </w:tc>
        <w:tc>
          <w:tcPr>
            <w:tcW w:w="0" w:type="auto"/>
          </w:tcPr>
          <w:p>
            <w:pPr>
              <w:spacing w:line="240" w:lineRule="auto" w:before="0" w:after="0"/>
              <w:pStyle w:val="Compact"/>
            </w:pPr>
            <w:r>
              <w:rPr>
                <w:sz w:val="20"/>
                <w:szCs w:val="20"/>
              </w:rPr>
              <w:t xml:space="preserve">1.6569</w:t>
            </w:r>
          </w:p>
        </w:tc>
        <w:tc>
          <w:tcPr>
            <w:tcW w:w="0" w:type="auto"/>
          </w:tcPr>
          <w:p>
            <w:pPr>
              <w:spacing w:line="240" w:lineRule="auto" w:before="0" w:after="0"/>
              <w:pStyle w:val="Compact"/>
            </w:pPr>
            <w:r>
              <w:rPr>
                <w:sz w:val="20"/>
                <w:szCs w:val="20"/>
              </w:rPr>
              <w:t xml:space="preserve">0.0975</w:t>
            </w:r>
          </w:p>
        </w:tc>
        <w:tc>
          <w:tcPr>
            <w:tcW w:w="0" w:type="auto"/>
          </w:tcPr>
          <w:p>
            <w:pPr>
              <w:spacing w:line="240" w:lineRule="auto" w:before="0" w:after="0"/>
              <w:pStyle w:val="Compact"/>
            </w:pPr>
            <w:r>
              <w:rPr>
                <w:sz w:val="20"/>
                <w:szCs w:val="20"/>
              </w:rPr>
              <w:t xml:space="preserve">[-0.2387, 2.8484]</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2.5884</w:t>
            </w:r>
          </w:p>
        </w:tc>
        <w:tc>
          <w:tcPr>
            <w:tcW w:w="0" w:type="auto"/>
          </w:tcPr>
          <w:p>
            <w:pPr>
              <w:spacing w:line="240" w:lineRule="auto" w:before="0" w:after="0"/>
              <w:pStyle w:val="Compact"/>
            </w:pPr>
            <w:r>
              <w:rPr>
                <w:sz w:val="20"/>
                <w:szCs w:val="20"/>
              </w:rPr>
              <w:t xml:space="preserve">1.8962</w:t>
            </w:r>
          </w:p>
        </w:tc>
        <w:tc>
          <w:tcPr>
            <w:tcW w:w="0" w:type="auto"/>
          </w:tcPr>
          <w:p>
            <w:pPr>
              <w:spacing w:line="240" w:lineRule="auto" w:before="0" w:after="0"/>
              <w:pStyle w:val="Compact"/>
            </w:pPr>
            <w:r>
              <w:rPr>
                <w:sz w:val="20"/>
                <w:szCs w:val="20"/>
              </w:rPr>
              <w:t xml:space="preserve">1.3651</w:t>
            </w:r>
          </w:p>
        </w:tc>
        <w:tc>
          <w:tcPr>
            <w:tcW w:w="0" w:type="auto"/>
          </w:tcPr>
          <w:p>
            <w:pPr>
              <w:spacing w:line="240" w:lineRule="auto" w:before="0" w:after="0"/>
              <w:pStyle w:val="Compact"/>
            </w:pPr>
            <w:r>
              <w:rPr>
                <w:sz w:val="20"/>
                <w:szCs w:val="20"/>
              </w:rPr>
              <w:t xml:space="preserve">0.1722</w:t>
            </w:r>
          </w:p>
        </w:tc>
        <w:tc>
          <w:tcPr>
            <w:tcW w:w="0" w:type="auto"/>
          </w:tcPr>
          <w:p>
            <w:pPr>
              <w:spacing w:line="240" w:lineRule="auto" w:before="0" w:after="0"/>
              <w:pStyle w:val="Compact"/>
            </w:pPr>
            <w:r>
              <w:rPr>
                <w:sz w:val="20"/>
                <w:szCs w:val="20"/>
              </w:rPr>
              <w:t xml:space="preserve">[-1.128, 6.3049]</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4.1768</w:t>
            </w:r>
          </w:p>
        </w:tc>
        <w:tc>
          <w:tcPr>
            <w:tcW w:w="0" w:type="auto"/>
          </w:tcPr>
          <w:p>
            <w:pPr>
              <w:spacing w:line="240" w:lineRule="auto" w:before="0" w:after="0"/>
              <w:pStyle w:val="Compact"/>
            </w:pPr>
            <w:r>
              <w:rPr>
                <w:sz w:val="20"/>
                <w:szCs w:val="20"/>
              </w:rPr>
              <w:t xml:space="preserve">1.7655</w:t>
            </w:r>
          </w:p>
        </w:tc>
        <w:tc>
          <w:tcPr>
            <w:tcW w:w="0" w:type="auto"/>
          </w:tcPr>
          <w:p>
            <w:pPr>
              <w:spacing w:line="240" w:lineRule="auto" w:before="0" w:after="0"/>
              <w:pStyle w:val="Compact"/>
            </w:pPr>
            <w:r>
              <w:rPr>
                <w:sz w:val="20"/>
                <w:szCs w:val="20"/>
              </w:rPr>
              <w:t xml:space="preserve">2.3658</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[0.7165, 7.6371]</w:t>
            </w:r>
          </w:p>
        </w:tc>
      </w:tr>
    </w:tbl>
    <w:p>
      <w:pPr>
        <w:pStyle w:val="BodyText"/>
      </w:pPr>
      <w:r>
        <w:t xml:space="preserve">Fit: N = 72 pseudo_R2 = 0.3624 LL = -29.2226</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2" Target="https://doi.org/10.1016/j.actaastro.2022.05.045" TargetMode="External" /><Relationship Type="http://schemas.openxmlformats.org/officeDocument/2006/relationships/hyperlink" Id="rId78" Target="https://doi.org/10.1016/j.actaastro.2025.03.034" TargetMode="External" /><Relationship Type="http://schemas.openxmlformats.org/officeDocument/2006/relationships/hyperlink" Id="rId76" Target="https://doi.org/10.1016/j.actaastro.2025.06.029" TargetMode="External" /><Relationship Type="http://schemas.openxmlformats.org/officeDocument/2006/relationships/hyperlink" Id="rId83" Target="https://doi.org/10.1257/jep.32.2.173" TargetMode="External" /><Relationship Type="http://schemas.openxmlformats.org/officeDocument/2006/relationships/hyperlink" Id="rId81" Target="https://doi.org/10.64861/FKER7625" TargetMode="External" /><Relationship Type="http://schemas.openxmlformats.org/officeDocument/2006/relationships/hyperlink" Id="rId74" Target="https://doi.org/10.64861/IGYM9299"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2.05.045" TargetMode="External" /><Relationship Type="http://schemas.openxmlformats.org/officeDocument/2006/relationships/hyperlink" Id="rId78" Target="https://doi.org/10.1016/j.actaastro.2025.03.034" TargetMode="External" /><Relationship Type="http://schemas.openxmlformats.org/officeDocument/2006/relationships/hyperlink" Id="rId76" Target="https://doi.org/10.1016/j.actaastro.2025.06.029" TargetMode="External" /><Relationship Type="http://schemas.openxmlformats.org/officeDocument/2006/relationships/hyperlink" Id="rId83" Target="https://doi.org/10.1257/jep.32.2.173" TargetMode="External" /><Relationship Type="http://schemas.openxmlformats.org/officeDocument/2006/relationships/hyperlink" Id="rId81" Target="https://doi.org/10.64861/FKER7625" TargetMode="External" /><Relationship Type="http://schemas.openxmlformats.org/officeDocument/2006/relationships/hyperlink" Id="rId74" Target="https://doi.org/10.64861/IGYM92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2026-06-27T23:53:47Z</dcterms:created>
  <dcterms:modified xsi:type="dcterms:W3CDTF">2026-06-27T23:53:47Z</dcterms:modified>
</cp:coreProperties>
</file>

<file path=docProps/custom.xml><?xml version="1.0" encoding="utf-8"?>
<Properties xmlns="http://schemas.openxmlformats.org/officeDocument/2006/custom-properties" xmlns:vt="http://schemas.openxmlformats.org/officeDocument/2006/docPropsVTypes"/>
</file>