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10226efc1f295b431ca562e3117d0874f546340"/>
    <w:p>
      <w:pPr>
        <w:pStyle w:val="Heading1"/>
      </w:pPr>
      <w:r>
        <w:t xml:space="preserve">Where Orbital Congestion Prices the Commons: OLS Evidence from LEO Shell Composition</w:t>
      </w:r>
    </w:p>
    <w:bookmarkStart w:id="61" w:name="abstract"/>
    <w:p>
      <w:pPr>
        <w:pStyle w:val="Heading2"/>
      </w:pPr>
      <w:r>
        <w:t xml:space="preserve">Abstract</w:t>
      </w:r>
    </w:p>
    <w:p>
      <w:pPr>
        <w:pStyle w:val="FirstParagraph"/>
      </w:pPr>
      <w:r>
        <w:t xml:space="preserve">This paper estimates whether the orbital-use externality in low Earth orbit is compatible with a flat administrative charge or whether shell composition forces a tiered fee schedule. Eleanor Sklar’s dissertation prospectus argues that the commons problem is not just physical congestion but unpriced marginal risk</w:t>
      </w:r>
      <w:r>
        <w:t xml:space="preserve"> </w:t>
      </w:r>
      <w:hyperlink w:anchor="ref-1">
        <m:oMathPara>
          <m:oMathParaPr>
            <m:jc m:val="center"/>
          </m:oMathParaPr>
          <m:oMath>
            <m:r>
              <m:t>1</m:t>
            </m:r>
          </m:oMath>
        </m:oMathPara>
      </w:hyperlink>
      <w:r>
        <w:t xml:space="preserve">[2][4][5]. Using the public CelesTrak SATCAT snapshot downloaded on 2026-06-27, the paper aggregates non-decayed Earth-orbit objects from 200 km to less than 2000 km into 100 km shells and four inclination regimes, giving 72 real shell-regime observations with source retained in the final column</w:t>
      </w:r>
      <w:r>
        <w:t xml:space="preserve"> </w:t>
      </w:r>
      <w:hyperlink w:anchor="ref-3">
        <m:oMathPara>
          <m:oMathParaPr>
            <m:jc m:val="center"/>
          </m:oMathParaPr>
          <m:oMath>
            <m:r>
              <m:t>3</m:t>
            </m:r>
          </m:oMath>
        </m:oMathPara>
      </w:hyperlink>
      <w:r>
        <w:t xml:space="preserve">. A robust OLS model estimates log shell occupancy pressure as a function of debris share, sun-synchronous concentration, the 500 to 900 km policy-critical band, and active payload share. The fitted model returns N = 72, R2 = 0.5696, adjusted R2 = 0.5439, and F p = 1.44e-18. The debris-share coefficient is 2.2964 with p = 0.000371. The sun-synchronous indicator is 2.7008 with p = 1e-07. The 500 to 900 km band indicator is 1.0827 with p = 0.0130. Active payload share is 4.0005 with p = 6.77e-06. The implication is direct: shell pressure is structured enough that a flat orbital-use fee would misprice the commons.</w:t>
      </w:r>
    </w:p>
    <w:bookmarkEnd w:id="61"/>
    <w:bookmarkStart w:id="62" w:name="research-question"/>
    <w:p>
      <w:pPr>
        <w:pStyle w:val="Heading2"/>
      </w:pPr>
      <w:r>
        <w:t xml:space="preserve">Research Question</w:t>
      </w:r>
    </w:p>
    <w:p>
      <w:pPr>
        <w:pStyle w:val="FirstParagraph"/>
      </w:pPr>
      <w:r>
        <w:t xml:space="preserve">Policy discussions often speak as if any orbital-use charge could be implemented as a uniform filing or licensing add-on. That intuition is attractive because it is simple, but it is hard to reconcile with the actual tracked environment. ORDEM, MASTER, and the recent space-sustainability literature all emphasize that congestion risk depends on where an object flies, what already occupies the shell, and how much persistent debris coexists with active traffic</w:t>
      </w:r>
      <w:r>
        <w:t xml:space="preserve"> </w:t>
      </w:r>
      <w:hyperlink w:anchor="ref-1">
        <m:oMathPara>
          <m:oMathParaPr>
            <m:jc m:val="center"/>
          </m:oMathParaPr>
          <m:oMath>
            <m:r>
              <m:t>1</m:t>
            </m:r>
          </m:oMath>
        </m:oMathPara>
      </w:hyperlink>
      <w:r>
        <w:t xml:space="preserve">[2][4][5][6]. If those dimensions structure shell pressure, then the price signal that disciplines the commons cannot be flat without undercharging the busiest shells and overcharging the quieter ones.</w:t>
      </w:r>
    </w:p>
    <w:p>
      <w:pPr>
        <w:pStyle w:val="FirstParagraph"/>
      </w:pPr>
      <w:r>
        <w:t xml:space="preserve">The paper therefore asks a narrow empirical question: does tracked shell occupancy pressure rise systematically with debris share, active payload concentration, sun-synchronous concentration, and the current 500 to 900 km concern band? A positive answer would not itself dictate the legal tariff, but it would show that any credible fee schedule has to be tiered. A negative answer would leave more room for a uniform administrative fee.</w:t>
      </w:r>
    </w:p>
    <w:bookmarkEnd w:id="62"/>
    <w:bookmarkStart w:id="63" w:name="data-and-construction"/>
    <w:p>
      <w:pPr>
        <w:pStyle w:val="Heading2"/>
      </w:pPr>
      <w:r>
        <w:t xml:space="preserve">Data and Construction</w:t>
      </w:r>
    </w:p>
    <w:p>
      <w:pPr>
        <w:pStyle w:val="FirstParagraph"/>
      </w:pPr>
      <w:r>
        <w:t xml:space="preserve">The dataset is constructed from the public CelesTrak SATCAT catalog</w:t>
      </w:r>
      <w:r>
        <w:t xml:space="preserve"> </w:t>
      </w:r>
      <w:hyperlink w:anchor="ref-3">
        <m:oMathPara>
          <m:oMathParaPr>
            <m:jc m:val="center"/>
          </m:oMathParaPr>
          <m:oMath>
            <m:r>
              <m:t>3</m:t>
            </m:r>
          </m:oMath>
        </m:oMathPara>
      </w:hyperlink>
      <w:r>
        <w:t xml:space="preserve">. I retain records centered on Earth, not decayed at the snapshot date, and with mean altitude from 200 km to less than 2000 km. Each record is grouped into a 100 km altitude shell and one of four inclination regimes. The resulting shell-regime table records tracked count, debris count, active payload count, debris share, active payload share, and regime indicators. The dependent variable is the natural logarithm of one plus tracked count. The final analysis file contains 72 real aggregate observations, zero illustrative rows, and a source field in the last column.</w:t>
      </w:r>
    </w:p>
    <w:p>
      <w:pPr>
        <w:pStyle w:val="FirstParagraph"/>
      </w:pPr>
      <w:r>
        <w:t xml:space="preserve">This construction is intentionally modest. SATCAT is not a substitute for ORDEM or MASTER, because it anchors the tracked large-object environment rather than the full sub-catalog flux</w:t>
      </w:r>
      <w:r>
        <w:t xml:space="preserve"> </w:t>
      </w:r>
      <w:hyperlink w:anchor="ref-1">
        <m:oMathPara>
          <m:oMathParaPr>
            <m:jc m:val="center"/>
          </m:oMathParaPr>
          <m:oMath>
            <m:r>
              <m:t>1</m:t>
            </m:r>
          </m:oMath>
        </m:oMathPara>
      </w:hyperlink>
      <w:r>
        <w:t xml:space="preserve">[2]. That limitation is acceptable for this paper because the economic question is about the shells that actual operators and regulators can observe directly when they discuss congestion management, insurance logic, or tiered access pricing</w:t>
      </w:r>
      <w:r>
        <w:t xml:space="preserve"> </w:t>
      </w:r>
      <w:hyperlink w:anchor="ref-4">
        <m:oMathPara>
          <m:oMathParaPr>
            <m:jc m:val="center"/>
          </m:oMathParaPr>
          <m:oMath>
            <m:r>
              <m:t>4</m:t>
            </m:r>
          </m:oMath>
        </m:oMathPara>
      </w:hyperlink>
      <w:r>
        <w:t xml:space="preserve">[7][8].</w:t>
      </w:r>
    </w:p>
    <w:bookmarkEnd w:id="63"/>
    <w:bookmarkStart w:id="64" w:name="method"/>
    <w:p>
      <w:pPr>
        <w:pStyle w:val="Heading2"/>
      </w:pPr>
      <w:r>
        <w:t xml:space="preserve">Method</w:t>
      </w:r>
    </w:p>
    <w:p>
      <w:pPr>
        <w:pStyle w:val="FirstParagraph"/>
      </w:pPr>
      <w:r>
        <w:t xml:space="preserve">The estimator is robust OLS. The dependent variable is log one plus tracked shell occupancy. Predictors are debris share, a sun-synchronous or polar indicator, a 500 to 900 km indicator, and active payload share. The specification is descriptive rather than causal. Shell composition and regime are products of launch history, platform design, orbital mechanics, and policy choice. The goal is not to identify an intervention effect. The goal is to test whether the environment that a pricing regime would confront is flat enough to support a flat fee.</w:t>
      </w:r>
    </w:p>
    <w:p>
      <w:pPr>
        <w:pStyle w:val="BodyText"/>
      </w:pPr>
      <w:r>
        <w:t xml:space="preserve">The answer is no. The fitted model returns R2 = 0.5696 and adjusted R2 = 0.5439. Debris share is positive and statistically significant, with coefficient 2.2964 and p = 0.000371. The sun-synchronous indicator is 2.7008 with p = 1e-07. The 500 to 900 km concern-band indicator is also positive and significant, coefficient 1.0827 with p = 0.0130. Active payload share is strongly positive, coefficient 4.0005 with p = 6.77e-06. In plain language, the shells that matter economically are not just debris-heavy. They are simultaneously active, crowded, and concentrated in the regime operators already worry about most.</w:t>
      </w:r>
    </w:p>
    <w:bookmarkEnd w:id="64"/>
    <w:bookmarkStart w:id="65" w:name="interpretation"/>
    <w:p>
      <w:pPr>
        <w:pStyle w:val="Heading2"/>
      </w:pPr>
      <w:r>
        <w:t xml:space="preserve">Interpretation</w:t>
      </w:r>
    </w:p>
    <w:p>
      <w:pPr>
        <w:pStyle w:val="FirstParagraph"/>
      </w:pPr>
      <w:r>
        <w:t xml:space="preserve">The positive active-payload-share coefficient is especially important for economic interpretation. A congestion fee is sometimes framed as a tax on legacy debris alone. The result here says that would be incomplete. Commons pressure rises not only where debris share is high but also where active operators cluster. That is what one would expect if the marginal entrant imposes costs on both current missions and future access. A policy that prices only historical debris and not current occupancy would therefore miss part of the externality</w:t>
      </w:r>
      <w:r>
        <w:t xml:space="preserve"> </w:t>
      </w:r>
      <w:hyperlink w:anchor="ref-4">
        <m:oMathPara>
          <m:oMathParaPr>
            <m:jc m:val="center"/>
          </m:oMathParaPr>
          <m:oMath>
            <m:r>
              <m:t>4</m:t>
            </m:r>
          </m:oMath>
        </m:oMathPara>
      </w:hyperlink>
      <w:r>
        <w:t xml:space="preserve">[6][8][9].</w:t>
      </w:r>
    </w:p>
    <w:p>
      <w:pPr>
        <w:pStyle w:val="FirstParagraph"/>
      </w:pPr>
      <w:r>
        <w:t xml:space="preserve">The sun-synchronous result is equally telling. The coefficient is large, 2.7008, and very precisely estimated. This means the pricing conversation should be organized around tiering by shell and regime rather than around a single LEO average. The policy bridge is straightforward: predicted occupancy pressure can be normalized into a relative shadow-price index, with the median shell set to one and higher-pressure shells assigned proportionally larger fee multipliers. That conversion step belongs in the dissertation, but the empirical basis for it begins here.</w:t>
      </w:r>
    </w:p>
    <w:bookmarkEnd w:id="65"/>
    <w:bookmarkStart w:id="66" w:name="contribution-to-the-dissertation"/>
    <w:p>
      <w:pPr>
        <w:pStyle w:val="Heading2"/>
      </w:pPr>
      <w:r>
        <w:t xml:space="preserve">Contribution to the Dissertation</w:t>
      </w:r>
    </w:p>
    <w:p>
      <w:pPr>
        <w:pStyle w:val="FirstParagraph"/>
      </w:pPr>
      <w:r>
        <w:t xml:space="preserve">This paper supplies the first half of the dissertation’s falsifiable contribution. It shows that the observable orbital commons is structured enough that a flat fee is not defensible as an empirical baseline. The dissertation can therefore move from the vague claim that congestion exists to the sharper claim that the marginal price of shell access should vary across regimes. Paper 2 then asks which shells actually enter the highest pricing tier, turning the continuous pressure result into a discrete policy band.</w:t>
      </w:r>
    </w:p>
    <w:bookmarkEnd w:id="66"/>
    <w:bookmarkStart w:id="67" w:name="limitations"/>
    <w:p>
      <w:pPr>
        <w:pStyle w:val="Heading2"/>
      </w:pPr>
      <w:r>
        <w:t xml:space="preserve">Limitations</w:t>
      </w:r>
    </w:p>
    <w:p>
      <w:pPr>
        <w:pStyle w:val="FirstParagraph"/>
      </w:pPr>
      <w:r>
        <w:t xml:space="preserve">The first limitation is that tracked count is an observable pressure anchor, not a full collision-probability measure. The second is that OLS on aggregate shell bins is descriptive and cannot separate institutional history from physical persistence. The third is that the paper estimates relative pricing logic, not a dollar tariff. Those limitations are acceptable because the dissertation’s immediate task is to reject the flat-fee intuition, not to pretend that a final treaty-grade tariff can be recovered from one table.</w:t>
      </w:r>
    </w:p>
    <w:bookmarkEnd w:id="67"/>
    <w:bookmarkStart w:id="84" w:name="references"/>
    <w:p>
      <w:pPr>
        <w:pStyle w:val="Heading2"/>
      </w:pPr>
      <w:r>
        <w:t xml:space="preserve">References</w:t>
      </w:r>
    </w:p>
    <w:p>
      <w:pPr>
        <w:pStyle w:val="FirstParagraph"/>
      </w:pPr>
      <w:bookmarkStart w:id="68" w:name="ref-1"/>
      <w:bookmarkEnd w:id="68"/>
      <w:r>
        <w:t xml:space="preserve">1. NASA Orbital Debris Program Office. ORDEM 3.2: OD Engineering Model. NASA Johnson Space Center. NASA orbital debris modeling portal.</w:t>
      </w:r>
      <w:r>
        <w:t xml:space="preserve"> </w:t>
      </w:r>
      <w:bookmarkStart w:id="69" w:name="ref-2"/>
      <w:bookmarkEnd w:id="69"/>
      <w:r>
        <w:t xml:space="preserve">2. European Space Agency. ESA’s Annual Space Environment Report 2025. ESA Space Debris Office, 2025.</w:t>
      </w:r>
      <w:r>
        <w:t xml:space="preserve"> </w:t>
      </w:r>
      <w:bookmarkStart w:id="70" w:name="ref-3"/>
      <w:bookmarkEnd w:id="70"/>
      <w:r>
        <w:t xml:space="preserve">3. T. S. Kelso. CelesTrak SATCAT public catalog CSV, downloaded 2026-06-27. https://celestrak.org/pub/satcat.csv.</w:t>
      </w:r>
      <w:r>
        <w:t xml:space="preserve"> </w:t>
      </w:r>
      <w:bookmarkStart w:id="71" w:name="ref-4"/>
      <w:bookmarkEnd w:id="71"/>
      <w:r>
        <w:t xml:space="preserve">4. C. Pardini and L. Anselmo. Using the space debris flux to assess the criticality of the environment in low Earth orbit. Acta Astronautica 198, 2022. doi:</w:t>
      </w:r>
      <w:r>
        <w:t xml:space="preserve"> </w:t>
      </w:r>
      <w:hyperlink r:id="rId72">
        <w:r>
          <w:rPr>
            <w:rStyle w:val="Hyperlink"/>
          </w:rPr>
          <w:t xml:space="preserve">10.1016/j.actaastro.2022.05.045</w:t>
        </w:r>
      </w:hyperlink>
      <w:r>
        <w:t xml:space="preserve"> </w:t>
      </w:r>
      <w:bookmarkStart w:id="73" w:name="ref-5"/>
      <w:bookmarkEnd w:id="73"/>
      <w:r>
        <w:t xml:space="preserve">5. Di Wu and Richard Linares. Unlocking the Value of Space Debris: An Investigation on Multi-shell Source-Sink Physical-Economical Model and Space Debris Value Definition. AMOS Conference, 2023. doi:</w:t>
      </w:r>
      <w:r>
        <w:t xml:space="preserve"> </w:t>
      </w:r>
      <w:hyperlink r:id="rId74">
        <w:r>
          <w:rPr>
            <w:rStyle w:val="Hyperlink"/>
          </w:rPr>
          <w:t xml:space="preserve">10.64861/IGYM9299</w:t>
        </w:r>
      </w:hyperlink>
      <w:r>
        <w:t xml:space="preserve"> </w:t>
      </w:r>
      <w:bookmarkStart w:id="75" w:name="ref-6"/>
      <w:bookmarkEnd w:id="75"/>
      <w:r>
        <w:t xml:space="preserve">6. Emmanuelle David, Adrien Saada, Anja Nakarada Pecujlic, Maruska Strah, Xiao-Shan Yap, Danielle Wood, and Jean-Paul Kneib. Fostering multi-stakeholder collaboration for space sustainability through an incentive-based mechanism. Acta Astronautica, 2025. doi:</w:t>
      </w:r>
      <w:r>
        <w:t xml:space="preserve"> </w:t>
      </w:r>
      <w:hyperlink r:id="rId76">
        <w:r>
          <w:rPr>
            <w:rStyle w:val="Hyperlink"/>
          </w:rPr>
          <w:t xml:space="preserve">10.1016/j.actaastro.2025.06.029</w:t>
        </w:r>
      </w:hyperlink>
      <w:r>
        <w:t xml:space="preserve"> </w:t>
      </w:r>
      <w:bookmarkStart w:id="77" w:name="ref-7"/>
      <w:bookmarkEnd w:id="77"/>
      <w:r>
        <w:t xml:space="preserve">7. Minoo Rathnasabapathy, Francesca Letizia, Stijn Lemmens, Moriba Jah, Simon J. Potter, Nikolai Khlystov, Kristi Acuff, Miles Lifson, Scott Dorrington, Sina Eshaghi, Emmanuelle David, Jean-Paul Kneib, and Danielle Wood. Space sustainability rating: Designing a composite indicator to incentivize satellite operators to pursue long-term sustainability of the space environment. Acta Astronautica, 2025. doi:</w:t>
      </w:r>
      <w:r>
        <w:t xml:space="preserve"> </w:t>
      </w:r>
      <w:hyperlink r:id="rId78">
        <w:r>
          <w:rPr>
            <w:rStyle w:val="Hyperlink"/>
          </w:rPr>
          <w:t xml:space="preserve">10.1016/j.actaastro.2025.03.034</w:t>
        </w:r>
      </w:hyperlink>
      <w:r>
        <w:t xml:space="preserve"> </w:t>
      </w:r>
      <w:bookmarkStart w:id="79" w:name="ref-8"/>
      <w:bookmarkEnd w:id="79"/>
      <w:r>
        <w:t xml:space="preserve">8. M. A. Sturza, M. D. Dankberg, and W. N. Blount. LEO Capacity Modeling for Sustainable Design. Advanced Maui Optical and Space Surveillance Technologies Conference, 2022.</w:t>
      </w:r>
      <w:r>
        <w:t xml:space="preserve"> </w:t>
      </w:r>
      <w:bookmarkStart w:id="80" w:name="ref-9"/>
      <w:bookmarkEnd w:id="80"/>
      <w:r>
        <w:t xml:space="preserve">9. Miles Lifson, Daniel Jang, and Richard Linares. Space Environmental Governance and Decision-Support using Source-Sink Evolutionary Environmental Models. AMOS Conference, 2023. doi:</w:t>
      </w:r>
      <w:r>
        <w:t xml:space="preserve"> </w:t>
      </w:r>
      <w:hyperlink r:id="rId81">
        <w:r>
          <w:rPr>
            <w:rStyle w:val="Hyperlink"/>
          </w:rPr>
          <w:t xml:space="preserve">10.64861/FKER7625</w:t>
        </w:r>
      </w:hyperlink>
      <w:r>
        <w:t xml:space="preserve"> </w:t>
      </w:r>
      <w:bookmarkStart w:id="82" w:name="ref-10"/>
      <w:bookmarkEnd w:id="82"/>
      <w:r>
        <w:t xml:space="preserve">10. M. Weinzierl. Space, the Final Economic Frontier. Journal of Economic Perspectives, vol. 32, no. 2, pp. 173-192, 2018. doi:</w:t>
      </w:r>
      <w:r>
        <w:t xml:space="preserve"> </w:t>
      </w:r>
      <w:hyperlink r:id="rId83">
        <w:r>
          <w:rPr>
            <w:rStyle w:val="Hyperlink"/>
          </w:rPr>
          <w:t xml:space="preserve">10.1257/jep.32.2.173</w:t>
        </w:r>
      </w:hyperlink>
    </w:p>
    <w:bookmarkEnd w:id="84"/>
    <w:bookmarkStart w:id="85" w:name="specification"/>
    <w:p>
      <w:pPr>
        <w:pStyle w:val="Heading2"/>
      </w:pPr>
      <w:r>
        <w:t xml:space="preserve">Specification</w:t>
      </w:r>
    </w:p>
    <w:p>
      <w:pPr>
        <w:pStyle w:val="FirstParagraph"/>
      </w:pPr>
      <w:r>
        <w:t xml:space="preserve">$$ \\log(1+N_{sb}) = \\alpha + \\beta_1 D_{sb} + \\beta_2 SSO_b + \\beta_3 C_{sb} + \\beta_4 A_{sb} + \\varepsilon_{sb} $$</w:t>
      </w:r>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0.5788</w:t>
            </w:r>
          </w:p>
        </w:tc>
        <w:tc>
          <w:tcPr>
            <w:tcW w:w="0" w:type="auto"/>
          </w:tcPr>
          <w:p>
            <w:pPr>
              <w:spacing w:line="240" w:lineRule="auto" w:before="0" w:after="0"/>
              <w:pStyle w:val="Compact"/>
            </w:pPr>
            <w:r>
              <w:rPr>
                <w:sz w:val="20"/>
                <w:szCs w:val="20"/>
              </w:rPr>
              <w:t xml:space="preserve">0.2803</w:t>
            </w:r>
          </w:p>
        </w:tc>
        <w:tc>
          <w:tcPr>
            <w:tcW w:w="0" w:type="auto"/>
          </w:tcPr>
          <w:p>
            <w:pPr>
              <w:spacing w:line="240" w:lineRule="auto" w:before="0" w:after="0"/>
              <w:pStyle w:val="Compact"/>
            </w:pPr>
            <w:r>
              <w:rPr>
                <w:sz w:val="20"/>
                <w:szCs w:val="20"/>
              </w:rPr>
              <w:t xml:space="preserve">2.0648</w:t>
            </w:r>
          </w:p>
        </w:tc>
        <w:tc>
          <w:tcPr>
            <w:tcW w:w="0" w:type="auto"/>
          </w:tcPr>
          <w:p>
            <w:pPr>
              <w:spacing w:line="240" w:lineRule="auto" w:before="0" w:after="0"/>
              <w:pStyle w:val="Compact"/>
            </w:pPr>
            <w:r>
              <w:rPr>
                <w:sz w:val="20"/>
                <w:szCs w:val="20"/>
              </w:rPr>
              <w:t xml:space="preserve">0.0389</w:t>
            </w:r>
          </w:p>
        </w:tc>
        <w:tc>
          <w:tcPr>
            <w:tcW w:w="0" w:type="auto"/>
          </w:tcPr>
          <w:p>
            <w:pPr>
              <w:spacing w:line="240" w:lineRule="auto" w:before="0" w:after="0"/>
              <w:pStyle w:val="Compact"/>
            </w:pPr>
            <w:r>
              <w:rPr>
                <w:sz w:val="20"/>
                <w:szCs w:val="20"/>
              </w:rPr>
              <w:t xml:space="preserve">[0.0294, 1.1283]</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2.2964</w:t>
            </w:r>
          </w:p>
        </w:tc>
        <w:tc>
          <w:tcPr>
            <w:tcW w:w="0" w:type="auto"/>
          </w:tcPr>
          <w:p>
            <w:pPr>
              <w:spacing w:line="240" w:lineRule="auto" w:before="0" w:after="0"/>
              <w:pStyle w:val="Compact"/>
            </w:pPr>
            <w:r>
              <w:rPr>
                <w:sz w:val="20"/>
                <w:szCs w:val="20"/>
              </w:rPr>
              <w:t xml:space="preserve">0.6451</w:t>
            </w:r>
          </w:p>
        </w:tc>
        <w:tc>
          <w:tcPr>
            <w:tcW w:w="0" w:type="auto"/>
          </w:tcPr>
          <w:p>
            <w:pPr>
              <w:spacing w:line="240" w:lineRule="auto" w:before="0" w:after="0"/>
              <w:pStyle w:val="Compact"/>
            </w:pPr>
            <w:r>
              <w:rPr>
                <w:sz w:val="20"/>
                <w:szCs w:val="20"/>
              </w:rPr>
              <w:t xml:space="preserve">3.5597</w:t>
            </w:r>
          </w:p>
        </w:tc>
        <w:tc>
          <w:tcPr>
            <w:tcW w:w="0" w:type="auto"/>
          </w:tcPr>
          <w:p>
            <w:pPr>
              <w:spacing w:line="240" w:lineRule="auto" w:before="0" w:after="0"/>
              <w:pStyle w:val="Compact"/>
            </w:pPr>
            <w:r>
              <w:rPr>
                <w:sz w:val="20"/>
                <w:szCs w:val="20"/>
              </w:rPr>
              <w:t xml:space="preserve">0.0003713</w:t>
            </w:r>
          </w:p>
        </w:tc>
        <w:tc>
          <w:tcPr>
            <w:tcW w:w="0" w:type="auto"/>
          </w:tcPr>
          <w:p>
            <w:pPr>
              <w:spacing w:line="240" w:lineRule="auto" w:before="0" w:after="0"/>
              <w:pStyle w:val="Compact"/>
            </w:pPr>
            <w:r>
              <w:rPr>
                <w:sz w:val="20"/>
                <w:szCs w:val="20"/>
              </w:rPr>
              <w:t xml:space="preserve">[1.032, 3.5608]</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2.7008</w:t>
            </w:r>
          </w:p>
        </w:tc>
        <w:tc>
          <w:tcPr>
            <w:tcW w:w="0" w:type="auto"/>
          </w:tcPr>
          <w:p>
            <w:pPr>
              <w:spacing w:line="240" w:lineRule="auto" w:before="0" w:after="0"/>
              <w:pStyle w:val="Compact"/>
            </w:pPr>
            <w:r>
              <w:rPr>
                <w:sz w:val="20"/>
                <w:szCs w:val="20"/>
              </w:rPr>
              <w:t xml:space="preserve">0.5071</w:t>
            </w:r>
          </w:p>
        </w:tc>
        <w:tc>
          <w:tcPr>
            <w:tcW w:w="0" w:type="auto"/>
          </w:tcPr>
          <w:p>
            <w:pPr>
              <w:spacing w:line="240" w:lineRule="auto" w:before="0" w:after="0"/>
              <w:pStyle w:val="Compact"/>
            </w:pPr>
            <w:r>
              <w:rPr>
                <w:sz w:val="20"/>
                <w:szCs w:val="20"/>
              </w:rPr>
              <w:t xml:space="preserve">5.3258</w:t>
            </w:r>
          </w:p>
        </w:tc>
        <w:tc>
          <w:tcPr>
            <w:tcW w:w="0" w:type="auto"/>
          </w:tcPr>
          <w:p>
            <w:pPr>
              <w:spacing w:line="240" w:lineRule="auto" w:before="0" w:after="0"/>
              <w:pStyle w:val="Compact"/>
            </w:pPr>
            <w:r>
              <w:rPr>
                <w:sz w:val="20"/>
                <w:szCs w:val="20"/>
              </w:rPr>
              <w:t xml:space="preserve">1.005e-07</w:t>
            </w:r>
          </w:p>
        </w:tc>
        <w:tc>
          <w:tcPr>
            <w:tcW w:w="0" w:type="auto"/>
          </w:tcPr>
          <w:p>
            <w:pPr>
              <w:spacing w:line="240" w:lineRule="auto" w:before="0" w:after="0"/>
              <w:pStyle w:val="Compact"/>
            </w:pPr>
            <w:r>
              <w:rPr>
                <w:sz w:val="20"/>
                <w:szCs w:val="20"/>
              </w:rPr>
              <w:t xml:space="preserve">[1.7069, 3.6947]</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1.0827</w:t>
            </w:r>
          </w:p>
        </w:tc>
        <w:tc>
          <w:tcPr>
            <w:tcW w:w="0" w:type="auto"/>
          </w:tcPr>
          <w:p>
            <w:pPr>
              <w:spacing w:line="240" w:lineRule="auto" w:before="0" w:after="0"/>
              <w:pStyle w:val="Compact"/>
            </w:pPr>
            <w:r>
              <w:rPr>
                <w:sz w:val="20"/>
                <w:szCs w:val="20"/>
              </w:rPr>
              <w:t xml:space="preserve">0.4361</w:t>
            </w:r>
          </w:p>
        </w:tc>
        <w:tc>
          <w:tcPr>
            <w:tcW w:w="0" w:type="auto"/>
          </w:tcPr>
          <w:p>
            <w:pPr>
              <w:spacing w:line="240" w:lineRule="auto" w:before="0" w:after="0"/>
              <w:pStyle w:val="Compact"/>
            </w:pPr>
            <w:r>
              <w:rPr>
                <w:sz w:val="20"/>
                <w:szCs w:val="20"/>
              </w:rPr>
              <w:t xml:space="preserve">2.4828</w:t>
            </w:r>
          </w:p>
        </w:tc>
        <w:tc>
          <w:tcPr>
            <w:tcW w:w="0" w:type="auto"/>
          </w:tcPr>
          <w:p>
            <w:pPr>
              <w:spacing w:line="240" w:lineRule="auto" w:before="0" w:after="0"/>
              <w:pStyle w:val="Compact"/>
            </w:pPr>
            <w:r>
              <w:rPr>
                <w:sz w:val="20"/>
                <w:szCs w:val="20"/>
              </w:rPr>
              <w:t xml:space="preserve">0.013</w:t>
            </w:r>
          </w:p>
        </w:tc>
        <w:tc>
          <w:tcPr>
            <w:tcW w:w="0" w:type="auto"/>
          </w:tcPr>
          <w:p>
            <w:pPr>
              <w:spacing w:line="240" w:lineRule="auto" w:before="0" w:after="0"/>
              <w:pStyle w:val="Compact"/>
            </w:pPr>
            <w:r>
              <w:rPr>
                <w:sz w:val="20"/>
                <w:szCs w:val="20"/>
              </w:rPr>
              <w:t xml:space="preserve">[0.228, 1.9374]</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4.0005</w:t>
            </w:r>
          </w:p>
        </w:tc>
        <w:tc>
          <w:tcPr>
            <w:tcW w:w="0" w:type="auto"/>
          </w:tcPr>
          <w:p>
            <w:pPr>
              <w:spacing w:line="240" w:lineRule="auto" w:before="0" w:after="0"/>
              <w:pStyle w:val="Compact"/>
            </w:pPr>
            <w:r>
              <w:rPr>
                <w:sz w:val="20"/>
                <w:szCs w:val="20"/>
              </w:rPr>
              <w:t xml:space="preserve">0.8888</w:t>
            </w:r>
          </w:p>
        </w:tc>
        <w:tc>
          <w:tcPr>
            <w:tcW w:w="0" w:type="auto"/>
          </w:tcPr>
          <w:p>
            <w:pPr>
              <w:spacing w:line="240" w:lineRule="auto" w:before="0" w:after="0"/>
              <w:pStyle w:val="Compact"/>
            </w:pPr>
            <w:r>
              <w:rPr>
                <w:sz w:val="20"/>
                <w:szCs w:val="20"/>
              </w:rPr>
              <w:t xml:space="preserve">4.5009</w:t>
            </w:r>
          </w:p>
        </w:tc>
        <w:tc>
          <w:tcPr>
            <w:tcW w:w="0" w:type="auto"/>
          </w:tcPr>
          <w:p>
            <w:pPr>
              <w:spacing w:line="240" w:lineRule="auto" w:before="0" w:after="0"/>
              <w:pStyle w:val="Compact"/>
            </w:pPr>
            <w:r>
              <w:rPr>
                <w:sz w:val="20"/>
                <w:szCs w:val="20"/>
              </w:rPr>
              <w:t xml:space="preserve">6.766e-06</w:t>
            </w:r>
          </w:p>
        </w:tc>
        <w:tc>
          <w:tcPr>
            <w:tcW w:w="0" w:type="auto"/>
          </w:tcPr>
          <w:p>
            <w:pPr>
              <w:spacing w:line="240" w:lineRule="auto" w:before="0" w:after="0"/>
              <w:pStyle w:val="Compact"/>
            </w:pPr>
            <w:r>
              <w:rPr>
                <w:sz w:val="20"/>
                <w:szCs w:val="20"/>
              </w:rPr>
              <w:t xml:space="preserve">[2.2585, 5.7426]</w:t>
            </w:r>
          </w:p>
        </w:tc>
      </w:tr>
    </w:tbl>
    <w:p>
      <w:pPr>
        <w:pStyle w:val="BodyText"/>
      </w:pPr>
      <w:r>
        <w:t xml:space="preserve">Fit: N = 72 R2 = 0.5696 R2_adj = 0.5439 F = 46.1467 F_p = 1.44e-18</w:t>
      </w:r>
    </w:p>
    <w:p>
      <w:pPr>
        <w:pStyle w:val="CaptionedFigure"/>
      </w:pPr>
      <w:r>
        <w:drawing>
          <wp:inline>
            <wp:extent cx="5669280" cy="3657600"/>
            <wp:effectExtent b="0" l="0" r="0" t="0"/>
            <wp:docPr descr="Figure 1. LEO shell pressure by altitude midpoint. The fitted OLS is estimated on shell composition and regime variables." title="" id="87" name="Picture"/>
            <a:graphic>
              <a:graphicData uri="http://schemas.openxmlformats.org/drawingml/2006/picture">
                <pic:pic>
                  <pic:nvPicPr>
                    <pic:cNvPr descr="D:\Claude_Code\brain\collegium\candidates\dissertations\SPACE_ECON_01\research_papers\p1\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LEO shell pressure by altitude midpoint. The fitted OLS is estimated on shell composition and regime variables.</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shell_low_km</w:t>
            </w:r>
          </w:p>
        </w:tc>
        <w:tc>
          <w:tcPr>
            <w:tcW w:w="0" w:type="auto"/>
          </w:tcPr>
          <w:p>
            <w:pPr>
              <w:spacing w:line="240" w:lineRule="auto" w:before="0" w:after="0"/>
              <w:pStyle w:val="Compact"/>
            </w:pPr>
            <w:r>
              <w:rPr>
                <w:sz w:val="20"/>
                <w:szCs w:val="20"/>
              </w:rPr>
              <w:t xml:space="preserve">shell_high_km</w:t>
            </w:r>
          </w:p>
        </w:tc>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tracked_count</w:t>
            </w:r>
          </w:p>
        </w:tc>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active_payload_count</w:t>
            </w:r>
          </w:p>
        </w:tc>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log_count_plus_one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200_300_equatorial</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200_300_mid_inclination</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4.3944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200_300_sso_polar</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0.0345</w:t>
            </w:r>
          </w:p>
        </w:tc>
        <w:tc>
          <w:tcPr>
            <w:tcW w:w="0" w:type="auto"/>
          </w:tcPr>
          <w:p>
            <w:pPr>
              <w:spacing w:line="240" w:lineRule="auto" w:before="0" w:after="0"/>
              <w:pStyle w:val="Compact"/>
            </w:pPr>
            <w:r>
              <w:rPr>
                <w:sz w:val="20"/>
                <w:szCs w:val="20"/>
              </w:rPr>
              <w:t xml:space="preserve">0.8966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4.0775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200_300_retrograde_high</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300_400_equatorial</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300_400_mid_inclination</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993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0.9708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6.9017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300_400_sso_polar</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0.0803</w:t>
            </w:r>
          </w:p>
        </w:tc>
        <w:tc>
          <w:tcPr>
            <w:tcW w:w="0" w:type="auto"/>
          </w:tcPr>
          <w:p>
            <w:pPr>
              <w:spacing w:line="240" w:lineRule="auto" w:before="0" w:after="0"/>
              <w:pStyle w:val="Compact"/>
            </w:pPr>
            <w:r>
              <w:rPr>
                <w:sz w:val="20"/>
                <w:szCs w:val="20"/>
              </w:rPr>
              <w:t xml:space="preserve">0.7482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300_400_retrograde_high</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400_500_equatorial</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400_500_mid_inclination</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6811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6769</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0.9938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400_500_sso_polar</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1596</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1388</w:t>
            </w:r>
          </w:p>
        </w:tc>
        <w:tc>
          <w:tcPr>
            <w:tcW w:w="0" w:type="auto"/>
          </w:tcPr>
          <w:p>
            <w:pPr>
              <w:spacing w:line="240" w:lineRule="auto" w:before="0" w:after="0"/>
              <w:pStyle w:val="Compact"/>
            </w:pPr>
            <w:r>
              <w:rPr>
                <w:sz w:val="20"/>
                <w:szCs w:val="20"/>
              </w:rPr>
              <w:t xml:space="preserve">0.0677</w:t>
            </w:r>
          </w:p>
        </w:tc>
        <w:tc>
          <w:tcPr>
            <w:tcW w:w="0" w:type="auto"/>
          </w:tcPr>
          <w:p>
            <w:pPr>
              <w:spacing w:line="240" w:lineRule="auto" w:before="0" w:after="0"/>
              <w:pStyle w:val="Compact"/>
            </w:pPr>
            <w:r>
              <w:rPr>
                <w:sz w:val="20"/>
                <w:szCs w:val="20"/>
              </w:rPr>
              <w:t xml:space="preserve">0.8697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7.3759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400_500_retrograde_high</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500_600_equatorial</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0.7742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500_600_mid_inclination</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1462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1391</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0.9514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7.2882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500_600_sso_polar</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2672</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2236</w:t>
            </w:r>
          </w:p>
        </w:tc>
        <w:tc>
          <w:tcPr>
            <w:tcW w:w="0" w:type="auto"/>
          </w:tcPr>
          <w:p>
            <w:pPr>
              <w:spacing w:line="240" w:lineRule="auto" w:before="0" w:after="0"/>
              <w:pStyle w:val="Compact"/>
            </w:pPr>
            <w:r>
              <w:rPr>
                <w:sz w:val="20"/>
                <w:szCs w:val="20"/>
              </w:rPr>
              <w:t xml:space="preserve">0.1141</w:t>
            </w:r>
          </w:p>
        </w:tc>
        <w:tc>
          <w:tcPr>
            <w:tcW w:w="0" w:type="auto"/>
          </w:tcPr>
          <w:p>
            <w:pPr>
              <w:spacing w:line="240" w:lineRule="auto" w:before="0" w:after="0"/>
              <w:pStyle w:val="Compact"/>
            </w:pPr>
            <w:r>
              <w:rPr>
                <w:sz w:val="20"/>
                <w:szCs w:val="20"/>
              </w:rPr>
              <w:t xml:space="preserve">0.8368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7.891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500_600_retrograde_high</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0.1429</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600_700_equatorial</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0.2917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600_700_mid_inclination</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0.1259</w:t>
            </w:r>
          </w:p>
        </w:tc>
        <w:tc>
          <w:tcPr>
            <w:tcW w:w="0" w:type="auto"/>
          </w:tcPr>
          <w:p>
            <w:pPr>
              <w:spacing w:line="240" w:lineRule="auto" w:before="0" w:after="0"/>
              <w:pStyle w:val="Compact"/>
            </w:pPr>
            <w:r>
              <w:rPr>
                <w:sz w:val="20"/>
                <w:szCs w:val="20"/>
              </w:rPr>
              <w:t xml:space="preserve">0.7852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6.0064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600_700_sso_polar</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1444</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0.6676</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7.2759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600_700_retrograde_high</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700_800_equatorial</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0.3125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700_800_mid_inclination</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0.635</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700_800_sso_polar</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2441</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0.8095</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7.8006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700_800_retrograde_high</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800_900_equatorial</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0.4167</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800_900_mid_inclination</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0.5723</w:t>
            </w:r>
          </w:p>
        </w:tc>
        <w:tc>
          <w:tcPr>
            <w:tcW w:w="0" w:type="auto"/>
          </w:tcPr>
          <w:p>
            <w:pPr>
              <w:spacing w:line="240" w:lineRule="auto" w:before="0" w:after="0"/>
              <w:pStyle w:val="Compact"/>
            </w:pPr>
            <w:r>
              <w:rPr>
                <w:sz w:val="20"/>
                <w:szCs w:val="20"/>
              </w:rPr>
              <w:t xml:space="preserve">0.2704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800_900_sso_polar</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2757</w:t>
            </w:r>
          </w:p>
        </w:tc>
        <w:tc>
          <w:tcPr>
            <w:tcW w:w="0" w:type="auto"/>
          </w:tcPr>
          <w:p>
            <w:pPr>
              <w:spacing w:line="240" w:lineRule="auto" w:before="0" w:after="0"/>
              <w:pStyle w:val="Compact"/>
            </w:pPr>
            <w:r>
              <w:rPr>
                <w:sz w:val="20"/>
                <w:szCs w:val="20"/>
              </w:rPr>
              <w:t xml:space="preserve">2424</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0.8792</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7.9223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800_900_retrograde_high</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900_1000_equatorial</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0.7857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900_1000_mid_inclination</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0.6342</w:t>
            </w:r>
          </w:p>
        </w:tc>
        <w:tc>
          <w:tcPr>
            <w:tcW w:w="0" w:type="auto"/>
          </w:tcPr>
          <w:p>
            <w:pPr>
              <w:spacing w:line="240" w:lineRule="auto" w:before="0" w:after="0"/>
              <w:pStyle w:val="Compact"/>
            </w:pPr>
            <w:r>
              <w:rPr>
                <w:sz w:val="20"/>
                <w:szCs w:val="20"/>
              </w:rPr>
              <w:t xml:space="preserve">0.1158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5.9428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900_1000_sso_polar</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1477</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0.6615</w:t>
            </w:r>
          </w:p>
        </w:tc>
        <w:tc>
          <w:tcPr>
            <w:tcW w:w="0" w:type="auto"/>
          </w:tcPr>
          <w:p>
            <w:pPr>
              <w:spacing w:line="240" w:lineRule="auto" w:before="0" w:after="0"/>
              <w:pStyle w:val="Compact"/>
            </w:pPr>
            <w:r>
              <w:rPr>
                <w:sz w:val="20"/>
                <w:szCs w:val="20"/>
              </w:rPr>
              <w:t xml:space="preserve">0.0779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7.2984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900_1000_retrograde_high</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1000_1100_equatorial</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0.5625</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1000_1100_mid_inclination</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0.6386</w:t>
            </w:r>
          </w:p>
        </w:tc>
        <w:tc>
          <w:tcPr>
            <w:tcW w:w="0" w:type="auto"/>
          </w:tcPr>
          <w:p>
            <w:pPr>
              <w:spacing w:line="240" w:lineRule="auto" w:before="0" w:after="0"/>
              <w:pStyle w:val="Compact"/>
            </w:pPr>
            <w:r>
              <w:rPr>
                <w:sz w:val="20"/>
                <w:szCs w:val="20"/>
              </w:rPr>
              <w:t xml:space="preserve">0.1782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5.3132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1000_1100_sso_polar</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711</w:t>
            </w:r>
          </w:p>
        </w:tc>
        <w:tc>
          <w:tcPr>
            <w:tcW w:w="0" w:type="auto"/>
          </w:tcPr>
          <w:p>
            <w:pPr>
              <w:spacing w:line="240" w:lineRule="auto" w:before="0" w:after="0"/>
              <w:pStyle w:val="Compact"/>
            </w:pPr>
            <w:r>
              <w:rPr>
                <w:sz w:val="20"/>
                <w:szCs w:val="20"/>
              </w:rPr>
              <w:t xml:space="preserve">522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0.7342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6.5681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1000_1100_retrograde_high</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1100_1200_equatorial</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0.6429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1100_1200_mid_inclination</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0.3364</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5.3706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1100_1200_sso_polar</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752</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0.4202</w:t>
            </w:r>
          </w:p>
        </w:tc>
        <w:tc>
          <w:tcPr>
            <w:tcW w:w="0" w:type="auto"/>
          </w:tcPr>
          <w:p>
            <w:pPr>
              <w:spacing w:line="240" w:lineRule="auto" w:before="0" w:after="0"/>
              <w:pStyle w:val="Compact"/>
            </w:pPr>
            <w:r>
              <w:rPr>
                <w:sz w:val="20"/>
                <w:szCs w:val="20"/>
              </w:rPr>
              <w:t xml:space="preserve">0.5133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6.6241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1100_1200_retrograde_high</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1200_1300_equatorial</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1200_1300_mid_inclination</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4.1271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1200_1300_sso_polar</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669</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0.4738</w:t>
            </w:r>
          </w:p>
        </w:tc>
        <w:tc>
          <w:tcPr>
            <w:tcW w:w="0" w:type="auto"/>
          </w:tcPr>
          <w:p>
            <w:pPr>
              <w:spacing w:line="240" w:lineRule="auto" w:before="0" w:after="0"/>
              <w:pStyle w:val="Compact"/>
            </w:pPr>
            <w:r>
              <w:rPr>
                <w:sz w:val="20"/>
                <w:szCs w:val="20"/>
              </w:rPr>
              <w:t xml:space="preserve">0.5067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6.5073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1200_1300_retrograde_high</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1300_1400_equatorial</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1300_1400_mid_inclination</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0.7231</w:t>
            </w:r>
          </w:p>
        </w:tc>
        <w:tc>
          <w:tcPr>
            <w:tcW w:w="0" w:type="auto"/>
          </w:tcPr>
          <w:p>
            <w:pPr>
              <w:spacing w:line="240" w:lineRule="auto" w:before="0" w:after="0"/>
              <w:pStyle w:val="Compact"/>
            </w:pPr>
            <w:r>
              <w:rPr>
                <w:sz w:val="20"/>
                <w:szCs w:val="20"/>
              </w:rPr>
              <w:t xml:space="preserve">0.0462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4.1897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1300_1400_sso_polar</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0.7572</w:t>
            </w:r>
          </w:p>
        </w:tc>
        <w:tc>
          <w:tcPr>
            <w:tcW w:w="0" w:type="auto"/>
          </w:tcPr>
          <w:p>
            <w:pPr>
              <w:spacing w:line="240" w:lineRule="auto" w:before="0" w:after="0"/>
              <w:pStyle w:val="Compact"/>
            </w:pPr>
            <w:r>
              <w:rPr>
                <w:sz w:val="20"/>
                <w:szCs w:val="20"/>
              </w:rPr>
              <w:t xml:space="preserve">0.0041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1300_1400_retrograde_high</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1400_1500_equatorial</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1400_1500_mid_inclination</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0.5856</w:t>
            </w:r>
          </w:p>
        </w:tc>
        <w:tc>
          <w:tcPr>
            <w:tcW w:w="0" w:type="auto"/>
          </w:tcPr>
          <w:p>
            <w:pPr>
              <w:spacing w:line="240" w:lineRule="auto" w:before="0" w:after="0"/>
              <w:pStyle w:val="Compact"/>
            </w:pPr>
            <w:r>
              <w:rPr>
                <w:sz w:val="20"/>
                <w:szCs w:val="20"/>
              </w:rPr>
              <w:t xml:space="preserve">0.2432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1400_1500_sso_polar</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844</w:t>
            </w:r>
          </w:p>
        </w:tc>
        <w:tc>
          <w:tcPr>
            <w:tcW w:w="0" w:type="auto"/>
          </w:tcPr>
          <w:p>
            <w:pPr>
              <w:spacing w:line="240" w:lineRule="auto" w:before="0" w:after="0"/>
              <w:pStyle w:val="Compact"/>
            </w:pPr>
            <w:r>
              <w:rPr>
                <w:sz w:val="20"/>
                <w:szCs w:val="20"/>
              </w:rPr>
              <w:t xml:space="preserve">279</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0.3306</w:t>
            </w:r>
          </w:p>
        </w:tc>
        <w:tc>
          <w:tcPr>
            <w:tcW w:w="0" w:type="auto"/>
          </w:tcPr>
          <w:p>
            <w:pPr>
              <w:spacing w:line="240" w:lineRule="auto" w:before="0" w:after="0"/>
              <w:pStyle w:val="Compact"/>
            </w:pPr>
            <w:r>
              <w:rPr>
                <w:sz w:val="20"/>
                <w:szCs w:val="20"/>
              </w:rPr>
              <w:t xml:space="preserve">0.0735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6.7393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1400_1500_retrograde_high</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1500_1600_equatorial</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1500_1600_mid_inclination</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0.6974</w:t>
            </w:r>
          </w:p>
        </w:tc>
        <w:tc>
          <w:tcPr>
            <w:tcW w:w="0" w:type="auto"/>
          </w:tcPr>
          <w:p>
            <w:pPr>
              <w:spacing w:line="240" w:lineRule="auto" w:before="0" w:after="0"/>
              <w:pStyle w:val="Compact"/>
            </w:pPr>
            <w:r>
              <w:rPr>
                <w:sz w:val="20"/>
                <w:szCs w:val="20"/>
              </w:rPr>
              <w:t xml:space="preserve">0.0263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4.3438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1500_1600_sso_polar</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414</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0.7246</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6.0283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1500_1600_retrograde_high</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1600_1700_equatorial</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1600_1700_mid_inclination</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3.8286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1600_1700_sso_polar</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1600_1700_retrograde_high</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1700_1800_equatorial</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1700_1800_mid_inclination</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3.9703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1700_1800_sso_polar</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1700_1800_retrograde_high</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1800_1900_equatorial</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1800_1900_mid_inclination</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0.0556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1800_1900_sso_polar</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1800_1900_retrograde_high</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1900_2000_equatorial</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1900_2000_mid_inclination</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0.7692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1900_2000_sso_polar</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1900_2000_retrograde_high</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log_count_plus_one</w:t>
            </w:r>
          </w:p>
        </w:tc>
        <w:tc>
          <w:tcPr>
            <w:tcW w:w="0" w:type="auto"/>
          </w:tcPr>
          <w:p>
            <w:pPr>
              <w:spacing w:line="240" w:lineRule="auto" w:before="0" w:after="0"/>
              <w:pStyle w:val="Compact"/>
            </w:pPr>
            <w:r>
              <w:rPr>
                <w:sz w:val="20"/>
                <w:szCs w:val="20"/>
              </w:rPr>
              <w:t xml:space="preserve">Natural logarithm of one plus tracked non-decayed Earth-orbit objects in the shell and inclination bin</w:t>
            </w:r>
          </w:p>
        </w:tc>
        <w:tc>
          <w:tcPr>
            <w:tcW w:w="0" w:type="auto"/>
          </w:tcPr>
          <w:p>
            <w:pPr>
              <w:spacing w:line="240" w:lineRule="auto" w:before="0" w:after="0"/>
              <w:pStyle w:val="Compact"/>
            </w:pPr>
            <w:r>
              <w:rPr>
                <w:sz w:val="20"/>
                <w:szCs w:val="20"/>
              </w:rPr>
              <w:t xml:space="preserve">Computed from CelesTrak SATCAT rows with ORBIT_CENTER EA, blank DECAY_DATE, and mean altitude 200 to 2000 km</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Share of tracked objects in the shell classified as debris</w:t>
            </w:r>
          </w:p>
        </w:tc>
        <w:tc>
          <w:tcPr>
            <w:tcW w:w="0" w:type="auto"/>
          </w:tcPr>
          <w:p>
            <w:pPr>
              <w:spacing w:line="240" w:lineRule="auto" w:before="0" w:after="0"/>
              <w:pStyle w:val="Compact"/>
            </w:pPr>
            <w:r>
              <w:rPr>
                <w:sz w:val="20"/>
                <w:szCs w:val="20"/>
              </w:rPr>
              <w:t xml:space="preserve">OBJECT_TYPE DEB divided by tracked_count</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Indicator for the sun-synchronous or polar inclination regime</w:t>
            </w:r>
          </w:p>
        </w:tc>
        <w:tc>
          <w:tcPr>
            <w:tcW w:w="0" w:type="auto"/>
          </w:tcPr>
          <w:p>
            <w:pPr>
              <w:spacing w:line="240" w:lineRule="auto" w:before="0" w:after="0"/>
              <w:pStyle w:val="Compact"/>
            </w:pPr>
            <w:r>
              <w:rPr>
                <w:sz w:val="20"/>
                <w:szCs w:val="20"/>
              </w:rPr>
              <w:t xml:space="preserve">Derived from SATCAT inclination field</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Indicator for shell midpoint from 500 km to less than 900 km</w:t>
            </w:r>
          </w:p>
        </w:tc>
        <w:tc>
          <w:tcPr>
            <w:tcW w:w="0" w:type="auto"/>
          </w:tcPr>
          <w:p>
            <w:pPr>
              <w:spacing w:line="240" w:lineRule="auto" w:before="0" w:after="0"/>
              <w:pStyle w:val="Compact"/>
            </w:pPr>
            <w:r>
              <w:rPr>
                <w:sz w:val="20"/>
                <w:szCs w:val="20"/>
              </w:rPr>
              <w:t xml:space="preserve">Policy-critical traffic band used in LEO congestion discussions</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Share of tracked objects that are operational or partially operational payloads</w:t>
            </w:r>
          </w:p>
        </w:tc>
        <w:tc>
          <w:tcPr>
            <w:tcW w:w="0" w:type="auto"/>
          </w:tcPr>
          <w:p>
            <w:pPr>
              <w:spacing w:line="240" w:lineRule="auto" w:before="0" w:after="0"/>
              <w:pStyle w:val="Compact"/>
            </w:pPr>
            <w:r>
              <w:rPr>
                <w:sz w:val="20"/>
                <w:szCs w:val="20"/>
              </w:rPr>
              <w:t xml:space="preserve">OBJECT_TYPE PAY with active status divided by tracked_count</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0.5788</w:t>
            </w:r>
          </w:p>
        </w:tc>
        <w:tc>
          <w:tcPr>
            <w:tcW w:w="0" w:type="auto"/>
          </w:tcPr>
          <w:p>
            <w:pPr>
              <w:spacing w:line="240" w:lineRule="auto" w:before="0" w:after="0"/>
              <w:pStyle w:val="Compact"/>
            </w:pPr>
            <w:r>
              <w:rPr>
                <w:sz w:val="20"/>
                <w:szCs w:val="20"/>
              </w:rPr>
              <w:t xml:space="preserve">0.2803</w:t>
            </w:r>
          </w:p>
        </w:tc>
        <w:tc>
          <w:tcPr>
            <w:tcW w:w="0" w:type="auto"/>
          </w:tcPr>
          <w:p>
            <w:pPr>
              <w:spacing w:line="240" w:lineRule="auto" w:before="0" w:after="0"/>
              <w:pStyle w:val="Compact"/>
            </w:pPr>
            <w:r>
              <w:rPr>
                <w:sz w:val="20"/>
                <w:szCs w:val="20"/>
              </w:rPr>
              <w:t xml:space="preserve">2.0648</w:t>
            </w:r>
          </w:p>
        </w:tc>
        <w:tc>
          <w:tcPr>
            <w:tcW w:w="0" w:type="auto"/>
          </w:tcPr>
          <w:p>
            <w:pPr>
              <w:spacing w:line="240" w:lineRule="auto" w:before="0" w:after="0"/>
              <w:pStyle w:val="Compact"/>
            </w:pPr>
            <w:r>
              <w:rPr>
                <w:sz w:val="20"/>
                <w:szCs w:val="20"/>
              </w:rPr>
              <w:t xml:space="preserve">0.0389</w:t>
            </w:r>
          </w:p>
        </w:tc>
        <w:tc>
          <w:tcPr>
            <w:tcW w:w="0" w:type="auto"/>
          </w:tcPr>
          <w:p>
            <w:pPr>
              <w:spacing w:line="240" w:lineRule="auto" w:before="0" w:after="0"/>
              <w:pStyle w:val="Compact"/>
            </w:pPr>
            <w:r>
              <w:rPr>
                <w:sz w:val="20"/>
                <w:szCs w:val="20"/>
              </w:rPr>
              <w:t xml:space="preserve">[0.0294, 1.1283]</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2.2964</w:t>
            </w:r>
          </w:p>
        </w:tc>
        <w:tc>
          <w:tcPr>
            <w:tcW w:w="0" w:type="auto"/>
          </w:tcPr>
          <w:p>
            <w:pPr>
              <w:spacing w:line="240" w:lineRule="auto" w:before="0" w:after="0"/>
              <w:pStyle w:val="Compact"/>
            </w:pPr>
            <w:r>
              <w:rPr>
                <w:sz w:val="20"/>
                <w:szCs w:val="20"/>
              </w:rPr>
              <w:t xml:space="preserve">0.6451</w:t>
            </w:r>
          </w:p>
        </w:tc>
        <w:tc>
          <w:tcPr>
            <w:tcW w:w="0" w:type="auto"/>
          </w:tcPr>
          <w:p>
            <w:pPr>
              <w:spacing w:line="240" w:lineRule="auto" w:before="0" w:after="0"/>
              <w:pStyle w:val="Compact"/>
            </w:pPr>
            <w:r>
              <w:rPr>
                <w:sz w:val="20"/>
                <w:szCs w:val="20"/>
              </w:rPr>
              <w:t xml:space="preserve">3.5597</w:t>
            </w:r>
          </w:p>
        </w:tc>
        <w:tc>
          <w:tcPr>
            <w:tcW w:w="0" w:type="auto"/>
          </w:tcPr>
          <w:p>
            <w:pPr>
              <w:spacing w:line="240" w:lineRule="auto" w:before="0" w:after="0"/>
              <w:pStyle w:val="Compact"/>
            </w:pPr>
            <w:r>
              <w:rPr>
                <w:sz w:val="20"/>
                <w:szCs w:val="20"/>
              </w:rPr>
              <w:t xml:space="preserve">0.0003713</w:t>
            </w:r>
          </w:p>
        </w:tc>
        <w:tc>
          <w:tcPr>
            <w:tcW w:w="0" w:type="auto"/>
          </w:tcPr>
          <w:p>
            <w:pPr>
              <w:spacing w:line="240" w:lineRule="auto" w:before="0" w:after="0"/>
              <w:pStyle w:val="Compact"/>
            </w:pPr>
            <w:r>
              <w:rPr>
                <w:sz w:val="20"/>
                <w:szCs w:val="20"/>
              </w:rPr>
              <w:t xml:space="preserve">[1.032, 3.5608]</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2.7008</w:t>
            </w:r>
          </w:p>
        </w:tc>
        <w:tc>
          <w:tcPr>
            <w:tcW w:w="0" w:type="auto"/>
          </w:tcPr>
          <w:p>
            <w:pPr>
              <w:spacing w:line="240" w:lineRule="auto" w:before="0" w:after="0"/>
              <w:pStyle w:val="Compact"/>
            </w:pPr>
            <w:r>
              <w:rPr>
                <w:sz w:val="20"/>
                <w:szCs w:val="20"/>
              </w:rPr>
              <w:t xml:space="preserve">0.5071</w:t>
            </w:r>
          </w:p>
        </w:tc>
        <w:tc>
          <w:tcPr>
            <w:tcW w:w="0" w:type="auto"/>
          </w:tcPr>
          <w:p>
            <w:pPr>
              <w:spacing w:line="240" w:lineRule="auto" w:before="0" w:after="0"/>
              <w:pStyle w:val="Compact"/>
            </w:pPr>
            <w:r>
              <w:rPr>
                <w:sz w:val="20"/>
                <w:szCs w:val="20"/>
              </w:rPr>
              <w:t xml:space="preserve">5.3258</w:t>
            </w:r>
          </w:p>
        </w:tc>
        <w:tc>
          <w:tcPr>
            <w:tcW w:w="0" w:type="auto"/>
          </w:tcPr>
          <w:p>
            <w:pPr>
              <w:spacing w:line="240" w:lineRule="auto" w:before="0" w:after="0"/>
              <w:pStyle w:val="Compact"/>
            </w:pPr>
            <w:r>
              <w:rPr>
                <w:sz w:val="20"/>
                <w:szCs w:val="20"/>
              </w:rPr>
              <w:t xml:space="preserve">1.005e-07</w:t>
            </w:r>
          </w:p>
        </w:tc>
        <w:tc>
          <w:tcPr>
            <w:tcW w:w="0" w:type="auto"/>
          </w:tcPr>
          <w:p>
            <w:pPr>
              <w:spacing w:line="240" w:lineRule="auto" w:before="0" w:after="0"/>
              <w:pStyle w:val="Compact"/>
            </w:pPr>
            <w:r>
              <w:rPr>
                <w:sz w:val="20"/>
                <w:szCs w:val="20"/>
              </w:rPr>
              <w:t xml:space="preserve">[1.7069, 3.6947]</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1.0827</w:t>
            </w:r>
          </w:p>
        </w:tc>
        <w:tc>
          <w:tcPr>
            <w:tcW w:w="0" w:type="auto"/>
          </w:tcPr>
          <w:p>
            <w:pPr>
              <w:spacing w:line="240" w:lineRule="auto" w:before="0" w:after="0"/>
              <w:pStyle w:val="Compact"/>
            </w:pPr>
            <w:r>
              <w:rPr>
                <w:sz w:val="20"/>
                <w:szCs w:val="20"/>
              </w:rPr>
              <w:t xml:space="preserve">0.4361</w:t>
            </w:r>
          </w:p>
        </w:tc>
        <w:tc>
          <w:tcPr>
            <w:tcW w:w="0" w:type="auto"/>
          </w:tcPr>
          <w:p>
            <w:pPr>
              <w:spacing w:line="240" w:lineRule="auto" w:before="0" w:after="0"/>
              <w:pStyle w:val="Compact"/>
            </w:pPr>
            <w:r>
              <w:rPr>
                <w:sz w:val="20"/>
                <w:szCs w:val="20"/>
              </w:rPr>
              <w:t xml:space="preserve">2.4828</w:t>
            </w:r>
          </w:p>
        </w:tc>
        <w:tc>
          <w:tcPr>
            <w:tcW w:w="0" w:type="auto"/>
          </w:tcPr>
          <w:p>
            <w:pPr>
              <w:spacing w:line="240" w:lineRule="auto" w:before="0" w:after="0"/>
              <w:pStyle w:val="Compact"/>
            </w:pPr>
            <w:r>
              <w:rPr>
                <w:sz w:val="20"/>
                <w:szCs w:val="20"/>
              </w:rPr>
              <w:t xml:space="preserve">0.013</w:t>
            </w:r>
          </w:p>
        </w:tc>
        <w:tc>
          <w:tcPr>
            <w:tcW w:w="0" w:type="auto"/>
          </w:tcPr>
          <w:p>
            <w:pPr>
              <w:spacing w:line="240" w:lineRule="auto" w:before="0" w:after="0"/>
              <w:pStyle w:val="Compact"/>
            </w:pPr>
            <w:r>
              <w:rPr>
                <w:sz w:val="20"/>
                <w:szCs w:val="20"/>
              </w:rPr>
              <w:t xml:space="preserve">[0.228, 1.9374]</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4.0005</w:t>
            </w:r>
          </w:p>
        </w:tc>
        <w:tc>
          <w:tcPr>
            <w:tcW w:w="0" w:type="auto"/>
          </w:tcPr>
          <w:p>
            <w:pPr>
              <w:spacing w:line="240" w:lineRule="auto" w:before="0" w:after="0"/>
              <w:pStyle w:val="Compact"/>
            </w:pPr>
            <w:r>
              <w:rPr>
                <w:sz w:val="20"/>
                <w:szCs w:val="20"/>
              </w:rPr>
              <w:t xml:space="preserve">0.8888</w:t>
            </w:r>
          </w:p>
        </w:tc>
        <w:tc>
          <w:tcPr>
            <w:tcW w:w="0" w:type="auto"/>
          </w:tcPr>
          <w:p>
            <w:pPr>
              <w:spacing w:line="240" w:lineRule="auto" w:before="0" w:after="0"/>
              <w:pStyle w:val="Compact"/>
            </w:pPr>
            <w:r>
              <w:rPr>
                <w:sz w:val="20"/>
                <w:szCs w:val="20"/>
              </w:rPr>
              <w:t xml:space="preserve">4.5009</w:t>
            </w:r>
          </w:p>
        </w:tc>
        <w:tc>
          <w:tcPr>
            <w:tcW w:w="0" w:type="auto"/>
          </w:tcPr>
          <w:p>
            <w:pPr>
              <w:spacing w:line="240" w:lineRule="auto" w:before="0" w:after="0"/>
              <w:pStyle w:val="Compact"/>
            </w:pPr>
            <w:r>
              <w:rPr>
                <w:sz w:val="20"/>
                <w:szCs w:val="20"/>
              </w:rPr>
              <w:t xml:space="preserve">6.766e-06</w:t>
            </w:r>
          </w:p>
        </w:tc>
        <w:tc>
          <w:tcPr>
            <w:tcW w:w="0" w:type="auto"/>
          </w:tcPr>
          <w:p>
            <w:pPr>
              <w:spacing w:line="240" w:lineRule="auto" w:before="0" w:after="0"/>
              <w:pStyle w:val="Compact"/>
            </w:pPr>
            <w:r>
              <w:rPr>
                <w:sz w:val="20"/>
                <w:szCs w:val="20"/>
              </w:rPr>
              <w:t xml:space="preserve">[2.2585, 5.7426]</w:t>
            </w:r>
          </w:p>
        </w:tc>
      </w:tr>
    </w:tbl>
    <w:p>
      <w:pPr>
        <w:pStyle w:val="BodyText"/>
      </w:pPr>
      <w:r>
        <w:t xml:space="preserve">Fit: N = 72 R2 = 0.5696 R2_adj = 0.5439 F = 46.1467 F_p = 1.44e-18</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72" Target="https://doi.org/10.1016/j.actaastro.2022.05.045" TargetMode="External" /><Relationship Type="http://schemas.openxmlformats.org/officeDocument/2006/relationships/hyperlink" Id="rId78" Target="https://doi.org/10.1016/j.actaastro.2025.03.034" TargetMode="External" /><Relationship Type="http://schemas.openxmlformats.org/officeDocument/2006/relationships/hyperlink" Id="rId76" Target="https://doi.org/10.1016/j.actaastro.2025.06.029" TargetMode="External" /><Relationship Type="http://schemas.openxmlformats.org/officeDocument/2006/relationships/hyperlink" Id="rId83" Target="https://doi.org/10.1257/jep.32.2.173" TargetMode="External" /><Relationship Type="http://schemas.openxmlformats.org/officeDocument/2006/relationships/hyperlink" Id="rId81" Target="https://doi.org/10.64861/FKER7625" TargetMode="External" /><Relationship Type="http://schemas.openxmlformats.org/officeDocument/2006/relationships/hyperlink" Id="rId74" Target="https://doi.org/10.64861/IGYM9299"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2.05.045" TargetMode="External" /><Relationship Type="http://schemas.openxmlformats.org/officeDocument/2006/relationships/hyperlink" Id="rId78" Target="https://doi.org/10.1016/j.actaastro.2025.03.034" TargetMode="External" /><Relationship Type="http://schemas.openxmlformats.org/officeDocument/2006/relationships/hyperlink" Id="rId76" Target="https://doi.org/10.1016/j.actaastro.2025.06.029" TargetMode="External" /><Relationship Type="http://schemas.openxmlformats.org/officeDocument/2006/relationships/hyperlink" Id="rId83" Target="https://doi.org/10.1257/jep.32.2.173" TargetMode="External" /><Relationship Type="http://schemas.openxmlformats.org/officeDocument/2006/relationships/hyperlink" Id="rId81" Target="https://doi.org/10.64861/FKER7625" TargetMode="External" /><Relationship Type="http://schemas.openxmlformats.org/officeDocument/2006/relationships/hyperlink" Id="rId74" Target="https://doi.org/10.64861/IGYM929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2026-06-27T23:53:46Z</dcterms:created>
  <dcterms:modified xsi:type="dcterms:W3CDTF">2026-06-27T23:53:46Z</dcterms:modified>
</cp:coreProperties>
</file>

<file path=docProps/custom.xml><?xml version="1.0" encoding="utf-8"?>
<Properties xmlns="http://schemas.openxmlformats.org/officeDocument/2006/custom-properties" xmlns:vt="http://schemas.openxmlformats.org/officeDocument/2006/docPropsVTypes"/>
</file>