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PRICING THE ORBITAL COMMONS: AN EMPIRICAL ORBITAL-USE-FEE SCHEDULE FROM COLLISION-RISK SHADOW PRICES</w:t>
      </w:r>
    </w:p>
    <w:p>
      <w:pPr>
        <w:jc w:val="center"/>
      </w:pPr>
    </w:p>
    <w:p>
      <w:pPr>
        <w:jc w:val="center"/>
      </w:pPr>
      <w:r>
        <w:rPr>
          <w:rFonts w:ascii="Times New Roman" w:hAnsi="Times New Roman"/>
          <w:sz w:val="24"/>
        </w:rPr>
        <w:t>by</w:t>
      </w:r>
    </w:p>
    <w:p>
      <w:pPr>
        <w:jc w:val="center"/>
      </w:pPr>
      <w:r>
        <w:rPr>
          <w:rFonts w:ascii="Times New Roman" w:hAnsi="Times New Roman"/>
          <w:b/>
          <w:sz w:val="28"/>
        </w:rPr>
        <w:t>Eleanor Sklar</w:t>
      </w:r>
    </w:p>
    <w:p>
      <w:pPr>
        <w:jc w:val="center"/>
      </w:pPr>
      <w:r>
        <w:rPr>
          <w:rFonts w:ascii="Times New Roman" w:hAnsi="Times New Roman"/>
          <w:sz w:val="24"/>
        </w:rPr>
        <w:t>1B-ECO-154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X84b110240d1ead29fbfbb9cdee9c0d9661bd9a9"/>
    <w:p>
      <w:pPr>
        <w:pStyle w:val="Heading1"/>
        <w:spacing w:line="480" w:lineRule="auto"/>
      </w:pPr>
      <w:r>
        <w:t xml:space="preserve">Chapter 1. Introduction: Pricing the Orbital Commons</w:t>
      </w:r>
    </w:p>
    <w:p>
      <w:pPr>
        <w:pStyle w:val="FirstParagraph"/>
        <w:spacing w:line="480" w:lineRule="auto"/>
      </w:pPr>
      <w:r>
        <w:t xml:space="preserve">Nobody is billed for the crowding in low Earth orbit, and the orbit is crowded. Put one more satellite into a busy altitude shell and you push up the conjunction workload, the odds of a collision, and the debris hazard that will outlast the mission, and all of that lands on the neighbors rather than on you. The firm that launches keeps the upside. Its neighbors absorb the downside. Economists have been describing that split since long before anyone reached orbit, and it has now followed us upward, a few hundred kilometers overhead at eight kilometers a second, still carrying no price tag.</w:t>
      </w:r>
    </w:p>
    <w:p>
      <w:pPr>
        <w:pStyle w:val="BodyText"/>
        <w:spacing w:line="480" w:lineRule="auto"/>
        <w:ind w:firstLine="720"/>
      </w:pPr>
      <w:r>
        <w:t xml:space="preserve">What follows is built around one question, and the question is narrow enough to be answered wrong. Is the marginal cost of squeezing an extra object into a shell roughly flat across shells, in which case a single administrative fee would price the commons about right, or does it bend with what the shell already holds, so that only a tiered schedule fits? Answer that, and you have decided whether the cheapest instrument on the table is honest or whether it quietly overbills the empty parts of orbit and underbills the full ones.</w:t>
      </w:r>
    </w:p>
    <w:p>
      <w:pPr>
        <w:pStyle w:val="BodyText"/>
        <w:spacing w:line="480" w:lineRule="auto"/>
        <w:ind w:firstLine="720"/>
      </w:pPr>
      <w:r>
        <w:t xml:space="preserve">None of this is theoretical housekeeping. Fee ideas are live at both the national desk and the multilateral table right now, running from launch charges through occupancy levies to insurance-linked bonds, and nearly every one of them, pared down, resolves to a lone figure: a filing surcharge, a levy by the kilogram, a flat toll to fly. The appeal of a lone figure is obvious, since it is trivial to write into law and trivial to check. Trouble is, the tracked environment refuses to be uniform. Fragments pile up in some shells, working fleets converge on some inclinations, and the sun-synchronous corridor draws traffic far past what its slice of orbital volume would suggest</w:t>
      </w:r>
      <w:r>
        <w:t xml:space="preserve"> </w:t>
      </w:r>
      <w:hyperlink w:anchor="ref-15">
        <w:r>
          <w:rPr>
            <w:rStyle w:val="Hyperlink"/>
          </w:rPr>
          <w:t xml:space="preserve">[15]</w:t>
        </w:r>
      </w:hyperlink>
      <w:r>
        <w:t xml:space="preserve">. Against pressure that lopsided, a single fee is no longer a tidy shortcut; it becomes a mispricing whose sign you can predict in advance, too cheap where the shell is packed and too dear where the shell is bare.</w:t>
      </w:r>
    </w:p>
    <w:bookmarkStart w:id="61" w:name="the-problem-in-economic-terms"/>
    <w:p>
      <w:pPr>
        <w:pStyle w:val="Heading2"/>
        <w:spacing w:line="480" w:lineRule="auto"/>
      </w:pPr>
      <w:r>
        <w:t xml:space="preserve">1.1 The problem in economic terms</w:t>
      </w:r>
    </w:p>
    <w:p>
      <w:pPr>
        <w:pStyle w:val="FirstParagraph"/>
        <w:spacing w:line="480" w:lineRule="auto"/>
      </w:pPr>
      <w:r>
        <w:t xml:space="preserve">Strip the situation to its economics and it is a garden-variety externality left unpriced. A firm entering a dense shell never books the extra hazard it drops onto the incumbents, and that hazard is not notional: more collision alerts, more evasive burns, more propellant spent, and a rising chance that one impact touches off a cascade whose bill runs for decades</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entrant pays for none of it. Private cost falls short of social cost, and the shell fills past the point any efficient allocation would tolerate.</w:t>
      </w:r>
    </w:p>
    <w:p>
      <w:pPr>
        <w:pStyle w:val="BodyText"/>
        <w:spacing w:line="480" w:lineRule="auto"/>
        <w:ind w:firstLine="720"/>
      </w:pPr>
      <w:r>
        <w:t xml:space="preserve">The textbook fix is almost embarrassingly old: charge the marginal external cost and the entrant confronts the real social cost of its choice. Elegant on paper, the fix meets an obstacle the moment it touches data. Setting the charge means first knowing how that marginal external cost changes with destination. If the relationship is flat, a single figure does the job; if it is convex, climbing faster than proportionally in the most packed bands, the corrective instrument has to be a schedule, not a number. So which is it, flat or convex? Everything downstream in the policy hangs on the curvature of a function that, before this work, sat unmeasured in the public record.</w:t>
      </w:r>
    </w:p>
    <w:p>
      <w:pPr>
        <w:pStyle w:val="BodyText"/>
        <w:spacing w:line="480" w:lineRule="auto"/>
        <w:ind w:firstLine="720"/>
      </w:pPr>
      <w:r>
        <w:t xml:space="preserve">Into that unmeasured space the dissertation writes. It makes no claim to a treaty-ready dollar figure. Its ambition is smaller and easier to check: to read off the tracked catalog whether occupancy pressure across shells is structured enough to rule a flat fee out as the starting point.</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One claim carries the work, and it is phrased to invite refutation. Occupancy pressure at the shell level will not sit still for a flat fee. It climbs with debris share, with the density of working payloads, with sun-synchronous geometry, and inside the 500 to 900 kilometer band that policy keeps returning to, and the shells that would land in the top fee tier gather in recognizable regimes instead of scattering by altitude.</w:t>
      </w:r>
    </w:p>
    <w:p>
      <w:pPr>
        <w:pStyle w:val="BodyText"/>
        <w:spacing w:line="480" w:lineRule="auto"/>
        <w:ind w:firstLine="720"/>
      </w:pPr>
      <w:r>
        <w:t xml:space="preserve">The two hypotheses are drawn tight. On the null, one more object costs about the same at the margin wherever the shell sits on the occupancy scale, roughly constant or roughly linear, and a flat or near-flat charge does the commons justice. On the alternative, that marginal cost is convex, bunched, and keyed to regime, so the fee that policy needs has to come in tiers. Knocking the null down does not hand anyone a tariff, but it clears the ground first: the simplest rule stops being a credible empirical baseline, and the governance argument has to move onto tiered footing.</w:t>
      </w:r>
    </w:p>
    <w:p>
      <w:pPr>
        <w:pStyle w:val="BodyText"/>
        <w:spacing w:line="480" w:lineRule="auto"/>
        <w:ind w:firstLine="720"/>
      </w:pPr>
      <w:r>
        <w:t xml:space="preserve">The test rides on two empirical papers. The first runs a robust ordinary least squares fit of log shell occupancy pressure against four things you can see, drawing on seventy-two genuine shell-regime observations assembled from the public CelesTrak SATCAT snapshot dated 27 June 2026</w:t>
      </w:r>
      <w:r>
        <w:t xml:space="preserve"> </w:t>
      </w:r>
      <w:hyperlink w:anchor="ref-6">
        <w:r>
          <w:rPr>
            <w:rStyle w:val="Hyperlink"/>
          </w:rPr>
          <w:t xml:space="preserve">[6]</w:t>
        </w:r>
      </w:hyperlink>
      <w:r>
        <w:t xml:space="preserve">. The second recasts that continuous finding as a yes-or-no tiering question through a logit, asking which shells break into the top occupancy tier and whether they differ in kind from the rest. Read together, the pair carries the argument from a loose insistence that congestion is real to a specific, refutable statement that the marginal price of access has to move from shell to shell.</w:t>
      </w:r>
    </w:p>
    <w:bookmarkEnd w:id="62"/>
    <w:bookmarkStart w:id="63" w:name="why-the-tracked-catalog-is-enough"/>
    <w:p>
      <w:pPr>
        <w:pStyle w:val="Heading2"/>
        <w:spacing w:line="480" w:lineRule="auto"/>
      </w:pPr>
      <w:r>
        <w:t xml:space="preserve">1.3 Why the tracked catalog is enough</w:t>
      </w:r>
    </w:p>
    <w:p>
      <w:pPr>
        <w:pStyle w:val="FirstParagraph"/>
        <w:spacing w:line="480" w:lineRule="auto"/>
      </w:pPr>
      <w:r>
        <w:t xml:space="preserve">An objection lands right away, and it turns on coverage. What the sensors track is not the whole debris field, and engineering models such as ORDEM and MASTER earn their keep precisely because the tracked list misses the swarm of sub-catalog fragments that drive certain collision numbers</w:t>
      </w:r>
      <w:r>
        <w:t xml:space="preserve"> </w:t>
      </w:r>
      <w:hyperlink w:anchor="ref-1">
        <w:r>
          <w:rPr>
            <w:rStyle w:val="Hyperlink"/>
          </w:rPr>
          <w:t xml:space="preserve">[1]</w:t>
        </w:r>
      </w:hyperlink>
      <w:r>
        <w:t xml:space="preserve"> </w:t>
      </w:r>
      <w:hyperlink w:anchor="ref-2">
        <w:r>
          <w:rPr>
            <w:rStyle w:val="Hyperlink"/>
          </w:rPr>
          <w:t xml:space="preserve">[2]</w:t>
        </w:r>
      </w:hyperlink>
      <w:r>
        <w:t xml:space="preserve">. Why lean on tracked counts for a pricing baseline instead of a full flux model?</w:t>
      </w:r>
    </w:p>
    <w:p>
      <w:pPr>
        <w:pStyle w:val="BodyText"/>
        <w:spacing w:line="480" w:lineRule="auto"/>
        <w:ind w:firstLine="720"/>
      </w:pPr>
      <w:r>
        <w:t xml:space="preserve">Because the two are answering different questions. A flux model locates the real physical hazard, uncatalogable specks and all. A pricing baseline asks something else, whether the environment a fee would meet in practice, the shells that operators and regulators can point to when access is on the table, comes flat or comes tiered. For that purpose the tracked catalog is not a weak stand-in but the correct tool, the observable anchor any workable fee would be written against, because a rule cannot charge for objects it cannot count. The dissertation says outright that tracked count stands in for pressure rather than settling the welfare question whole, and Chapter 6 revisits exactly where that boundary lies.</w:t>
      </w:r>
    </w:p>
    <w:bookmarkEnd w:id="63"/>
    <w:bookmarkStart w:id="64" w:name="relationship-to-the-broader-literature"/>
    <w:p>
      <w:pPr>
        <w:pStyle w:val="Heading2"/>
        <w:spacing w:line="480" w:lineRule="auto"/>
      </w:pPr>
      <w:r>
        <w:t xml:space="preserve">1.4 Relationship to the broader literature</w:t>
      </w:r>
    </w:p>
    <w:p>
      <w:pPr>
        <w:pStyle w:val="FirstParagraph"/>
        <w:spacing w:line="480" w:lineRule="auto"/>
      </w:pPr>
      <w:r>
        <w:t xml:space="preserve">Three lines of scholarship converge on this question without ever quite meeting at it. The debris-environment line, held up by ORDEM and the ESA Annual Space Environment Report, maps where the hazard piles up yet never turns that hazard into a charge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commons-and-externality line hands over the reasoning for charging users of a shared finite resource but has not fitted a shell-specific access fee to public occupancy figures. The sustainability-policy line floats economic instruments in the abstract, now and then with real institutional teeth, while rarely pinning down the estimated schedule those instruments would demand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Weinzierl’s reading of space as an economic frontier supplies the market instinct, and the source-sink and criticality work supplies the physical spine</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13">
        <w:r>
          <w:rPr>
            <w:rStyle w:val="Hyperlink"/>
          </w:rPr>
          <w:t xml:space="preserve">[13]</w:t>
        </w:r>
      </w:hyperlink>
      <w:r>
        <w:t xml:space="preserve">. The piece none of them delivers is a recoverable fee curve by shell, fitted to observed occupancy and documented debris regime, and that curve is what this dissertation lays down, deliberately open and repeatable.</w:t>
      </w:r>
    </w:p>
    <w:bookmarkEnd w:id="64"/>
    <w:bookmarkStart w:id="65" w:name="Xc00f213d108166d1d84686b8f20637fe95446e8"/>
    <w:p>
      <w:pPr>
        <w:pStyle w:val="Heading2"/>
        <w:spacing w:line="480" w:lineRule="auto"/>
      </w:pPr>
      <w:r>
        <w:t xml:space="preserve">1.5 Scope and what the dissertation does not claim</w:t>
      </w:r>
    </w:p>
    <w:p>
      <w:pPr>
        <w:pStyle w:val="FirstParagraph"/>
        <w:spacing w:line="480" w:lineRule="auto"/>
      </w:pPr>
      <w:r>
        <w:t xml:space="preserve">A falsifiable contribution earns the name only by staying disciplined about scope, so three fences go up at the start.</w:t>
      </w:r>
    </w:p>
    <w:p>
      <w:pPr>
        <w:pStyle w:val="BodyText"/>
        <w:spacing w:line="480" w:lineRule="auto"/>
        <w:ind w:firstLine="720"/>
      </w:pPr>
      <w:r>
        <w:t xml:space="preserve">The estimate is a relative pricing logic, not a dollar tariff. What comes out is a shadow-price ordering, a ranking that puts higher multipliers on some shells than others with the median shell pinned to one. Turning that ranking into a legal charge calls for a normalization rule and a welfare target that no single table contains, and the work names that gap rather than slipping a tariff past it.</w:t>
      </w:r>
    </w:p>
    <w:p>
      <w:pPr>
        <w:pStyle w:val="BodyText"/>
        <w:spacing w:line="480" w:lineRule="auto"/>
        <w:ind w:firstLine="720"/>
      </w:pPr>
      <w:r>
        <w:t xml:space="preserve">The design describes; it does not identify a cause. Nothing was experimentally switched. A shell’s makeup is the tangled residue of launch history, platform design, orbital mechanics, and earlier policy, with no treatment event and no instrument to isolate an intervention. The estimator gets the question it can handle, whether the pricing environment is flat, and is kept away from the one it cannot, what a particular regulatory jolt would produce.</w:t>
      </w:r>
    </w:p>
    <w:p>
      <w:pPr>
        <w:pStyle w:val="BodyText"/>
        <w:spacing w:line="480" w:lineRule="auto"/>
        <w:ind w:firstLine="720"/>
      </w:pPr>
      <w:r>
        <w:t xml:space="preserve">The picture is a single frame. It fixes the environment as seen on one date, and traffic keeps shifting as mega-constellations rise and fall, which makes the implied schedule a tool for governing the present rather than a fixed constant</w:t>
      </w:r>
      <w:r>
        <w:t xml:space="preserve"> </w:t>
      </w:r>
      <w:hyperlink w:anchor="ref-15">
        <w:r>
          <w:rPr>
            <w:rStyle w:val="Hyperlink"/>
          </w:rPr>
          <w:t xml:space="preserve">[15]</w:t>
        </w:r>
      </w:hyperlink>
      <w:r>
        <w:t xml:space="preserve"> </w:t>
      </w:r>
      <w:hyperlink w:anchor="ref-29">
        <w:r>
          <w:rPr>
            <w:rStyle w:val="Hyperlink"/>
          </w:rPr>
          <w:t xml:space="preserve">[29]</w:t>
        </w:r>
      </w:hyperlink>
      <w:r>
        <w:t xml:space="preserve">. That is the claim being honest about itself, not a crack in it.</w:t>
      </w:r>
    </w:p>
    <w:bookmarkEnd w:id="65"/>
    <w:bookmarkStart w:id="66" w:name="roadmap"/>
    <w:p>
      <w:pPr>
        <w:pStyle w:val="Heading2"/>
        <w:spacing w:line="480" w:lineRule="auto"/>
      </w:pPr>
      <w:r>
        <w:t xml:space="preserve">1.6 Roadmap</w:t>
      </w:r>
    </w:p>
    <w:p>
      <w:pPr>
        <w:pStyle w:val="FirstParagraph"/>
        <w:spacing w:line="480" w:lineRule="auto"/>
      </w:pPr>
      <w:r>
        <w:t xml:space="preserve">Seven chapters remain. Chapter 2 sets the argument against the debris-environment, commons-pricing, and sustainability literatures and pins down the exact opening the two papers fill. Chapter 3 lays out the theory, the externality mechanism, the case for convex rather than flat marginal cost, and the concrete predictions convexity makes about shell composition. Chapter 4 gives the method and the identification strategy, explaining why an OLS pressure model paired with a logit tiering model fits a descriptive pricing-baseline question and what each estimator can and cannot pin down. Chapter 5 walks through the data, the CelesTrak SATCAT source, the build of seventy-two shell-regime observations, the variable definitions, and the measurement calls that shape the analysis</w:t>
      </w:r>
      <w:r>
        <w:t xml:space="preserve"> </w:t>
      </w:r>
      <w:hyperlink w:anchor="ref-3">
        <w:r>
          <w:rPr>
            <w:rStyle w:val="Hyperlink"/>
          </w:rPr>
          <w:t xml:space="preserve">[3]</w:t>
        </w:r>
      </w:hyperlink>
      <w:r>
        <w:t xml:space="preserve"> </w:t>
      </w:r>
      <w:hyperlink w:anchor="ref-6">
        <w:r>
          <w:rPr>
            <w:rStyle w:val="Hyperlink"/>
          </w:rPr>
          <w:t xml:space="preserve">[6]</w:t>
        </w:r>
      </w:hyperlink>
      <w:r>
        <w:t xml:space="preserve">. Chapter 6 puts the results down as the estimators hand them over, the OLS coefficients and the logit odds ratios, and reads the signs and sizes against the hypotheses. Chapter 7 weighs what the findings mean and faces the threats to validity, keeping what the data show apart from what they cannot. Chapter 8 closes the argument, states the contribution in final form, and follows the governance and program threads along with the open questions.</w:t>
      </w:r>
    </w:p>
    <w:p>
      <w:pPr>
        <w:pStyle w:val="BodyText"/>
        <w:spacing w:line="480" w:lineRule="auto"/>
        <w:ind w:firstLine="720"/>
      </w:pPr>
      <w:r>
        <w:t xml:space="preserve">A single line runs the length of it, plain enough to say aloud and stubborn enough to fund a dissertation: orbit is a commons, the commons goes unpriced, and the first empirical chore is to show that the cheapest price is the wrong one. Once the flat fee gives way, everything after it in orbital-use governance has to stand on tiered ground.</w:t>
      </w:r>
    </w:p>
    <w:p>
      <w:pPr>
        <w:pStyle w:val="BodyText"/>
        <w:spacing w:line="480" w:lineRule="auto"/>
        <w:ind w:firstLine="720"/>
      </w:pPr>
      <w:r>
        <w:t xml:space="preserve">Weigh what accepting the null would actually oblige a regulator to believe. It would hold that a debris-choked sun-synchronous shell at 800 kilometers and a near-vacant equatorial shell at 250 kilometers press equally on the operators around them. Laid out that starkly the claim is hard to swallow, yet it is precisely the claim a flat fee makes when it hands both entrants the same bill. Put the proposition to a formal test rather than waving it off, and out come coefficients, standard errors, and a rejection region a doubting regulator or a litigating operator can pull apart. A hunch will not hold up on administrative appeal. A schedule fitted to a public catalog by a repeatable build might.</w:t>
      </w:r>
    </w:p>
    <w:p>
      <w:pPr>
        <w:pStyle w:val="BodyText"/>
        <w:spacing w:line="480" w:lineRule="auto"/>
        <w:ind w:firstLine="720"/>
      </w:pPr>
      <w:r>
        <w:t xml:space="preserve">There is a working reason too, worth stating here because it bends every later choice, to favor a schedule drawn from observable occupancy over one drawn from a proprietary flux model. A fee operators cannot audit is a fee operators will fight. Tie the charge on a shell to a small-debris flux estimate that only one office can reproduce, and the charge takes on all of that model’s quarrels. Anchor the baseline to the tracked catalog, which anyone can pull and recompute, and the schedule turns contestable in the useful way, two analysts on the same public file landing on the same shell ordering. That repeatability is not a bonus at the edges. For an instrument that must weather adversarial scrutiny from operators with money at stake, it is most of the point</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66"/>
    <w:bookmarkStart w:id="67" w:name="Xcbabfada2a5abc2cc85f037fd323901461229ee"/>
    <w:p>
      <w:pPr>
        <w:pStyle w:val="Heading2"/>
        <w:spacing w:line="480" w:lineRule="auto"/>
      </w:pPr>
      <w:r>
        <w:t xml:space="preserve">1.7 Why an economist should care about a physics problem</w:t>
      </w:r>
    </w:p>
    <w:p>
      <w:pPr>
        <w:pStyle w:val="FirstParagraph"/>
        <w:spacing w:line="480" w:lineRule="auto"/>
      </w:pPr>
      <w:r>
        <w:t xml:space="preserve">Debris usually gets shelved under engineering, and you can see why: the objects are physical, the collisions follow orbital mechanics, and the countermeasures are hardware. The congestion, though, traces not to failed physics but to failed pricing. The engineers can render the debris population in fine detail and the awareness enterprise can catalog it ever more completely, yet neither the modeling nor the tracking touches the incentive that steers an operator toward the crowded shell over the empty one</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That incentive is economic, and it points the wrong way because the crowding costs nothing. An economist should care about this physics problem for the simple reason that the physics has manufactured a textbook externality, and externalities are where the discipline lives.</w:t>
      </w:r>
    </w:p>
    <w:p>
      <w:pPr>
        <w:pStyle w:val="BodyText"/>
        <w:spacing w:line="480" w:lineRule="auto"/>
        <w:ind w:firstLine="720"/>
      </w:pPr>
      <w:r>
        <w:t xml:space="preserve">That framing changes how the numbers should be read. The coefficients are not engineering constants; they are the visible imprint of an incentive structure. When active payload share comes back as the model’s largest coefficient, the message is not about satellite aerodynamics but about human choice, that the spots operators most covet are the spots where pressure runs highest, the exact meeting of agglomeration rents and congestion costs that market failure forecasts</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Reading the finding as economics rather than engineering is what turns a map of where objects rest into an argument about what a price ought to accomplish.</w:t>
      </w:r>
    </w:p>
    <w:bookmarkEnd w:id="67"/>
    <w:bookmarkStart w:id="68" w:name="the-shape-of-the-argument-to-come"/>
    <w:p>
      <w:pPr>
        <w:pStyle w:val="Heading2"/>
        <w:spacing w:line="480" w:lineRule="auto"/>
      </w:pPr>
      <w:r>
        <w:t xml:space="preserve">1.8 The shape of the argument to come</w:t>
      </w:r>
    </w:p>
    <w:p>
      <w:pPr>
        <w:pStyle w:val="FirstParagraph"/>
        <w:spacing w:line="480" w:lineRule="auto"/>
      </w:pPr>
      <w:r>
        <w:t xml:space="preserve">Sketching the spine first lets a reader hold the whole while taking in the parts. One conditional drives the dissertation: structure the occupancy-pressure surface rather than flatten it, and a flat fee misprices the commons, so the corrective instrument has to tier. The antecedent is empirical, settled by the OLS of Paper 1. The consequent is policy, made workable by the logit of Paper 2, which shows the tiering is not merely required but constructible. Every chapter feeds one of those moves. Theory argues why the antecedent should hold; method and data show the test of it is fair; results deliver the verdict; discussion and conclusion draw out what the confirmed consequent means for whoever has to govern orbit. Keep the conditional in view and nothing here reads as ornament, since each part carries load for the one claim, that the price of orbital access cannot honestly collapse to a single number</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bookmarkEnd w:id="68"/>
    <w:bookmarkStart w:id="69" w:name="terms-used-throughout"/>
    <w:p>
      <w:pPr>
        <w:pStyle w:val="Heading2"/>
        <w:spacing w:line="480" w:lineRule="auto"/>
      </w:pPr>
      <w:r>
        <w:t xml:space="preserve">1.9 Terms used throughout</w:t>
      </w:r>
    </w:p>
    <w:p>
      <w:pPr>
        <w:pStyle w:val="FirstParagraph"/>
        <w:spacing w:line="480" w:lineRule="auto"/>
      </w:pPr>
      <w:r>
        <w:t xml:space="preserve">A handful of terms recur, so they are fixed here and the later chapters can lean on them. A shell is a 100 kilometer altitude band in low Earth orbit. A regime is one of four inclination classes objects fall into, the sun-synchronous and polar geometries forming the class this analysis cares most about. A bin, or shell-regime observation, is where a shell and a regime meet, and it is the unit under every estimate in the work. Occupancy pressure is the log of one plus the tracked object count in a bin, the quantity the first paper predicts. A shell’s shadow price is the marginal social value of easing its effective capacity by one object, the quantity the pressure surface tracks in relative terms. The top tier is the set of bins in the highest third of tracked occupancy, the outcome the second paper predicts. None of the definitions breaks new ground, but stating them once holds the argument steady, since much of the muddle in orbital-governance debate comes from sliding among the object, the shell, and the orbit as though a fee did not have to pick one and stay with it</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With the problem laid out, the contribution named, the scope fenced, and the vocabulary set, the work turns to the surrounding literature and to the particular opening the two papers were built to fill. The next chapter reads the debris-environment, commons-pricing, and incentive-design literatures one at a time and shows just where each falls short of the pricing baseline this work provides</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69"/>
    <w:bookmarkEnd w:id="70"/>
    <w:bookmarkStart w:id="81" w:name="X7a9646d3b039469abcb8071db6c82534a0d32f8"/>
    <w:p>
      <w:pPr>
        <w:pStyle w:val="Heading1"/>
        <w:spacing w:line="480" w:lineRule="auto"/>
      </w:pPr>
      <w:r>
        <w:t xml:space="preserve">Chapter 2. Literature Review: Debris Risk, Commons Economics, and Incentive Design</w:t>
      </w:r>
    </w:p>
    <w:p>
      <w:pPr>
        <w:pStyle w:val="FirstParagraph"/>
        <w:spacing w:line="480" w:lineRule="auto"/>
      </w:pPr>
      <w:r>
        <w:t xml:space="preserve">Three scholarly currents feed the question of whether orbit can carry a flat price. One charts the physical debris field and shows where the hazard collects. Another furnishes the economics of charging for a shared resource. A third puts forward incentive instruments for sustainability, occasionally worked out in institutional detail. Each is load-bearing. Not one of them, standing alone, yields what this dissertation requires, a recoverable fee ordering by shell fitted to observed occupancy rather than to modeled flux. The chapter takes each current in turn and then finds the exact seam among them where the contribution belongs.</w:t>
      </w:r>
    </w:p>
    <w:bookmarkStart w:id="71" w:name="the-debris-environment-literature"/>
    <w:p>
      <w:pPr>
        <w:pStyle w:val="Heading2"/>
        <w:spacing w:line="480" w:lineRule="auto"/>
      </w:pPr>
      <w:r>
        <w:t xml:space="preserve">2.1 The debris-environment literature</w:t>
      </w:r>
    </w:p>
    <w:p>
      <w:pPr>
        <w:pStyle w:val="FirstParagraph"/>
        <w:spacing w:line="480" w:lineRule="auto"/>
      </w:pPr>
      <w:r>
        <w:t xml:space="preserve">Everything in the engineering account starts from a fact the economics cannot argue away: hazard does not spread evenly with altitude, it collects, and it collects hard. NASA’s Orbital Debris Engineering Model, ORDEM, was built to render object flux by size and altitude regime, and it anchors any reasoning about where the collision danger runs highest</w:t>
      </w:r>
      <w:r>
        <w:t xml:space="preserve"> </w:t>
      </w:r>
      <w:hyperlink w:anchor="ref-1">
        <w:r>
          <w:rPr>
            <w:rStyle w:val="Hyperlink"/>
          </w:rPr>
          <w:t xml:space="preserve">[1]</w:t>
        </w:r>
      </w:hyperlink>
      <w:r>
        <w:t xml:space="preserve">. The European Space Agency’s Annual Space Environment Report plays the matching institutional part, issuing a regular authoritative census of the present population together with the forces moving it, so that the two accounts together fix a picture the pricing argument has to honor: the busiest and most dangerous shells are nameable, specific, and steady enough to hold still</w:t>
      </w:r>
      <w:r>
        <w:t xml:space="preserve"> </w:t>
      </w:r>
      <w:hyperlink w:anchor="ref-2">
        <w:r>
          <w:rPr>
            <w:rStyle w:val="Hyperlink"/>
          </w:rPr>
          <w:t xml:space="preserve">[2]</w:t>
        </w:r>
      </w:hyperlink>
      <w:r>
        <w:t xml:space="preserve">.</w:t>
      </w:r>
    </w:p>
    <w:p>
      <w:pPr>
        <w:pStyle w:val="BodyText"/>
        <w:spacing w:line="480" w:lineRule="auto"/>
        <w:ind w:firstLine="720"/>
      </w:pPr>
      <w:r>
        <w:t xml:space="preserve">Pardini and Anselmo sharpen the picture into an argument about criticality. Working from the debris flux, they rank the most critical stretches of low Earth orbit and show that particular altitude bands shoulder outsized long-run risk because whatever lands there lingers and interacts</w:t>
      </w:r>
      <w:r>
        <w:t xml:space="preserve"> </w:t>
      </w:r>
      <w:hyperlink w:anchor="ref-4">
        <w:r>
          <w:rPr>
            <w:rStyle w:val="Hyperlink"/>
          </w:rPr>
          <w:t xml:space="preserve">[4]</w:t>
        </w:r>
      </w:hyperlink>
      <w:r>
        <w:t xml:space="preserve">. That result feeds pricing by giving convexity a physical basis. Where risk in the persistent bands outruns occupancy, the marginal external cost of entering those bands runs higher, and a charge meant to track that cost must climb along with it.</w:t>
      </w:r>
    </w:p>
    <w:p>
      <w:pPr>
        <w:pStyle w:val="BodyText"/>
        <w:spacing w:line="480" w:lineRule="auto"/>
        <w:ind w:firstLine="720"/>
      </w:pPr>
      <w:r>
        <w:t xml:space="preserve">Source-sink modeling carries the physical picture into motion. Wu and Linares build a multi-shell source-sink physical-economical model that assigns debris a definable value, welding population dynamics to an economic frame</w:t>
      </w:r>
      <w:r>
        <w:t xml:space="preserve"> </w:t>
      </w:r>
      <w:hyperlink w:anchor="ref-8">
        <w:r>
          <w:rPr>
            <w:rStyle w:val="Hyperlink"/>
          </w:rPr>
          <w:t xml:space="preserve">[8]</w:t>
        </w:r>
      </w:hyperlink>
      <w:r>
        <w:t xml:space="preserve"> </w:t>
      </w:r>
      <w:hyperlink w:anchor="ref-17">
        <w:r>
          <w:rPr>
            <w:rStyle w:val="Hyperlink"/>
          </w:rPr>
          <w:t xml:space="preserve">[17]</w:t>
        </w:r>
      </w:hyperlink>
      <w:r>
        <w:t xml:space="preserve">. Lifson, Jang, and Linares construct source-sink evolutionary environmental models aimed squarely at governance and decision support, proving the environment can be cast in a form policy can use</w:t>
      </w:r>
      <w:r>
        <w:t xml:space="preserve"> </w:t>
      </w:r>
      <w:hyperlink w:anchor="ref-12">
        <w:r>
          <w:rPr>
            <w:rStyle w:val="Hyperlink"/>
          </w:rPr>
          <w:t xml:space="preserve">[12]</w:t>
        </w:r>
      </w:hyperlink>
      <w:r>
        <w:t xml:space="preserve">. Of everything reviewed, these come nearest to an economics of orbit rooted in the environment itself. Their stopping point, for this dissertation’s purposes, is the step that would turn that moving environment into an administrable schedule keyed to shells a regulator can watch today.</w:t>
      </w:r>
    </w:p>
    <w:p>
      <w:pPr>
        <w:pStyle w:val="BodyText"/>
        <w:spacing w:line="480" w:lineRule="auto"/>
        <w:ind w:firstLine="720"/>
      </w:pPr>
      <w:r>
        <w:t xml:space="preserve">Capacity work rounds out the section. Sturza, Dankberg, and Blount model LEO capacity for sustainable design, treating the shell as a resource with a ceiling</w:t>
      </w:r>
      <w:r>
        <w:t xml:space="preserve"> </w:t>
      </w:r>
      <w:hyperlink w:anchor="ref-11">
        <w:r>
          <w:rPr>
            <w:rStyle w:val="Hyperlink"/>
          </w:rPr>
          <w:t xml:space="preserve">[11]</w:t>
        </w:r>
      </w:hyperlink>
      <w:r>
        <w:t xml:space="preserve">. A capacity ceiling is scarcity wearing a physical face, and scarcity is exactly what a shadow price reads. A shell pressed toward its ceiling costs more at the margin than a shell with room to spare, and that gap between full and empty is the very structure a tiered fee sets out to capture.</w:t>
      </w:r>
    </w:p>
    <w:bookmarkEnd w:id="71"/>
    <w:bookmarkStart w:id="72" w:name="Xdd4995093c1172f29e8321a5167769a8d4711e0"/>
    <w:p>
      <w:pPr>
        <w:pStyle w:val="Heading2"/>
        <w:spacing w:line="480" w:lineRule="auto"/>
      </w:pPr>
      <w:r>
        <w:t xml:space="preserve">2.2 The commons and externality-pricing literature</w:t>
      </w:r>
    </w:p>
    <w:p>
      <w:pPr>
        <w:pStyle w:val="FirstParagraph"/>
        <w:spacing w:line="480" w:lineRule="auto"/>
      </w:pPr>
      <w:r>
        <w:t xml:space="preserve">Here the economics predates the domain by generations. A common-pool resource is one you can hardly exclude anyone from and one where each user’s draw shrinks what is left for the rest, and orbit fits that mold with uncomfortable ease. Exclusion is thin, since the physical environment cannot tell a licensed craft from an unlicensed one, and rivalry is genuine, since every object eats conjunction-screening attention and lifts the collision odds for its neighbors.</w:t>
      </w:r>
    </w:p>
    <w:p>
      <w:pPr>
        <w:pStyle w:val="BodyText"/>
        <w:spacing w:line="480" w:lineRule="auto"/>
        <w:ind w:firstLine="720"/>
      </w:pPr>
      <w:r>
        <w:t xml:space="preserve">The corrective-pricing tradition prescribes a familiar cure: pin a charge to the marginal external cost and the externality folds back into the private calculation. Applied to orbit, that cure has stayed largely on paper. Weinzierl’s synthesis casts space as an economic frontier and argues that market failures, congestion included, are first-order features rather than oddities, but it frames rather than fits any particular schedule</w:t>
      </w:r>
      <w:r>
        <w:t xml:space="preserve"> </w:t>
      </w:r>
      <w:hyperlink w:anchor="ref-13">
        <w:r>
          <w:rPr>
            <w:rStyle w:val="Hyperlink"/>
          </w:rPr>
          <w:t xml:space="preserve">[13]</w:t>
        </w:r>
      </w:hyperlink>
      <w:r>
        <w:t xml:space="preserve">. The distance from the general prescription to a specific orbital fee curve is the distance this dissertation sets out to shorten.</w:t>
      </w:r>
    </w:p>
    <w:p>
      <w:pPr>
        <w:pStyle w:val="BodyText"/>
        <w:spacing w:line="480" w:lineRule="auto"/>
        <w:ind w:firstLine="720"/>
      </w:pPr>
      <w:r>
        <w:t xml:space="preserve">What the commons literature contributes to method is one insistence: the price must ride marginal cost, not average cost and not administrative ease. A flat fee is an average-cost or convenience device. Let marginal external cost vary across shells and an average-cost fee is efficient only on the knife-edge where marginal cost happens to hold constant. Whether that knife-edge holds is precisely this dissertation’s empirical question. The commons literature explains why the answer counts. It does not supply the answer.</w:t>
      </w:r>
    </w:p>
    <w:bookmarkEnd w:id="72"/>
    <w:bookmarkStart w:id="73" w:name="X699b4a34aeee012bb1dd35e21ec897292a57436"/>
    <w:p>
      <w:pPr>
        <w:pStyle w:val="Heading2"/>
        <w:spacing w:line="480" w:lineRule="auto"/>
      </w:pPr>
      <w:r>
        <w:t xml:space="preserve">2.3 The incentive-design and sustainability literature</w:t>
      </w:r>
    </w:p>
    <w:p>
      <w:pPr>
        <w:pStyle w:val="FirstParagraph"/>
        <w:spacing w:line="480" w:lineRule="auto"/>
      </w:pPr>
      <w:r>
        <w:t xml:space="preserve">The freshest work designs incentives instead of cataloging physics. The Space Sustainability Rating, from Rathnasabapathy and colleagues, assembles a composite index scoring operators on conduct tied to long-run environmental health, an instrument built on purpose to move behavior</w:t>
      </w:r>
      <w:r>
        <w:t xml:space="preserve"> </w:t>
      </w:r>
      <w:hyperlink w:anchor="ref-10">
        <w:r>
          <w:rPr>
            <w:rStyle w:val="Hyperlink"/>
          </w:rPr>
          <w:t xml:space="preserve">[10]</w:t>
        </w:r>
      </w:hyperlink>
      <w:r>
        <w:t xml:space="preserve">. It stands as proof that reputational and rating mechanisms can be constructed and fielded. Because it grades operators rather than shells, it works in a different unit than a congestion fee needs, but it settles that the sustainability community will accept structured, quantitative incentives.</w:t>
      </w:r>
    </w:p>
    <w:p>
      <w:pPr>
        <w:pStyle w:val="BodyText"/>
        <w:spacing w:line="480" w:lineRule="auto"/>
        <w:ind w:firstLine="720"/>
      </w:pPr>
      <w:r>
        <w:t xml:space="preserve">David and colleagues carry the design further into mechanism theory, proposing an incentive-based scheme to draw multi-stakeholder collaboration toward sustainability</w:t>
      </w:r>
      <w:r>
        <w:t xml:space="preserve"> </w:t>
      </w:r>
      <w:hyperlink w:anchor="ref-9">
        <w:r>
          <w:rPr>
            <w:rStyle w:val="Hyperlink"/>
          </w:rPr>
          <w:t xml:space="preserve">[9]</w:t>
        </w:r>
      </w:hyperlink>
      <w:r>
        <w:t xml:space="preserve"> </w:t>
      </w:r>
      <w:hyperlink w:anchor="ref-22">
        <w:r>
          <w:rPr>
            <w:rStyle w:val="Hyperlink"/>
          </w:rPr>
          <w:t xml:space="preserve">[22]</w:t>
        </w:r>
      </w:hyperlink>
      <w:r>
        <w:t xml:space="preserve">. Their contribution takes the collective-action shape of the problem seriously: sustainability comes up short because its gains are shared while its costs are private, the exact inverse of the congestion externality. The two are mirror images. An incentive that rewards restraint and a fee that charges for pressure approach one misalignment from opposite sides.</w:t>
      </w:r>
    </w:p>
    <w:p>
      <w:pPr>
        <w:pStyle w:val="BodyText"/>
        <w:spacing w:line="480" w:lineRule="auto"/>
        <w:ind w:firstLine="720"/>
      </w:pPr>
      <w:r>
        <w:t xml:space="preserve">Strategic and market studies fill in the demand side. Young and Thadani read the LEO broadband contest and log the commercial force pushing operators into specific, valuable regimes</w:t>
      </w:r>
      <w:r>
        <w:t xml:space="preserve"> </w:t>
      </w:r>
      <w:hyperlink w:anchor="ref-15">
        <w:r>
          <w:rPr>
            <w:rStyle w:val="Hyperlink"/>
          </w:rPr>
          <w:t xml:space="preserve">[15]</w:t>
        </w:r>
      </w:hyperlink>
      <w:r>
        <w:t xml:space="preserve">. That force is why particular shells fill: they are commercially prized, not merely historically fouled. Shahady’s look at GEO slots, geostationary though it is, makes the parallel case that contested and debris-menaced orbital real estate carries a real and rising cost</w:t>
      </w:r>
      <w:r>
        <w:t xml:space="preserve"> </w:t>
      </w:r>
      <w:hyperlink w:anchor="ref-14">
        <w:r>
          <w:rPr>
            <w:rStyle w:val="Hyperlink"/>
          </w:rPr>
          <w:t xml:space="preserve">[14]</w:t>
        </w:r>
      </w:hyperlink>
      <w:r>
        <w:t xml:space="preserve">. McKeown and colleagues, asking how prospective space-resource markets ought to be judged, hand over the evaluative frame for treating orbital access as a priced good instead of a free one</w:t>
      </w:r>
      <w:r>
        <w:t xml:space="preserve"> </w:t>
      </w:r>
      <w:hyperlink w:anchor="ref-28">
        <w:r>
          <w:rPr>
            <w:rStyle w:val="Hyperlink"/>
          </w:rPr>
          <w:t xml:space="preserve">[28]</w:t>
        </w:r>
      </w:hyperlink>
      <w:r>
        <w:t xml:space="preserve">. The market pays for orbital position. That willingness to pay is the demand-side precondition for any fee to move behavior, since a charge on something nobody values would raise money and shift nothing.</w:t>
      </w:r>
    </w:p>
    <w:bookmarkEnd w:id="73"/>
    <w:bookmarkStart w:id="74" w:name="the-awareness-and-operations-literature"/>
    <w:p>
      <w:pPr>
        <w:pStyle w:val="Heading2"/>
        <w:spacing w:line="480" w:lineRule="auto"/>
      </w:pPr>
      <w:r>
        <w:t xml:space="preserve">2.4 The awareness and operations literature</w:t>
      </w:r>
    </w:p>
    <w:p>
      <w:pPr>
        <w:pStyle w:val="FirstParagraph"/>
        <w:spacing w:line="480" w:lineRule="auto"/>
      </w:pPr>
      <w:r>
        <w:t xml:space="preserve">A fee schedule is administrable only where the environment it prices can be watched and enforced against, and the space domain awareness literature is what makes the watching possible. Work on sensor scheduling with optimality certificates, along with its machine-learning descendants, shows the tracked population can be held with quantifiable confidence</w:t>
      </w:r>
      <w:r>
        <w:t xml:space="preserve"> </w:t>
      </w:r>
      <w:hyperlink w:anchor="ref-16">
        <w:r>
          <w:rPr>
            <w:rStyle w:val="Hyperlink"/>
          </w:rPr>
          <w:t xml:space="preserve">[16]</w:t>
        </w:r>
      </w:hyperlink>
      <w:r>
        <w:t xml:space="preserve"> </w:t>
      </w:r>
      <w:hyperlink w:anchor="ref-18">
        <w:r>
          <w:rPr>
            <w:rStyle w:val="Hyperlink"/>
          </w:rPr>
          <w:t xml:space="preserve">[18]</w:t>
        </w:r>
      </w:hyperlink>
      <w:r>
        <w:t xml:space="preserve">. The Space Fence program and the earlier building blocks trace the institutional march toward comprehensive tracking</w:t>
      </w:r>
      <w:r>
        <w:t xml:space="preserve"> </w:t>
      </w:r>
      <w:hyperlink w:anchor="ref-20">
        <w:r>
          <w:rPr>
            <w:rStyle w:val="Hyperlink"/>
          </w:rPr>
          <w:t xml:space="preserve">[20]</w:t>
        </w:r>
      </w:hyperlink>
      <w:r>
        <w:t xml:space="preserve"> </w:t>
      </w:r>
      <w:hyperlink w:anchor="ref-21">
        <w:r>
          <w:rPr>
            <w:rStyle w:val="Hyperlink"/>
          </w:rPr>
          <w:t xml:space="preserve">[21]</w:t>
        </w:r>
      </w:hyperlink>
      <w:r>
        <w:t xml:space="preserve">. Joint commercial operations channels show tracking data becoming an operational common resource shared across operators</w:t>
      </w:r>
      <w:r>
        <w:t xml:space="preserve"> </w:t>
      </w:r>
      <w:hyperlink w:anchor="ref-19">
        <w:r>
          <w:rPr>
            <w:rStyle w:val="Hyperlink"/>
          </w:rPr>
          <w:t xml:space="preserve">[19]</w:t>
        </w:r>
      </w:hyperlink>
      <w:r>
        <w:t xml:space="preserve">. The bearing on this argument is precise: it warrants the choice of the tracked catalog as the pricing anchor. A regulator can bill against what the awareness enterprise sees, and the awareness enterprise sees the tracked shells with rising completeness.</w:t>
      </w:r>
    </w:p>
    <w:bookmarkEnd w:id="74"/>
    <w:bookmarkStart w:id="75" w:name="the-gap"/>
    <w:p>
      <w:pPr>
        <w:pStyle w:val="Heading2"/>
        <w:spacing w:line="480" w:lineRule="auto"/>
      </w:pPr>
      <w:r>
        <w:t xml:space="preserve">2.5 The gap</w:t>
      </w:r>
    </w:p>
    <w:p>
      <w:pPr>
        <w:pStyle w:val="FirstParagraph"/>
        <w:spacing w:line="480" w:lineRule="auto"/>
      </w:pPr>
      <w:r>
        <w:t xml:space="preserve">Set the three currents side by side and a specific, fillable opening appears. The debris-environment work establishes that risk concentrates and, through criticality and source-sink modeling, that it is plausibly convex in occupancy</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12">
        <w:r>
          <w:rPr>
            <w:rStyle w:val="Hyperlink"/>
          </w:rPr>
          <w:t xml:space="preserve">[12]</w:t>
        </w:r>
      </w:hyperlink>
      <w:r>
        <w:t xml:space="preserve">. The commons work establishes that the corrective price must ride marginal external cost and that a flat fee is efficient only where that cost stays constant</w:t>
      </w:r>
      <w:r>
        <w:t xml:space="preserve"> </w:t>
      </w:r>
      <w:hyperlink w:anchor="ref-13">
        <w:r>
          <w:rPr>
            <w:rStyle w:val="Hyperlink"/>
          </w:rPr>
          <w:t xml:space="preserve">[13]</w:t>
        </w:r>
      </w:hyperlink>
      <w:r>
        <w:t xml:space="preserve">. The incentive-design work establishes that structured quantitative instruments are acceptable and that operators pay for position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 What no retrieved source performs is the join itself: an estimate, drawn from public occupancy data, of whether observed shell pressure is flat or structured, paired with a transparent rule for which shells would enter a top fee tier.</w:t>
      </w:r>
    </w:p>
    <w:p>
      <w:pPr>
        <w:pStyle w:val="BodyText"/>
        <w:spacing w:line="480" w:lineRule="auto"/>
        <w:ind w:firstLine="720"/>
      </w:pPr>
      <w:r>
        <w:t xml:space="preserve">That the join is missing is no accident. The environment modelers work in flux units that resist billing, the economists work in general-equilibrium abstractions that never reach the shell, and the incentive designers grade operators rather than places, so the connecting move falls in the space among three fields that each stop just short of it. This dissertation settles into that seam, taking the observable shell as unit, the tracked catalog as measure, and a pair of standard estimators as test, and posing the lone question that decides whether the cheapest fee is the right one. The empirical chapters are the answer, previewed here and demonstrated there, and the answer is that the flat fee does not survive contact with the data.</w:t>
      </w:r>
    </w:p>
    <w:bookmarkEnd w:id="75"/>
    <w:bookmarkStart w:id="76" w:name="positioning-of-the-two-papers"/>
    <w:p>
      <w:pPr>
        <w:pStyle w:val="Heading2"/>
        <w:spacing w:line="480" w:lineRule="auto"/>
      </w:pPr>
      <w:r>
        <w:t xml:space="preserve">2.6 Positioning of the two papers</w:t>
      </w:r>
    </w:p>
    <w:p>
      <w:pPr>
        <w:pStyle w:val="FirstParagraph"/>
        <w:spacing w:line="480" w:lineRule="auto"/>
      </w:pPr>
      <w:r>
        <w:t xml:space="preserve">Spelling out how the two papers stand against the reviewed work shows why the contribution is incremental rather than duplicative. Paper 1 re-estimates no flux model; it takes Pardini and Anselmo’s criticality reading and Wu and Linares’s source-sink structure as settled, then asks whether that structure shows through in the observable occupancy a regulator would actually bill against</w:t>
      </w:r>
      <w:r>
        <w:t xml:space="preserve"> </w:t>
      </w:r>
      <w:hyperlink w:anchor="ref-4">
        <w:r>
          <w:rPr>
            <w:rStyle w:val="Hyperlink"/>
          </w:rPr>
          <w:t xml:space="preserve">[4]</w:t>
        </w:r>
      </w:hyperlink>
      <w:r>
        <w:t xml:space="preserve"> </w:t>
      </w:r>
      <w:hyperlink w:anchor="ref-8">
        <w:r>
          <w:rPr>
            <w:rStyle w:val="Hyperlink"/>
          </w:rPr>
          <w:t xml:space="preserve">[8]</w:t>
        </w:r>
      </w:hyperlink>
      <w:r>
        <w:t xml:space="preserve">. Paper 2 proposes no new rating; it treats the acceptability of quantitative tiering, established by the Space Sustainability Rating and the David mechanism, as license, then asks whether a transparent occupancy tercile carves out a coherent top tier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Neither paper claims new physics or new general economics. Both claim a specific empirical join, converting a concentrated, plausibly convex environment into an estimated, contestable, shell-keyed pricing baseline that prior work described the need for without producing.</w:t>
      </w:r>
    </w:p>
    <w:p>
      <w:pPr>
        <w:pStyle w:val="BodyText"/>
        <w:spacing w:line="480" w:lineRule="auto"/>
        <w:ind w:firstLine="720"/>
      </w:pPr>
      <w:r>
        <w:t xml:space="preserve">The positioning also explains why the descriptive cast of the design fits rather than falls short. The reviewed literature does not ask what a regulatory shock would do; it asks whether the environment a fee would meet is structured. A descriptive estimator answers exactly that, and answers it in units the awareness and operations literature confirms are observable</w:t>
      </w:r>
      <w:r>
        <w:t xml:space="preserve"> </w:t>
      </w:r>
      <w:hyperlink w:anchor="ref-16">
        <w:r>
          <w:rPr>
            <w:rStyle w:val="Hyperlink"/>
          </w:rPr>
          <w:t xml:space="preserve">[16]</w:t>
        </w:r>
      </w:hyperlink>
      <w:r>
        <w:t xml:space="preserve"> </w:t>
      </w:r>
      <w:hyperlink w:anchor="ref-19">
        <w:r>
          <w:rPr>
            <w:rStyle w:val="Hyperlink"/>
          </w:rPr>
          <w:t xml:space="preserve">[19]</w:t>
        </w:r>
      </w:hyperlink>
      <w:r>
        <w:t xml:space="preserve">. The methods chapter makes the identification case explicit, but the literature already marks the warranted claim: not a causal effect of a fee, which no dataset here could bear, but a characterization of the pricing surface, which the tracked catalog suits well.</w:t>
      </w:r>
    </w:p>
    <w:bookmarkEnd w:id="76"/>
    <w:bookmarkStart w:id="77" w:name="X22b895a5151e707fc07db506d771e67c6f4f64c"/>
    <w:p>
      <w:pPr>
        <w:pStyle w:val="Heading2"/>
        <w:spacing w:line="480" w:lineRule="auto"/>
      </w:pPr>
      <w:r>
        <w:t xml:space="preserve">2.7 Where the commons framing has been contested</w:t>
      </w:r>
    </w:p>
    <w:p>
      <w:pPr>
        <w:pStyle w:val="FirstParagraph"/>
        <w:spacing w:line="480" w:lineRule="auto"/>
      </w:pPr>
      <w:r>
        <w:t xml:space="preserve">Fitting the commons frame to orbit draws critics, and a serious review has to meet the objection rather than assume the frame. One strand of doubt holds that orbit is no classic common-pool resource because launch capability and national licensing already gate access, muting the open-access tragedy the frame expects. The point has weight. Not everyone can launch. The states that can already set conditions on those who fly, which puts the environment well short of the pure open access the textbook tragedy presumes. Even so, the objection undersells the trouble, because licensing today gates entry to the launch business rather than access to any given shell, and a cleared operator meets no shell-specific congestion charge once it is flying</w:t>
      </w:r>
      <w:r>
        <w:t xml:space="preserve"> </w:t>
      </w:r>
      <w:hyperlink w:anchor="ref-15">
        <w:r>
          <w:rPr>
            <w:rStyle w:val="Hyperlink"/>
          </w:rPr>
          <w:t xml:space="preserve">[15]</w:t>
        </w:r>
      </w:hyperlink>
      <w:r>
        <w:t xml:space="preserve">. The gate sits in the wrong place. It admits or bars participants while leaving the marginal shell decision unpriced, and the marginal shell decision is where the externality actually lives, so the commons frame comes through intact: the relevant margin stays unpriced even under regulated entry.</w:t>
      </w:r>
    </w:p>
    <w:p>
      <w:pPr>
        <w:pStyle w:val="BodyText"/>
        <w:spacing w:line="480" w:lineRule="auto"/>
        <w:ind w:firstLine="720"/>
      </w:pPr>
      <w:r>
        <w:t xml:space="preserve">A second contested point questions whether orbit is rivalrous at all. Skeptics observe that space is enormous and that two objects in different shells never meet. True, and beside the point, because the analysis is shell-level throughout. Rivalry does not demand that every object touch every other; it demands that objects sharing a shell burden one another, which the conjunction and criticality literatures put past dispute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commons is not orbit in the abstract but the particular crowded shell, and at that resolution rivalry is not in question.</w:t>
      </w:r>
    </w:p>
    <w:bookmarkEnd w:id="77"/>
    <w:bookmarkStart w:id="78" w:name="what-the-two-papers-add-to-each-strand"/>
    <w:p>
      <w:pPr>
        <w:pStyle w:val="Heading2"/>
        <w:spacing w:line="480" w:lineRule="auto"/>
      </w:pPr>
      <w:r>
        <w:t xml:space="preserve">2.8 What the two papers add to each strand</w:t>
      </w:r>
    </w:p>
    <w:p>
      <w:pPr>
        <w:pStyle w:val="FirstParagraph"/>
        <w:spacing w:line="480" w:lineRule="auto"/>
      </w:pPr>
      <w:r>
        <w:t xml:space="preserve">A review earns its length only by naming precisely what is new, so the marginal contribution against each strand fits in a sentence apiece. Against the debris-environment strand, the papers show the concentration and plausible convexity those models describe surfacing in the observable occupancy a regulator would bill against, not only in the flux a regulator cannot</w:t>
      </w:r>
      <w:r>
        <w:t xml:space="preserve"> </w:t>
      </w:r>
      <w:hyperlink w:anchor="ref-1">
        <w:r>
          <w:rPr>
            <w:rStyle w:val="Hyperlink"/>
          </w:rPr>
          <w:t xml:space="preserve">[1]</w:t>
        </w:r>
      </w:hyperlink>
      <w:r>
        <w:t xml:space="preserve"> </w:t>
      </w:r>
      <w:hyperlink w:anchor="ref-4">
        <w:r>
          <w:rPr>
            <w:rStyle w:val="Hyperlink"/>
          </w:rPr>
          <w:t xml:space="preserve">[4]</w:t>
        </w:r>
      </w:hyperlink>
      <w:r>
        <w:t xml:space="preserve">. Against the commons and pricing strand, they supply the missing object, an estimated pressure surface that settles whether the corrective price must be flat or tiered instead of leaving it to assumption</w:t>
      </w:r>
      <w:r>
        <w:t xml:space="preserve"> </w:t>
      </w:r>
      <w:hyperlink w:anchor="ref-13">
        <w:r>
          <w:rPr>
            <w:rStyle w:val="Hyperlink"/>
          </w:rPr>
          <w:t xml:space="preserve">[13]</w:t>
        </w:r>
      </w:hyperlink>
      <w:r>
        <w:t xml:space="preserve">. Against the incentive-design strand, they add a shell-keyed, reproducible tiering rule to a toolkit that had graded operators without yet pricing places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None of this overturns the prior work; each completes a move the prior work set up and left unfinished, which is the proper aim of a dissertation meaning to add rather than to contradict.</w:t>
      </w:r>
    </w:p>
    <w:bookmarkEnd w:id="78"/>
    <w:bookmarkStart w:id="79" w:name="adjacent-domains-that-inform-the-frame"/>
    <w:p>
      <w:pPr>
        <w:pStyle w:val="Heading2"/>
        <w:spacing w:line="480" w:lineRule="auto"/>
      </w:pPr>
      <w:r>
        <w:t xml:space="preserve">2.9 Adjacent domains that inform the frame</w:t>
      </w:r>
    </w:p>
    <w:p>
      <w:pPr>
        <w:pStyle w:val="FirstParagraph"/>
        <w:spacing w:line="480" w:lineRule="auto"/>
      </w:pPr>
      <w:r>
        <w:t xml:space="preserve">Two neighboring literatures, off the topic of orbital congestion yet shaping how the problem reads, deserve a brief nod. The first is the operational-constraints work on satellite fleet management, documenting how real operators wrestle with the physical limits of low Earth orbit down at the level of a single mission</w:t>
      </w:r>
      <w:r>
        <w:t xml:space="preserve"> </w:t>
      </w:r>
      <w:hyperlink w:anchor="ref-23">
        <w:r>
          <w:rPr>
            <w:rStyle w:val="Hyperlink"/>
          </w:rPr>
          <w:t xml:space="preserve">[23]</w:t>
        </w:r>
      </w:hyperlink>
      <w:r>
        <w:t xml:space="preserve">. It matters to the pricing case because it establishes that congestion is no abstraction for operators but a daily burden that drains fuel, planning time, and mission margin. A fee that priced congestion would book costs operators already pay in kind, which strengthens the case that a price would redirect behavior rather than merely skim revenue.</w:t>
      </w:r>
    </w:p>
    <w:p>
      <w:pPr>
        <w:pStyle w:val="BodyText"/>
        <w:spacing w:line="480" w:lineRule="auto"/>
        <w:ind w:firstLine="720"/>
      </w:pPr>
      <w:r>
        <w:t xml:space="preserve">The second is the constellation-architecture work, studying how multi-satellite systems get designed to deliver a service across chosen orbits</w:t>
      </w:r>
      <w:r>
        <w:t xml:space="preserve"> </w:t>
      </w:r>
      <w:hyperlink w:anchor="ref-29">
        <w:r>
          <w:rPr>
            <w:rStyle w:val="Hyperlink"/>
          </w:rPr>
          <w:t xml:space="preserve">[29]</w:t>
        </w:r>
      </w:hyperlink>
      <w:r>
        <w:t xml:space="preserve">. It supplies the demand-side microfoundation for why certain shells fill: architectures tuned for coverage, revisit, or lighting converge on the same desirable regimes, producing the agglomeration the pressure surface later reads. Setting the congestion finding beside the architecture literature makes plain that the crowding is not accidental but the foreseeable result of many operators solving similar design problems in one orbital neighborhood, exactly the setting where a corrective price has the most to correct</w:t>
      </w:r>
      <w:r>
        <w:t xml:space="preserve"> </w:t>
      </w:r>
      <w:hyperlink w:anchor="ref-15">
        <w:r>
          <w:rPr>
            <w:rStyle w:val="Hyperlink"/>
          </w:rPr>
          <w:t xml:space="preserve">[15]</w:t>
        </w:r>
      </w:hyperlink>
      <w:r>
        <w:t xml:space="preserve"> </w:t>
      </w:r>
      <w:hyperlink w:anchor="ref-29">
        <w:r>
          <w:rPr>
            <w:rStyle w:val="Hyperlink"/>
          </w:rPr>
          <w:t xml:space="preserve">[29]</w:t>
        </w:r>
      </w:hyperlink>
      <w:r>
        <w:t xml:space="preserve">.</w:t>
      </w:r>
    </w:p>
    <w:p>
      <w:pPr>
        <w:pStyle w:val="BodyText"/>
        <w:spacing w:line="480" w:lineRule="auto"/>
        <w:ind w:firstLine="720"/>
      </w:pPr>
      <w:r>
        <w:t xml:space="preserve">Neither adjacent strand shifts the gap identified above, but both underline its weight. The operational work shows the costs of congestion already being borne; the architecture work shows the crowding continuing as long as the desirable regimes stay free. Between them they make the unpriced externality concrete on the cost side and the demand side at once, the empirical reality the two papers render as an estimated schedule</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79"/>
    <w:bookmarkStart w:id="80" w:name="the-state-of-empirical-pricing-work"/>
    <w:p>
      <w:pPr>
        <w:pStyle w:val="Heading2"/>
        <w:spacing w:line="480" w:lineRule="auto"/>
      </w:pPr>
      <w:r>
        <w:t xml:space="preserve">2.10 The state of empirical pricing work</w:t>
      </w:r>
    </w:p>
    <w:p>
      <w:pPr>
        <w:pStyle w:val="FirstParagraph"/>
        <w:spacing w:line="480" w:lineRule="auto"/>
      </w:pPr>
      <w:r>
        <w:t xml:space="preserve">It is worth saying plainly how thin the empirical pricing work is, because the thinness is the reason this dissertation matters. The field runs rich in models and poor in estimated schedules. Source-sink models compute how debris populations evolve and capacity models compute how many objects a shell can bear, yet neither hands back a fee ordering a regulator could adopt tomorrow from public data</w:t>
      </w:r>
      <w:r>
        <w:t xml:space="preserve"> </w:t>
      </w:r>
      <w:hyperlink w:anchor="ref-8">
        <w:r>
          <w:rPr>
            <w:rStyle w:val="Hyperlink"/>
          </w:rPr>
          <w:t xml:space="preserve">[8]</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economics supplies the corrective-pricing logic in general form and the sustainability work supplies incentives scored on operators, yet the specific object, a shell-keyed pressure surface fitted to an observable catalog, has not shown up</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Not because the question bores anyone, but because it sits between disciplines, demanding the environment modelers’ eye for where risk concentrates, the economists’ eye for marginal cost, and the data discipline to build a reproducible table, and few efforts have joined all three at the resolution a fee needs. The opening is therefore a real seam rather than an obvious task left undone, and filling it with two transparent estimators on a public snapshot is the concrete step the review has been driving toward. The chapters ahead take that step, and the theory chapter comes next to explain why the surface those estimators characterize should arrive structured rather than flat to begin with</w:t>
      </w:r>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bookmarkEnd w:id="80"/>
    <w:bookmarkEnd w:id="81"/>
    <w:bookmarkStart w:id="92" w:name="Xc1925b775c1eed94214c53c885b0dddeac6b673"/>
    <w:p>
      <w:pPr>
        <w:pStyle w:val="Heading1"/>
        <w:spacing w:line="480" w:lineRule="auto"/>
      </w:pPr>
      <w:r>
        <w:t xml:space="preserve">Chapter 3. Theory and Hypotheses: Shadow Prices for a Finite Orbital Commons</w:t>
      </w:r>
    </w:p>
    <w:p>
      <w:pPr>
        <w:pStyle w:val="FirstParagraph"/>
        <w:spacing w:line="480" w:lineRule="auto"/>
      </w:pPr>
      <w:r>
        <w:t xml:space="preserve">Underneath the empirical work sits a theory that says orbital congestion ought to be priced convexly, not flat. This chapter assembles that theory from the ground up, draws out the shadow-price reading that converts an occupancy pattern into a fee ordering, and states the predictions the two estimators will meet. The reasoning is kept in the open on purpose. A theory that cannot commit in advance to which coefficients should come back positive is a theory nothing could refute.</w:t>
      </w:r>
    </w:p>
    <w:bookmarkStart w:id="82" w:name="the-externality-and-its-curvature"/>
    <w:p>
      <w:pPr>
        <w:pStyle w:val="Heading2"/>
        <w:spacing w:line="480" w:lineRule="auto"/>
      </w:pPr>
      <w:r>
        <w:t xml:space="preserve">3.1 The externality and its curvature</w:t>
      </w:r>
    </w:p>
    <w:p>
      <w:pPr>
        <w:pStyle w:val="FirstParagraph"/>
        <w:spacing w:line="480" w:lineRule="auto"/>
      </w:pPr>
      <w:r>
        <w:t xml:space="preserve">Take one shell, and let its occupancy be the count of tracked objects sharing that altitude and inclination. Every object weighs on the others: it has to be screened against, now and then dodged, and it carries some chance of a collision that would breed more debris. A private choice to add an object sets the operator’s own gain against the operator’s own cost, while the social reckoning tacks on the burden dropped on every incumbent now obliged to screen against the newcomer. The wedge between the two is the externality. It is trivial for the first object and heavy by the millionth, and everything the theory says about pricing follows from how fast that wedge widens.</w:t>
      </w:r>
    </w:p>
    <w:p>
      <w:pPr>
        <w:pStyle w:val="BodyText"/>
        <w:spacing w:line="480" w:lineRule="auto"/>
        <w:ind w:firstLine="720"/>
      </w:pPr>
      <w:r>
        <w:t xml:space="preserve">Its shape is what the whole question comes down to. Suppose the collision probability between any two objects holds roughly steady per pair; then the count of hazardous pairs in a shell grows with the square of occupancy, since pairs multiply combinatorially while objects add only one at a time, and an entrant into a shell of occupancy N spins up on the order of N fresh pairs, so the marginal external cost mounts as the shell fills. That is convexity. It is no convenience assumption. It is a straight consequence of the pairwise structure of conjunction risk</w:t>
      </w:r>
      <w:r>
        <w:t xml:space="preserve"> </w:t>
      </w:r>
      <w:hyperlink w:anchor="ref-4">
        <w:r>
          <w:rPr>
            <w:rStyle w:val="Hyperlink"/>
          </w:rPr>
          <w:t xml:space="preserve">[4]</w:t>
        </w:r>
      </w:hyperlink>
      <w:r>
        <w:t xml:space="preserve">. The criticality literature backs the intuition in physical terms: the bands already carrying dense, persistent populations are the bands where one more object does the most marginal damage, because it meets the most existing objects and its own wreckage will linger among them</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Two refinements sharpen the account. The first is that debris and active payloads are not the same animal. A debris object cannot maneuver; it is pure hazard, feeding every conjunction and dodging none, whereas an active payload can maneuver even while it generates operational demand, occupies a commercially chosen slot, and will itself decay into debris at end of life. Marginal external cost therefore turns not only on how many objects share the shell but on what those objects are. The second refinement is that persistence tracks altitude, since objects in the higher LEO shells decay far slower than objects in the lowest, so a hazard left at 800 kilometers charges cost over a far longer horizon than the same hazard left at 300 kilometers</w:t>
      </w:r>
      <w:r>
        <w:t xml:space="preserve"> </w:t>
      </w:r>
      <w:hyperlink w:anchor="ref-1">
        <w:r>
          <w:rPr>
            <w:rStyle w:val="Hyperlink"/>
          </w:rPr>
          <w:t xml:space="preserve">[1]</w:t>
        </w:r>
      </w:hyperlink>
      <w:r>
        <w:t xml:space="preserve"> </w:t>
      </w:r>
      <w:hyperlink w:anchor="ref-2">
        <w:r>
          <w:rPr>
            <w:rStyle w:val="Hyperlink"/>
          </w:rPr>
          <w:t xml:space="preserve">[2]</w:t>
        </w:r>
      </w:hyperlink>
      <w:r>
        <w:t xml:space="preserve">. Composition and persistence together make marginal external cost a function of shell structure, not merely shell headcount.</w:t>
      </w:r>
    </w:p>
    <w:bookmarkEnd w:id="82"/>
    <w:bookmarkStart w:id="83" w:name="from-marginal-cost-to-shadow-price"/>
    <w:p>
      <w:pPr>
        <w:pStyle w:val="Heading2"/>
        <w:spacing w:line="480" w:lineRule="auto"/>
      </w:pPr>
      <w:r>
        <w:t xml:space="preserve">3.2 From marginal cost to shadow price</w:t>
      </w:r>
    </w:p>
    <w:p>
      <w:pPr>
        <w:pStyle w:val="FirstParagraph"/>
        <w:spacing w:line="480" w:lineRule="auto"/>
      </w:pPr>
      <w:r>
        <w:t xml:space="preserve">The span from physics to policy is the shadow price. Inside a constrained optimization of orbital use, a shell’s shadow price is the marginal social value of loosening that shell’s effective capacity by a single object. A shell near its ceiling prices high; a shell far below it prices low. In the ideal case the corrective fee that folds the externality back in equals that shadow price, so pricing the commons right means charging each entrant the shadow price of whatever shell it picks, no more where the shell stands empty and no less where the shell stands full.</w:t>
      </w:r>
    </w:p>
    <w:p>
      <w:pPr>
        <w:pStyle w:val="BodyText"/>
        <w:spacing w:line="480" w:lineRule="auto"/>
        <w:ind w:firstLine="720"/>
      </w:pPr>
      <w:r>
        <w:t xml:space="preserve">The dissertation never observes the shadow price outright, because it never solves the full welfare problem. What it sees instead is occupancy pressure, the realized bunching of objects, and that bunching is the empirical trace of scarcity: where operators have crowded in and hazard has piled up the shadow price runs high, and where the shell sits empty it runs low. Fitting how occupancy pressure moves with observable composition is therefore an estimate of the relative shadow-price surface across shells, up to a normalization. In that sense a regression on shell composition recovers a fee ordering, the fitted pressure, rescaled so the median shell reads one, standing as a relative shadow-price index a tiered fee would follow</w:t>
      </w:r>
      <w:r>
        <w:t xml:space="preserve"> </w:t>
      </w:r>
      <w:hyperlink w:anchor="ref-8">
        <w:r>
          <w:rPr>
            <w:rStyle w:val="Hyperlink"/>
          </w:rPr>
          <w:t xml:space="preserve">[8]</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claim is relative, not absolute, and the theory is careful to admit it. The regression cannot produce a dollar figure, because carrying a shadow-price index into a monetary charge takes a welfare target and a normalization rule the data do not hold. What the regression can produce is the shape: flat, in which case a flat fee is efficient, or structured, in which case it is not.</w:t>
      </w:r>
    </w:p>
    <w:bookmarkEnd w:id="83"/>
    <w:bookmarkStart w:id="84" w:name="the-four-composition-predictors"/>
    <w:p>
      <w:pPr>
        <w:pStyle w:val="Heading2"/>
        <w:spacing w:line="480" w:lineRule="auto"/>
      </w:pPr>
      <w:r>
        <w:t xml:space="preserve">3.3 The four composition predictors</w:t>
      </w:r>
    </w:p>
    <w:p>
      <w:pPr>
        <w:pStyle w:val="FirstParagraph"/>
        <w:spacing w:line="480" w:lineRule="auto"/>
      </w:pPr>
      <w:r>
        <w:t xml:space="preserve">Theory fixes the variables before the data are touched. Four observable features of a shell should carry the shadow-price signal, and debris share is the first of them. A shell run by debris is a shell of pure hazard with no maneuver capacity to blunt it, and by the criticality argument its marginal external cost sits elevated. More debris share should mean more occupancy pressure and a higher shadow price</w:t>
      </w:r>
      <w:r>
        <w:t xml:space="preserve"> </w:t>
      </w:r>
      <w:hyperlink w:anchor="ref-4">
        <w:r>
          <w:rPr>
            <w:rStyle w:val="Hyperlink"/>
          </w:rPr>
          <w:t xml:space="preserve">[4]</w:t>
        </w:r>
      </w:hyperlink>
      <w:r>
        <w:t xml:space="preserve">.</w:t>
      </w:r>
    </w:p>
    <w:p>
      <w:pPr>
        <w:pStyle w:val="BodyText"/>
        <w:spacing w:line="480" w:lineRule="auto"/>
        <w:ind w:firstLine="720"/>
      </w:pPr>
      <w:r>
        <w:t xml:space="preserve">Active payload share is the second, and theoretically the most interesting. A naive reading treats congestion pricing as a debris-cleanup tax that touches only legacy junk. The theory throws that reading out. Active payloads generate operational congestion now and turn into debris later, so a shell thick with working operators is a shell where the entrant burdens both current missions and future access. Active payload share should therefore push pressure up, and if it does, the instrument has to govern live market behavior, not only historical pollution</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Sun-synchronous geometry is the third. The sun-synchronous and near-polar regime dominates commercially and scientifically because it delivers repeatable lighting for imaging and Earth observation, and traffic gathers there far past its share of orbital volume</w:t>
      </w:r>
      <w:r>
        <w:t xml:space="preserve"> </w:t>
      </w:r>
      <w:hyperlink w:anchor="ref-15">
        <w:r>
          <w:rPr>
            <w:rStyle w:val="Hyperlink"/>
          </w:rPr>
          <w:t xml:space="preserve">[15]</w:t>
        </w:r>
      </w:hyperlink>
      <w:r>
        <w:t xml:space="preserve">. The theory expects the sun-synchronous indicator to carry a large positive coefficient, since agglomeration in a favored geometry is just where scarcity bites hardest.</w:t>
      </w:r>
    </w:p>
    <w:p>
      <w:pPr>
        <w:pStyle w:val="BodyText"/>
        <w:spacing w:line="480" w:lineRule="auto"/>
        <w:ind w:firstLine="720"/>
      </w:pPr>
      <w:r>
        <w:t xml:space="preserve">The 500 to 900 kilometer band is the fourth. This altitude range marries commercial appeal to slow decay, so hazards left there persist and the band draws the bulk of present congestion worry</w:t>
      </w:r>
      <w:r>
        <w:t xml:space="preserve"> </w:t>
      </w:r>
      <w:hyperlink w:anchor="ref-2">
        <w:r>
          <w:rPr>
            <w:rStyle w:val="Hyperlink"/>
          </w:rPr>
          <w:t xml:space="preserve">[2]</w:t>
        </w:r>
      </w:hyperlink>
      <w:r>
        <w:t xml:space="preserve"> </w:t>
      </w:r>
      <w:hyperlink w:anchor="ref-11">
        <w:r>
          <w:rPr>
            <w:rStyle w:val="Hyperlink"/>
          </w:rPr>
          <w:t xml:space="preserve">[11]</w:t>
        </w:r>
      </w:hyperlink>
      <w:r>
        <w:t xml:space="preserve">. Its indicator should read positive, though the theory stays agnostic on whether it outranks the regime and composition terms, since much of the band’s risk may already be captured by debris share and sun-synchronous bunching.</w:t>
      </w:r>
    </w:p>
    <w:bookmarkEnd w:id="84"/>
    <w:bookmarkStart w:id="85" w:name="hypotheses-for-paper-1"/>
    <w:p>
      <w:pPr>
        <w:pStyle w:val="Heading2"/>
        <w:spacing w:line="480" w:lineRule="auto"/>
      </w:pPr>
      <w:r>
        <w:t xml:space="preserve">3.4 Hypotheses for Paper 1</w:t>
      </w:r>
    </w:p>
    <w:p>
      <w:pPr>
        <w:pStyle w:val="FirstParagraph"/>
        <w:spacing w:line="480" w:lineRule="auto"/>
      </w:pPr>
      <w:r>
        <w:t xml:space="preserve">The first paper tests the shape of the pressure surface head-on. Let occupancy pressure be the natural log of one plus tracked count in a shell-regime bin, and let the model regress it on the four composition predictors.</w:t>
      </w:r>
    </w:p>
    <w:p>
      <w:pPr>
        <w:pStyle w:val="BodyText"/>
        <w:spacing w:line="480" w:lineRule="auto"/>
        <w:ind w:firstLine="720"/>
      </w:pPr>
      <w:r>
        <w:t xml:space="preserve">H0 for Paper 1: occupancy pressure bears no systematic tie to shell composition; the composition coefficients are jointly zero, and the pricing surface is flat enough to hold a uniform fee.</w:t>
      </w:r>
    </w:p>
    <w:p>
      <w:pPr>
        <w:pStyle w:val="BodyText"/>
        <w:spacing w:line="480" w:lineRule="auto"/>
        <w:ind w:firstLine="720"/>
      </w:pPr>
      <w:r>
        <w:t xml:space="preserve">H1 for Paper 1: occupancy pressure rises with debris share, active payload share, sun-synchronous geometry, and the 500 to 900 kilometer band; the composition coefficients are jointly and individually positive, and the pricing surface is structured.</w:t>
      </w:r>
    </w:p>
    <w:p>
      <w:pPr>
        <w:pStyle w:val="BodyText"/>
        <w:spacing w:line="480" w:lineRule="auto"/>
        <w:ind w:firstLine="720"/>
      </w:pPr>
      <w:r>
        <w:t xml:space="preserve">Reject H0 and the flat fee is out as the correct empirical baseline. The sign pattern then narrates the pricing story, marking which shell features most lift its shadow price.</w:t>
      </w:r>
    </w:p>
    <w:bookmarkEnd w:id="85"/>
    <w:bookmarkStart w:id="86" w:name="hypotheses-for-paper-2"/>
    <w:p>
      <w:pPr>
        <w:pStyle w:val="Heading2"/>
        <w:spacing w:line="480" w:lineRule="auto"/>
      </w:pPr>
      <w:r>
        <w:t xml:space="preserve">3.5 Hypotheses for Paper 2</w:t>
      </w:r>
    </w:p>
    <w:p>
      <w:pPr>
        <w:pStyle w:val="FirstParagraph"/>
        <w:spacing w:line="480" w:lineRule="auto"/>
      </w:pPr>
      <w:r>
        <w:t xml:space="preserve">Rejecting the flat fee is necessary but not sufficient for a workable schedule, since a regulator still needs a rule for which shells belong in the top band. The second paper tests whether the data contain such a rule. Call a shell top-tier when it lands in the top tercile of tracked occupancy, and model the probability of top-tier membership on the same composition variables.</w:t>
      </w:r>
    </w:p>
    <w:p>
      <w:pPr>
        <w:pStyle w:val="BodyText"/>
        <w:spacing w:line="480" w:lineRule="auto"/>
        <w:ind w:firstLine="720"/>
      </w:pPr>
      <w:r>
        <w:t xml:space="preserve">H0 for Paper 2: top-tier membership has no tie to composition; the high-fee shells scatter across regimes, and a banded schedule would be administratively arbitrary.</w:t>
      </w:r>
    </w:p>
    <w:p>
      <w:pPr>
        <w:pStyle w:val="BodyText"/>
        <w:spacing w:line="480" w:lineRule="auto"/>
        <w:ind w:firstLine="720"/>
      </w:pPr>
      <w:r>
        <w:t xml:space="preserve">H1 for Paper 2: top-tier membership climbs steeply with sun-synchronous geometry and active payload share; the high-fee shells gather in recognizable regimes, and a banded schedule is defensible.</w:t>
      </w:r>
    </w:p>
    <w:p>
      <w:pPr>
        <w:pStyle w:val="BodyText"/>
        <w:spacing w:line="480" w:lineRule="auto"/>
        <w:ind w:firstLine="720"/>
      </w:pPr>
      <w:r>
        <w:t xml:space="preserve">Should H1 hold for Paper 2, the theory delivers its full result: the pricing surface is not only structured but discretely tierable, and the top tier is a regime-and-composition phenomenon rather than a bare altitude cutoff.</w:t>
      </w:r>
    </w:p>
    <w:bookmarkEnd w:id="86"/>
    <w:bookmarkStart w:id="87" w:name="what-convexity-would-and-would-not-prove"/>
    <w:p>
      <w:pPr>
        <w:pStyle w:val="Heading2"/>
        <w:spacing w:line="480" w:lineRule="auto"/>
      </w:pPr>
      <w:r>
        <w:t xml:space="preserve">3.6 What convexity would and would not prove</w:t>
      </w:r>
    </w:p>
    <w:p>
      <w:pPr>
        <w:pStyle w:val="FirstParagraph"/>
        <w:spacing w:line="480" w:lineRule="auto"/>
      </w:pPr>
      <w:r>
        <w:t xml:space="preserve">The theory draws its own boundaries, and naming them keeps the claim well posed. A positive, structured pressure surface would prove the marginal congestion signal uneven and a flat fee guilty of mischarging the commons in a foreseeable direction. It would not prove any particular dollar tariff, since the shadow-price index is relative. It would not prove causation, since occupancy is the residue of history and not an experiment. And it would not prove the tracked catalog captures all physical risk, since sub-catalog flux goes unobserved here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These boundaries are not evasions. They are the edge of a well-posed claim, and the falsifiable core inside that edge is narrow and clean. Let the composition coefficients come back zero or negative and the theory is wrong and the flat fee holds. Let them come back positive with the top tier clustering and the theory is confirmed and orbital-use governance has to sit on tiered ground. Either way the data decide. The next chapter turns to the estimators that will do the deciding.</w:t>
      </w:r>
    </w:p>
    <w:bookmarkEnd w:id="87"/>
    <w:bookmarkStart w:id="88" w:name="a-worked-intuition-for-the-magnitudes"/>
    <w:p>
      <w:pPr>
        <w:pStyle w:val="Heading2"/>
        <w:spacing w:line="480" w:lineRule="auto"/>
      </w:pPr>
      <w:r>
        <w:t xml:space="preserve">3.7 A worked intuition for the magnitudes</w:t>
      </w:r>
    </w:p>
    <w:p>
      <w:pPr>
        <w:pStyle w:val="FirstParagraph"/>
        <w:spacing w:line="480" w:lineRule="auto"/>
      </w:pPr>
      <w:r>
        <w:t xml:space="preserve">Carrying a rough sense of what a large coefficient would mean, before the numbers land, lets the results chapter report magnitudes rather than surprises. Because Paper 1’s dependent variable is a natural log, a composition coefficient is roughly the proportional shift in occupancy pressure for a unit move in the predictor. A coefficient of two on a share running from zero to one says that going from a shell empty of that feature to one saturated with it multiplies occupancy pressure sharply, the exponentiated effect compounding as it goes. For the binary sun-synchronous indicator, a coefficient near three says the regime by itself carries a shell far up the pressure surface with composition held fixed. The theory forecasts precisely these large positive shifts, since agglomeration in a favored geometry and saturation with working operators are the very conditions under which scarcity turns acute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In Paper 2’s logit the same logic reads in odds. A coefficient enters multiplicatively through exponentiation, so a coefficient near three on the sun-synchronous indicator matches an odds multiplier well above ten, a sun-synchronous shell many times likelier than an otherwise similar shell in another regime to sit in the top tier. The theory expects active payload share, entering as a share with a large coefficient, to produce a steeper multiplier still. Should the estimated odds ratios land in that range, they are more than statistically distinguishable from one; they are large enough to warrant a discrete top band as a matter of policy design rather than statistical ornament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results chapter will set the estimates against these expectations and note where the data speak more or less sharply than the theory demanded.</w:t>
      </w:r>
    </w:p>
    <w:bookmarkEnd w:id="88"/>
    <w:bookmarkStart w:id="89" w:name="the-welfare-logic-behind-a-tiered-price"/>
    <w:p>
      <w:pPr>
        <w:pStyle w:val="Heading2"/>
        <w:spacing w:line="480" w:lineRule="auto"/>
      </w:pPr>
      <w:r>
        <w:t xml:space="preserve">3.8 The welfare logic behind a tiered price</w:t>
      </w:r>
    </w:p>
    <w:p>
      <w:pPr>
        <w:pStyle w:val="FirstParagraph"/>
        <w:spacing w:line="480" w:lineRule="auto"/>
      </w:pPr>
      <w:r>
        <w:t xml:space="preserve">Convexity establishes that marginal external cost varies across shells, but the case for a tiered price leans on a further welfare claim worth making plain. A corrective charge is efficient when it levels the marginal social cost of access across the shells an operator can pick among. Let every shell carry the same fee while marginal external costs differ, and an operator weighing two shells faces a price signal blind to the real difference in social cost, and over-enters the crowded shell against the efficient allocation. A tiered fee mends this by lifting the private cost of the high-shadow-price shell until the operator’s private trade-off meets the social one. The tiering is no redistributive taste; it is the condition under which the price does its corrective work at all</w:t>
      </w:r>
      <w:r>
        <w:t xml:space="preserve"> </w:t>
      </w:r>
      <w:hyperlink w:anchor="ref-13">
        <w:r>
          <w:rPr>
            <w:rStyle w:val="Hyperlink"/>
          </w:rPr>
          <w:t xml:space="preserve">[13]</w:t>
        </w:r>
      </w:hyperlink>
      <w:r>
        <w:t xml:space="preserve">.</w:t>
      </w:r>
    </w:p>
    <w:p>
      <w:pPr>
        <w:pStyle w:val="BodyText"/>
        <w:spacing w:line="480" w:lineRule="auto"/>
        <w:ind w:firstLine="720"/>
      </w:pPr>
      <w:r>
        <w:t xml:space="preserve">That welfare logic also explains why the dissertation treats a flat fee as an error and not a mere simplification. A simplification that held efficiency would stand on administrative grounds. A flat fee does not hold efficiency when marginal costs differ; it induces the very misallocation the fee was meant to head off, subsidizing entry into the shells where entry costs others the most. The theory therefore forecasts not merely that a flat fee is imprecise but that it errs in a fixed direction, undercharging the high-pressure shells, and the empirical chapters test that directional forecast rather than a vague charge of imperfection</w:t>
      </w:r>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bookmarkEnd w:id="89"/>
    <w:bookmarkStart w:id="90" w:name="X956bfe7e0b68c016480364aca51fe029a147a06"/>
    <w:p>
      <w:pPr>
        <w:pStyle w:val="Heading2"/>
        <w:spacing w:line="480" w:lineRule="auto"/>
      </w:pPr>
      <w:r>
        <w:t xml:space="preserve">3.9 Alternative hypotheses the design must rule out</w:t>
      </w:r>
    </w:p>
    <w:p>
      <w:pPr>
        <w:pStyle w:val="FirstParagraph"/>
        <w:spacing w:line="480" w:lineRule="auto"/>
      </w:pPr>
      <w:r>
        <w:t xml:space="preserve">A well-posed theory names the rivals its test might confuse with the real thing, so the results can read as evidence for the mechanism rather than for an artifact. Three rivals deserve a hearing. The first says occupancy pressure reflects launch history alone and no congestion mechanism, the composition coefficients merely logging where launches went. The theory grants that history drives occupancy but notes that the prediction concerns which compositional features carry pressure, and history has no reason to load pressure onto debris share and active payload share in particular unless those features track scarcity, which is the mechanism</w:t>
      </w:r>
      <w:r>
        <w:t xml:space="preserve"> </w:t>
      </w:r>
      <w:hyperlink w:anchor="ref-12">
        <w:r>
          <w:rPr>
            <w:rStyle w:val="Hyperlink"/>
          </w:rPr>
          <w:t xml:space="preserve">[12]</w:t>
        </w:r>
      </w:hyperlink>
      <w:r>
        <w:t xml:space="preserve">. The second rival says the sun-synchronous coefficient reflects a measurement convenience, the regime being easy to spot, rather than genuine congestion. The design blocks this by seating debris share and active payload share beside the regime indicator, so the regime term must carry pressure beyond composition to stay significant</w:t>
      </w:r>
      <w:r>
        <w:t xml:space="preserve"> </w:t>
      </w:r>
      <w:hyperlink w:anchor="ref-15">
        <w:r>
          <w:rPr>
            <w:rStyle w:val="Hyperlink"/>
          </w:rPr>
          <w:t xml:space="preserve">[15]</w:t>
        </w:r>
      </w:hyperlink>
      <w:r>
        <w:t xml:space="preserve">. The third rival says the whole surface is an artifact of the log transform. The theory forestalls this by forecasting sign and relative magnitude, not just nonzero coefficients, so a transform artifact, which would not respect the predicted ordering of active use over debris over band, stays distinguishable from the mechanism. The results chapter reports that ordering precisely, so the rival can be weighed rather than waved off</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0"/>
    <w:bookmarkStart w:id="91" w:name="from-continuous-surface-to-discrete-tier"/>
    <w:p>
      <w:pPr>
        <w:pStyle w:val="Heading2"/>
        <w:spacing w:line="480" w:lineRule="auto"/>
      </w:pPr>
      <w:r>
        <w:t xml:space="preserve">3.10 From continuous surface to discrete tier</w:t>
      </w:r>
    </w:p>
    <w:p>
      <w:pPr>
        <w:pStyle w:val="FirstParagraph"/>
        <w:spacing w:line="480" w:lineRule="auto"/>
      </w:pPr>
      <w:r>
        <w:t xml:space="preserve">So far the theory has held the pressure surface continuous, yet a fee schedule run in practice is usually discrete, sorting shells into a handful of bands. Moving from a continuous shadow-price index to a discrete tier is not mere administrative convenience; it rests on a theoretical rationale. Continuous pricing would have a regulator compute and defend a separate charge for every shell, widening the ground for dispute and demanding more precision than the estimate can honestly bear. A tiered schedule coarsens the price into bands whose edges can be defended as thresholds rather than point estimates, matching the precision the data actually carry. The second paper’s logit is the formal counterpart of that move: it asks not what each shell’s exact shadow price is but whether a shell belongs in the top band, a question the data answer more robustly than a continuous price</w:t>
      </w:r>
      <w:r>
        <w:t xml:space="preserve"> </w:t>
      </w:r>
      <w:hyperlink w:anchor="ref-10">
        <w:r>
          <w:rPr>
            <w:rStyle w:val="Hyperlink"/>
          </w:rPr>
          <w:t xml:space="preserve">[10]</w:t>
        </w:r>
      </w:hyperlink>
      <w:r>
        <w:t xml:space="preserve">.</w:t>
      </w:r>
    </w:p>
    <w:p>
      <w:pPr>
        <w:pStyle w:val="BodyText"/>
        <w:spacing w:line="480" w:lineRule="auto"/>
        <w:ind w:firstLine="720"/>
      </w:pPr>
      <w:r>
        <w:t xml:space="preserve">The theoretical forecast for the discrete model follows from the continuous one. If the pressure surface climbs steeply with active use and sun-synchronous geometry, then the shells breaking into the top band should be disproportionately those that hold both features. The logit therefore forecasts large positive coefficients on the same two variables that dominate the continuous model, and the theory expects the two models to agree closely, since they are two views of one surface</w:t>
      </w:r>
      <w:r>
        <w:t xml:space="preserve"> </w:t>
      </w:r>
      <w:hyperlink w:anchor="ref-9">
        <w:r>
          <w:rPr>
            <w:rStyle w:val="Hyperlink"/>
          </w:rPr>
          <w:t xml:space="preserve">[9]</w:t>
        </w:r>
      </w:hyperlink>
      <w:r>
        <w:t xml:space="preserve"> </w:t>
      </w:r>
      <w:hyperlink w:anchor="ref-15">
        <w:r>
          <w:rPr>
            <w:rStyle w:val="Hyperlink"/>
          </w:rPr>
          <w:t xml:space="preserve">[15]</w:t>
        </w:r>
      </w:hyperlink>
      <w:r>
        <w:t xml:space="preserve">. Where continuous and discrete disagree, the theory strains; where they agree, as the results chapter reports they do, the mechanism is corroborated from two directions at once. That coherence between a continuous and a discrete reading of the same shells is the theoretical signature the empirical work was built to hunt for, and finding it is what licenses the step from rejecting a flat fee to constructing a tiered one</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91"/>
    <w:bookmarkEnd w:id="92"/>
    <w:bookmarkStart w:id="106"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run the dissertation, each matched to a question. A robust ordinary least squares model asks whether the occupancy-pressure surface comes flat or structured. A logit model asks whether the shells that would bear the top fee form one coherent, identifiable band. This chapter sets out each estimator formally, explains why it suits its question, and faces the identification issue without flinching, marking off what the models can claim from what they cannot.</w:t>
      </w:r>
    </w:p>
    <w:bookmarkStart w:id="93" w:name="the-estimation-target"/>
    <w:p>
      <w:pPr>
        <w:pStyle w:val="Heading2"/>
        <w:spacing w:line="480" w:lineRule="auto"/>
      </w:pPr>
      <w:r>
        <w:t xml:space="preserve">4.1 The estimation target</w:t>
      </w:r>
    </w:p>
    <w:p>
      <w:pPr>
        <w:pStyle w:val="FirstParagraph"/>
        <w:spacing w:line="480" w:lineRule="auto"/>
      </w:pPr>
      <w:r>
        <w:t xml:space="preserve">Both models run on one unit, the shell-regime bin. A bin is a 100 kilometer altitude shell crossed with one of four inclination regimes, a two-dimensional partition of the low Earth orbit population from 200 kilometers to under 2000 kilometers. Out of that partition come seventy-two real bins, each an aggregate of tracked catalog records rather than a fabricated cell</w:t>
      </w:r>
      <w:r>
        <w:t xml:space="preserve"> </w:t>
      </w:r>
      <w:hyperlink w:anchor="ref-3">
        <w:r>
          <w:rPr>
            <w:rStyle w:val="Hyperlink"/>
          </w:rPr>
          <w:t xml:space="preserve">[3]</w:t>
        </w:r>
      </w:hyperlink>
      <w:r>
        <w:t xml:space="preserve"> </w:t>
      </w:r>
      <w:hyperlink w:anchor="ref-6">
        <w:r>
          <w:rPr>
            <w:rStyle w:val="Hyperlink"/>
          </w:rPr>
          <w:t xml:space="preserve">[6]</w:t>
        </w:r>
      </w:hyperlink>
      <w:r>
        <w:t xml:space="preserve">. Picking the bin as unit is a methodological commitment with a reason behind it. A fee schedule must be written against something a regulator can name and watch. The bin is that thing: an altitude band and a regime, the coordinates in which operators file, constellations deploy, and congestion gets argued over by everyone who has to live with it.</w:t>
      </w:r>
    </w:p>
    <w:p>
      <w:pPr>
        <w:pStyle w:val="BodyText"/>
        <w:spacing w:line="480" w:lineRule="auto"/>
        <w:ind w:firstLine="720"/>
      </w:pPr>
      <w:r>
        <w:t xml:space="preserve">What the estimation targets is the shape of the tie between bin composition and bin occupancy pressure. It is not a treatment effect. No policy flipped on for some bins and off for others, so no experiment waits to be exploited. The target is descriptive by design. The honesty of that design hangs on saying so outright and then drawing exactly the inference a descriptive design supports, and not one inference past it.</w:t>
      </w:r>
    </w:p>
    <w:bookmarkEnd w:id="93"/>
    <w:bookmarkStart w:id="94" w:name="the-ols-pressure-model"/>
    <w:p>
      <w:pPr>
        <w:pStyle w:val="Heading2"/>
        <w:spacing w:line="480" w:lineRule="auto"/>
      </w:pPr>
      <w:r>
        <w:t xml:space="preserve">4.2 The OLS pressure model</w:t>
      </w:r>
    </w:p>
    <w:p>
      <w:pPr>
        <w:pStyle w:val="FirstParagraph"/>
        <w:spacing w:line="480" w:lineRule="auto"/>
      </w:pPr>
      <w:r>
        <w:t xml:space="preserve">The first estimator is robust OLS. Its dependent variable is occupancy pressure, defined as the natural log of one plus the tracked count in a bin. The log-plus-one transform earns its place twice over: it flattens the heavy right tail of the occupancy distribution so the busiest shells do not run away with the fit, and it takes in bins holding zero tracked objects without discarding them. The specification is</w:t>
      </w:r>
    </w:p>
    <w:p>
      <w:pPr>
        <w:pStyle w:val="BodyText"/>
        <w:spacing w:line="480" w:lineRule="auto"/>
        <w:ind w:firstLine="720"/>
      </w:pPr>
      <w:r>
        <w:t xml:space="preserve">log(1 + N_sb) = alpha + beta_1 D_sb + beta_2 SSO_b + beta_3 C_sb + beta_4 A_sb + epsilon_sb,</w:t>
      </w:r>
    </w:p>
    <w:p>
      <w:pPr>
        <w:pStyle w:val="BodyText"/>
        <w:spacing w:line="480" w:lineRule="auto"/>
        <w:ind w:firstLine="720"/>
      </w:pPr>
      <w:r>
        <w:t xml:space="preserve">where N_sb is tracked count in shell s and regime b, D_sb is debris share, SSO_b is the sun-synchronous indicator, C_sb is the 500 to 900 kilometer band indicator, and A_sb is active payload share. The standard errors are heteroskedasticity-robust, since aggregate bins assembled from wildly different underlying populations have no reason to share one error variance, and robust standard errors shield the inference from that heteroskedasticity without forcing a variance model the data cannot support.</w:t>
      </w:r>
    </w:p>
    <w:p>
      <w:pPr>
        <w:pStyle w:val="BodyText"/>
        <w:spacing w:line="480" w:lineRule="auto"/>
        <w:ind w:firstLine="720"/>
      </w:pPr>
      <w:r>
        <w:t xml:space="preserve">Why OLS, and not something more elaborate? Because the question concerns the shape of a conditional mean, and OLS estimates a conditional mean transparently and reproducibly. A fancier estimator would trade interpretability for flexibility, and interpretability is the coin a pricing argument spends when it has to weather adversarial review. This model’s coefficients map straight onto the theory of Chapter 3: each beta is the forecast proportional shift in occupancy pressure tied to its composition feature, and the joint test of the betas is the test of whether the pricing surface is flat.</w:t>
      </w:r>
    </w:p>
    <w:bookmarkEnd w:id="94"/>
    <w:bookmarkStart w:id="95" w:name="the-logit-tiering-model"/>
    <w:p>
      <w:pPr>
        <w:pStyle w:val="Heading2"/>
        <w:spacing w:line="480" w:lineRule="auto"/>
      </w:pPr>
      <w:r>
        <w:t xml:space="preserve">4.3 The logit tiering model</w:t>
      </w:r>
    </w:p>
    <w:p>
      <w:pPr>
        <w:pStyle w:val="FirstParagraph"/>
        <w:spacing w:line="480" w:lineRule="auto"/>
      </w:pPr>
      <w:r>
        <w:t xml:space="preserve">The second estimator is logit, its dependent variable binary: a bin scores one when its tracked occupancy lands in the top tercile of the seventy-two bins, zero otherwise. The specification is</w:t>
      </w:r>
    </w:p>
    <w:p>
      <w:pPr>
        <w:pStyle w:val="BodyText"/>
        <w:spacing w:line="480" w:lineRule="auto"/>
        <w:ind w:firstLine="720"/>
      </w:pPr>
      <w:r>
        <w:t xml:space="preserve">logit{P(H_sb = 1)} = alpha + beta_1 SSO_b + beta_2 C_sb + beta_3 D_sb + beta_4 A_sb,</w:t>
      </w:r>
    </w:p>
    <w:p>
      <w:pPr>
        <w:pStyle w:val="BodyText"/>
        <w:spacing w:line="480" w:lineRule="auto"/>
        <w:ind w:firstLine="720"/>
      </w:pPr>
      <w:r>
        <w:t xml:space="preserve">on the same four composition predictors. Logit is the natural estimator for a binary tiering outcome. Its coefficients exponentiate into odds ratios, the form a policymaker can read straight off the page: how much likelier is a sun-synchronous shell to break into the top band than an otherwise similar shell?</w:t>
      </w:r>
    </w:p>
    <w:p>
      <w:pPr>
        <w:pStyle w:val="BodyText"/>
        <w:spacing w:line="480" w:lineRule="auto"/>
        <w:ind w:firstLine="720"/>
      </w:pPr>
      <w:r>
        <w:t xml:space="preserve">The top-tercile rule earns a methodological defense, since it is a construction choice and every construction choice is a spot where a result can be manufactured. The rule is deliberately mechanical. It hands the top third of observed occupancy to the top tier, which for these seventy-two bins sets a threshold of at least 91 tracked objects, and it never touches the composition predictors. That independence is the whole point. Because occupancy alone fixes the threshold and the model then asks whether composition predicts crossing it, no one can accuse the test of building its answer into its outcome. The tercile is a transparent convention, not a welfare optimum, and Chapter 7 treats its arbitrariness as a threat to probe rather than a virtue to boast.</w:t>
      </w:r>
    </w:p>
    <w:bookmarkEnd w:id="95"/>
    <w:bookmarkStart w:id="96" w:name="why-these-two-estimators-together"/>
    <w:p>
      <w:pPr>
        <w:pStyle w:val="Heading2"/>
        <w:spacing w:line="480" w:lineRule="auto"/>
      </w:pPr>
      <w:r>
        <w:t xml:space="preserve">4.4 Why these two estimators together</w:t>
      </w:r>
    </w:p>
    <w:p>
      <w:pPr>
        <w:pStyle w:val="FirstParagraph"/>
        <w:spacing w:line="480" w:lineRule="auto"/>
      </w:pPr>
      <w:r>
        <w:t xml:space="preserve">The pairing is a sequence, not a redundancy. The OLS model settles whether the surface is flat, and a rejection there establishes that a flat fee mischarges the commons, yet a continuous pressure surface hands over no administrable band on its own. A regulator writing a tariff wants a discrete rule for which shells pay the top rate. The logit supplies exactly that, turning the continuous finding into a tiering decision and testing whether the tiering coheres. OLS proves the flat fee wrong. Logit shows the tiered fee buildable. Neither claim stands complete without the other, and running both on one shell table with the same predictors is what keeps the two answers commensurable rather than merely adjacent.</w:t>
      </w:r>
    </w:p>
    <w:bookmarkEnd w:id="96"/>
    <w:bookmarkStart w:id="97" w:name="identification-and-its-limits"/>
    <w:p>
      <w:pPr>
        <w:pStyle w:val="Heading2"/>
        <w:spacing w:line="480" w:lineRule="auto"/>
      </w:pPr>
      <w:r>
        <w:t xml:space="preserve">4.5 Identification and its limits</w:t>
      </w:r>
    </w:p>
    <w:p>
      <w:pPr>
        <w:pStyle w:val="FirstParagraph"/>
        <w:spacing w:line="480" w:lineRule="auto"/>
      </w:pPr>
      <w:r>
        <w:t xml:space="preserve">The identification question asks what licenses any causal or structural reading of the coefficients, and the honest answer is that the design licenses very little causal reading and a great deal of descriptive reading. Identification here rides on cross-shell variation. Shells differ in composition and regime for reasons rooted in launch history, platform economics, orbital mechanics, and earlier policy, and the estimators compare shells across that variation to recover the conditional tie between composition and pressure. No instrument. No discontinuity, no treatment. The coefficients are not the effect of an intervention, and the design never pretends otherwise.</w:t>
      </w:r>
    </w:p>
    <w:p>
      <w:pPr>
        <w:pStyle w:val="BodyText"/>
        <w:spacing w:line="480" w:lineRule="auto"/>
        <w:ind w:firstLine="720"/>
      </w:pPr>
      <w:r>
        <w:t xml:space="preserve">What, then, do they identify? They identify the pricing surface as it stands, the systematic association between what a shell holds and how much pressure it carries. That is the object the theory called for. The theory never asked what a fee would do to occupancy; it asked whether the surface a fee would meet is flat or structured. A descriptive estimator answers a descriptive question in full. The design matches the question the theory actually posed rather than straining after a causal one the data were never built to bear.</w:t>
      </w:r>
    </w:p>
    <w:p>
      <w:pPr>
        <w:pStyle w:val="BodyText"/>
        <w:spacing w:line="480" w:lineRule="auto"/>
        <w:ind w:firstLine="720"/>
      </w:pPr>
      <w:r>
        <w:t xml:space="preserve">Three identification threats deserve naming here and get pursued in Chapter 7. Reverse structure is the first: occupancy and composition are jointly set, so debris share and payload share are not exogenous inputs to occupancy but co-products of one history, and the models read as characterizations of a joint distribution rather than as production functions. Aggregation is the second: binning throws away within-bin heterogeneity in object size, maneuverability, and lifetime, so the coefficients describe bins rather than objects. Snapshot dependence is the third: the cross section is one date, and the surface it characterizes is the present one</w:t>
      </w:r>
      <w:r>
        <w:t xml:space="preserve"> </w:t>
      </w:r>
      <w:hyperlink w:anchor="ref-6">
        <w:r>
          <w:rPr>
            <w:rStyle w:val="Hyperlink"/>
          </w:rPr>
          <w:t xml:space="preserve">[6]</w:t>
        </w:r>
      </w:hyperlink>
      <w:r>
        <w:t xml:space="preserve">. None of the three unseats the descriptive claim, and each fences the interpretation in a way the results chapter will honor.</w:t>
      </w:r>
    </w:p>
    <w:bookmarkEnd w:id="97"/>
    <w:bookmarkStart w:id="98" w:name="robustness-strategy"/>
    <w:p>
      <w:pPr>
        <w:pStyle w:val="Heading2"/>
        <w:spacing w:line="480" w:lineRule="auto"/>
      </w:pPr>
      <w:r>
        <w:t xml:space="preserve">4.6 Robustness strategy</w:t>
      </w:r>
    </w:p>
    <w:p>
      <w:pPr>
        <w:pStyle w:val="FirstParagraph"/>
        <w:spacing w:line="480" w:lineRule="auto"/>
      </w:pPr>
      <w:r>
        <w:t xml:space="preserve">The robustness plan grows out of the threats. Because the shadow price leans partly on which environment framing gets invoked, the interpretation reports sensitivity across framings rather than crowning one privileged risk model; ORDEM and MASTER are not identical, and the analysis treats the difference as uncertainty rather than pretending it gone</w:t>
      </w:r>
      <w:r>
        <w:t xml:space="preserve"> </w:t>
      </w:r>
      <w:hyperlink w:anchor="ref-1">
        <w:r>
          <w:rPr>
            <w:rStyle w:val="Hyperlink"/>
          </w:rPr>
          <w:t xml:space="preserve">[1]</w:t>
        </w:r>
      </w:hyperlink>
      <w:r>
        <w:t xml:space="preserve"> </w:t>
      </w:r>
      <w:hyperlink w:anchor="ref-2">
        <w:r>
          <w:rPr>
            <w:rStyle w:val="Hyperlink"/>
          </w:rPr>
          <w:t xml:space="preserve">[2]</w:t>
        </w:r>
      </w:hyperlink>
      <w:r>
        <w:t xml:space="preserve">. Because the top-tercile threshold is a convention, the logit result is read for its qualitative pattern, the clustering of high-tier shells in identifiable regimes, rather than for a precise probability at the threshold. Because tracked count stands in for pressure and not for a full collision-probability measure, every quantitative claim comes phrased as a claim about observable pressure and the relative shadow-price ordering it implies, never as a claim about total physical risk</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98"/>
    <w:bookmarkStart w:id="99" w:name="reproducibility"/>
    <w:p>
      <w:pPr>
        <w:pStyle w:val="Heading2"/>
        <w:spacing w:line="480" w:lineRule="auto"/>
      </w:pPr>
      <w:r>
        <w:t xml:space="preserve">4.7 Reproducibility</w:t>
      </w:r>
    </w:p>
    <w:p>
      <w:pPr>
        <w:pStyle w:val="FirstParagraph"/>
        <w:spacing w:line="480" w:lineRule="auto"/>
      </w:pPr>
      <w:r>
        <w:t xml:space="preserve">A pricing argument nobody can reproduce is a pricing argument nobody can enforce, so reproducibility is a methodological requirement and not a courtesy. The data flow from one public CelesTrak SATCAT snapshot with a fixed download date, the construction rules stand stated in the open, and the source rides in the final column of the analysis file so any bin traces back to its origin</w:t>
      </w:r>
      <w:r>
        <w:t xml:space="preserve"> </w:t>
      </w:r>
      <w:hyperlink w:anchor="ref-3">
        <w:r>
          <w:rPr>
            <w:rStyle w:val="Hyperlink"/>
          </w:rPr>
          <w:t xml:space="preserve">[3]</w:t>
        </w:r>
      </w:hyperlink>
      <w:r>
        <w:t xml:space="preserve"> </w:t>
      </w:r>
      <w:hyperlink w:anchor="ref-6">
        <w:r>
          <w:rPr>
            <w:rStyle w:val="Hyperlink"/>
          </w:rPr>
          <w:t xml:space="preserve">[6]</w:t>
        </w:r>
      </w:hyperlink>
      <w:r>
        <w:t xml:space="preserve">. Two analysts working the same public file under the same rules should recover the same seventy-two bins, the same coefficients, and the same tier assignments. Unglamorous as it is, that property is what makes the schedule contestable in the useful sense, and it is the methodological reason the tracked catalog beat any proprietary feed.</w:t>
      </w:r>
    </w:p>
    <w:bookmarkEnd w:id="99"/>
    <w:bookmarkStart w:id="100" w:name="estimation-choices-stated-for-the-record"/>
    <w:p>
      <w:pPr>
        <w:pStyle w:val="Heading2"/>
        <w:spacing w:line="480" w:lineRule="auto"/>
      </w:pPr>
      <w:r>
        <w:t xml:space="preserve">4.8 Estimation choices stated for the record</w:t>
      </w:r>
    </w:p>
    <w:p>
      <w:pPr>
        <w:pStyle w:val="FirstParagraph"/>
        <w:spacing w:line="480" w:lineRule="auto"/>
      </w:pPr>
      <w:r>
        <w:t xml:space="preserve">For completeness, and so the results chapter can report numbers without relitigating method, several estimation choices get fixed here. The OLS model runs on all seventy-two bins with none dropped, because the log-plus-one transform admits the empty shells and dropping them would tilt the surface toward the crowded regimes the analysis means to render fairly. The logit likewise runs on the full seventy-two, its binary outcome built once from the occupancy distribution and then held fast. No predictor is standardized, so coefficients on the two share variables, debris share and active payload share, read on the natural zero-to-one scale, and the two indicators read as regime shifts. Significance is judged against conventional thresholds, but the weight throughout falls on sign and magnitude, since a pricing surface is characterized by the direction and size of its gradients rather than by the bare presence of significance. The choices are modest, and the modesty is deliberate: the fewer discretionary knobs in the estimation, the harder the result is to tune, and the more the reader can lean on the pattern the data return in Chapter 6.</w:t>
      </w:r>
    </w:p>
    <w:bookmarkEnd w:id="100"/>
    <w:bookmarkStart w:id="101" w:name="Xc02e8973a0c9cc3c6cae191967d3eac1ccb1b5e"/>
    <w:p>
      <w:pPr>
        <w:pStyle w:val="Heading2"/>
        <w:spacing w:line="480" w:lineRule="auto"/>
      </w:pPr>
      <w:r>
        <w:t xml:space="preserve">4.9 Functional form and the log-plus-one dependent variable</w:t>
      </w:r>
    </w:p>
    <w:p>
      <w:pPr>
        <w:pStyle w:val="FirstParagraph"/>
        <w:spacing w:line="480" w:lineRule="auto"/>
      </w:pPr>
      <w:r>
        <w:t xml:space="preserve">Choosing log-plus-one as the OLS dependent variable matters more than it looks, and it earns its own defense, since functional form is where descriptive results get quietly shaped. Occupancy across shells spans several orders of magnitude, from near-empty bins to the densest sun-synchronous bands, and a linear model of raw counts would let a few extreme bins run away with the fit, yielding coefficients that describe the outliers rather than the surface</w:t>
      </w:r>
      <w:r>
        <w:t xml:space="preserve"> </w:t>
      </w:r>
      <w:hyperlink w:anchor="ref-15">
        <w:r>
          <w:rPr>
            <w:rStyle w:val="Hyperlink"/>
          </w:rPr>
          <w:t xml:space="preserve">[15]</w:t>
        </w:r>
      </w:hyperlink>
      <w:r>
        <w:t xml:space="preserve">. The logarithm compresses that span so proportional differences, not absolute ones, drive the estimation, matching the economic object at hand: a shadow price is a proportional scarcity signal, not an absolute headcount. The plus-one is not cosmetic; it is what lets the empty and near-empty shells stay in the sample, and keeping them in matters because dropping them would tilt the estimated surface toward the crowded regimes and understate how much quieter the sparse shells really run. The transform thus serves a statistical end, taming the tail, and a substantive one, aligning the estimated quantity with the relative shadow-price reading the theory needs</w:t>
      </w:r>
      <w:r>
        <w:t xml:space="preserve"> </w:t>
      </w:r>
      <w:hyperlink w:anchor="ref-8">
        <w:r>
          <w:rPr>
            <w:rStyle w:val="Hyperlink"/>
          </w:rPr>
          <w:t xml:space="preserve">[8]</w:t>
        </w:r>
      </w:hyperlink>
      <w:r>
        <w:t xml:space="preserve">.</w:t>
      </w:r>
    </w:p>
    <w:bookmarkEnd w:id="101"/>
    <w:bookmarkStart w:id="102" w:name="the-logits-small-sample-posture"/>
    <w:p>
      <w:pPr>
        <w:pStyle w:val="Heading2"/>
        <w:spacing w:line="480" w:lineRule="auto"/>
      </w:pPr>
      <w:r>
        <w:t xml:space="preserve">4.10 The logit’s small-sample posture</w:t>
      </w:r>
    </w:p>
    <w:p>
      <w:pPr>
        <w:pStyle w:val="FirstParagraph"/>
        <w:spacing w:line="480" w:lineRule="auto"/>
      </w:pPr>
      <w:r>
        <w:t xml:space="preserve">With seventy-two observations and a binary outcome split twenty-four to forty-eight, the logit works in a modest-sample regime, and honesty about method means owning what that implies. Maximum-likelihood logit coefficients are consistent but can bias in small samples, and odds ratios drawn from large coefficients on share variables can swing with a few influential bins. The dissertation answers not by pretending the sample large but by reading the logit for its qualitative pattern and sign structure rather than treating any single odds ratio as a precise point estimate. The load-bearing claim from the logit is that top-tier membership clusters in identifiable regimes, a claim robust to sample size because it rests on the joint significance and direction of the dominant terms and not on the third decimal of an odds ratio</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Where a coefficient runs imprecise, as debris share does in the tiering model, the chapter says so plainly rather than overclaiming, which is the fitting posture for an estimator handling seventy-two policy-facing observations.</w:t>
      </w:r>
    </w:p>
    <w:bookmarkEnd w:id="102"/>
    <w:bookmarkStart w:id="103" w:name="what-would-falsify-the-methods-adequacy"/>
    <w:p>
      <w:pPr>
        <w:pStyle w:val="Heading2"/>
        <w:spacing w:line="480" w:lineRule="auto"/>
      </w:pPr>
      <w:r>
        <w:t xml:space="preserve">4.11 What would falsify the method’s adequacy</w:t>
      </w:r>
    </w:p>
    <w:p>
      <w:pPr>
        <w:pStyle w:val="FirstParagraph"/>
        <w:spacing w:line="480" w:lineRule="auto"/>
      </w:pPr>
      <w:r>
        <w:t xml:space="preserve">A methodology section ought to state which result pattern would flag the estimators as the wrong tools, so a clean result cannot pass for a rigged one. Should the OLS residuals show strong structure against altitude or regime that the predictors missed, the conditional-mean characterization would fall under suspicion and a richer specification would be warranted. Should the logit’s fit hover near chance, the tiering claim would collapse whatever any single coefficient said. Should the two models split over which predictors carry the signal, the characterization would wobble and neither could be trusted as a pricing baseline. The results chapter reports enough to check each: the OLS fit statistics, the logit pseudo R2 and log likelihood, and the coefficient rankings across both. That the two estimators do agree on the dominant predictors, active payload share and sun-synchronous geometry, is therefore no foregone conclusion of the method but a finding the method was built to be able to contradict</w:t>
      </w:r>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bookmarkEnd w:id="103"/>
    <w:bookmarkStart w:id="104" w:name="X997f7c66b2bad6df7b0f8ff5795f6e5e73de678"/>
    <w:p>
      <w:pPr>
        <w:pStyle w:val="Heading2"/>
        <w:spacing w:line="480" w:lineRule="auto"/>
      </w:pPr>
      <w:r>
        <w:t xml:space="preserve">4.12 The unit-of-analysis decision and its inferential consequences</w:t>
      </w:r>
    </w:p>
    <w:p>
      <w:pPr>
        <w:pStyle w:val="FirstParagraph"/>
        <w:spacing w:line="480" w:lineRule="auto"/>
      </w:pPr>
      <w:r>
        <w:t xml:space="preserve">Choosing the shell-regime bin as unit carries inferential consequences a careful methodology traces rather than leaves buried. Because the bin aggregates many objects, the error term soaks up within-bin variation an object-level model would resolve, which is why robust standard errors fit and why the coefficients read as characterizations of bins rather than of spacecraft. This is a deliberate scope decision, not a limitation slipped in disguised as a choice. A fee falls on shells, so the inference a regulator needs is inference about shells, and estimating at the object level would produce coefficients about the wrong unit however precise they came</w:t>
      </w:r>
      <w:r>
        <w:t xml:space="preserve"> </w:t>
      </w:r>
      <w:hyperlink w:anchor="ref-11">
        <w:r>
          <w:rPr>
            <w:rStyle w:val="Hyperlink"/>
          </w:rPr>
          <w:t xml:space="preserve">[11]</w:t>
        </w:r>
      </w:hyperlink>
      <w:r>
        <w:t xml:space="preserve">. The methodological principle is that the unit of estimation should meet the unit of decision, and here the unit of decision is unmistakably the shell.</w:t>
      </w:r>
    </w:p>
    <w:p>
      <w:pPr>
        <w:pStyle w:val="BodyText"/>
        <w:spacing w:line="480" w:lineRule="auto"/>
        <w:ind w:firstLine="720"/>
      </w:pPr>
      <w:r>
        <w:t xml:space="preserve">A companion consequence concerns the count of observations. Seventy-two bins is a small sample by microeconometric standards but a fitting one here, since seventy-two is about the count of distinct shell-regime cells low Earth orbit actually holds under the chosen partition. The sample is not a subsample of a larger population more data collection could grow; it is close to the full population of the units a fee would price</w:t>
      </w:r>
      <w:r>
        <w:t xml:space="preserve"> </w:t>
      </w:r>
      <w:hyperlink w:anchor="ref-6">
        <w:r>
          <w:rPr>
            <w:rStyle w:val="Hyperlink"/>
          </w:rPr>
          <w:t xml:space="preserve">[6]</w:t>
        </w:r>
      </w:hyperlink>
      <w:r>
        <w:t xml:space="preserve">. That distinction bends how the standard errors read. They quantify uncertainty about the tie within the observed environment, not sampling uncertainty about a larger unseen population, because no larger population of present-day low Earth orbit shells exists to sample. The methodology treats the estimates as characterizations of a near-complete cross section rather than as inferences from a sample to a hypothetical super-population, which is the honest reading when the observations nearly exhaust the units of interest</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104"/>
    <w:bookmarkStart w:id="105" w:name="why-not-a-richer-model"/>
    <w:p>
      <w:pPr>
        <w:pStyle w:val="Heading2"/>
        <w:spacing w:line="480" w:lineRule="auto"/>
      </w:pPr>
      <w:r>
        <w:t xml:space="preserve">4.13 Why not a richer model</w:t>
      </w:r>
    </w:p>
    <w:p>
      <w:pPr>
        <w:pStyle w:val="FirstParagraph"/>
        <w:spacing w:line="480" w:lineRule="auto"/>
      </w:pPr>
      <w:r>
        <w:t xml:space="preserve">A reviewer might fairly ask why the analysis halts at OLS and logit rather than reaching for a spatial model, a count model, or a machine-learning regressor that could catch nonlinearities the linear specification misses. The answer is a deliberate trade of flexibility for defensibility. A richer model might hug the seventy-two bins tighter, but its coefficients would resist interpretation, its assumptions would resist audit, and its results would resist a regulator’s defense against a challenge from an operator with money at stake</w:t>
      </w:r>
      <w:r>
        <w:t xml:space="preserve"> </w:t>
      </w:r>
      <w:hyperlink w:anchor="ref-10">
        <w:r>
          <w:rPr>
            <w:rStyle w:val="Hyperlink"/>
          </w:rPr>
          <w:t xml:space="preserve">[10]</w:t>
        </w:r>
      </w:hyperlink>
      <w:r>
        <w:t xml:space="preserve">. The aim here is not to max out in-sample fit; it is to characterize the pricing surface in a form that survives adversarial scrutiny. A linear conditional mean and a logistic tier probability are the most transparent estimators that answer the two questions, and transparency is the binding constraint for a governance instrument, not predictive accuracy at the margin. A count model, Poisson or negative binomial, was weighed for the occupancy outcome, but the log-plus-one OLS delivers the same proportional reading with fewer distributional assumptions, and for a descriptive pricing baseline the simpler tool is the more honest one</w:t>
      </w:r>
      <w:r>
        <w:t xml:space="preserve"> </w:t>
      </w:r>
      <w:hyperlink w:anchor="ref-8">
        <w:r>
          <w:rPr>
            <w:rStyle w:val="Hyperlink"/>
          </w:rPr>
          <w:t xml:space="preserve">[8]</w:t>
        </w:r>
      </w:hyperlink>
      <w:r>
        <w:t xml:space="preserve">. The methodological posture throughout is that a result a skeptic can reproduce and inspect is worth more than a result that fits better yet cannot be defended, and every estimator choice mirrors that ordering of priorities</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05"/>
    <w:bookmarkEnd w:id="106"/>
    <w:bookmarkStart w:id="121" w:name="chapter-5.-data-and-measurement"/>
    <w:p>
      <w:pPr>
        <w:pStyle w:val="Heading1"/>
        <w:spacing w:line="480" w:lineRule="auto"/>
      </w:pPr>
      <w:r>
        <w:t xml:space="preserve">Chapter 5. Data and Measurement</w:t>
      </w:r>
    </w:p>
    <w:p>
      <w:pPr>
        <w:pStyle w:val="FirstParagraph"/>
        <w:spacing w:line="480" w:lineRule="auto"/>
      </w:pPr>
      <w:r>
        <w:t xml:space="preserve">An empirical claim rises no higher than the table beneath it. This chapter lays that table out in full: its source, the rules that turned a raw catalog into seventy-two analyzable bins, the definition and build of every variable, and the measurement calls that shape what the estimators can see. The standard held throughout is exacting. A reader holding the same public file should rebuild the table down to the last row without asking the author about a single decision.</w:t>
      </w:r>
    </w:p>
    <w:bookmarkStart w:id="107" w:name="source"/>
    <w:p>
      <w:pPr>
        <w:pStyle w:val="Heading2"/>
        <w:spacing w:line="480" w:lineRule="auto"/>
      </w:pPr>
      <w:r>
        <w:t xml:space="preserve">5.1 Source</w:t>
      </w:r>
    </w:p>
    <w:p>
      <w:pPr>
        <w:pStyle w:val="FirstParagraph"/>
        <w:spacing w:line="480" w:lineRule="auto"/>
      </w:pPr>
      <w:r>
        <w:t xml:space="preserve">One public catalog anchors the whole dataset. The data come from a single snapshot of the CelesTrak SATCAT catalog, pulled on 27 June 2026 from the public catalog CSV</w:t>
      </w:r>
      <w:r>
        <w:t xml:space="preserve"> </w:t>
      </w:r>
      <w:hyperlink w:anchor="ref-3">
        <w:r>
          <w:rPr>
            <w:rStyle w:val="Hyperlink"/>
          </w:rPr>
          <w:t xml:space="preserve">[3]</w:t>
        </w:r>
      </w:hyperlink>
      <w:r>
        <w:t xml:space="preserve"> </w:t>
      </w:r>
      <w:hyperlink w:anchor="ref-6">
        <w:r>
          <w:rPr>
            <w:rStyle w:val="Hyperlink"/>
          </w:rPr>
          <w:t xml:space="preserve">[6]</w:t>
        </w:r>
      </w:hyperlink>
      <w:r>
        <w:t xml:space="preserve">. CelesTrak republishes the tracked space-object catalog kept through the United States space surveillance enterprise, and it is the standard open reference for object-level orbital metadata. Fixing on one dated snapshot is deliberate on two counts. It locks the cross section, so the analysis characterizes one observable environment rather than smearing several together, and it locks reproducibility, since the same URL and date hand back the same records. The source string rides in the final column of every row of the analysis file, so each aggregate bin carries its provenance and no observation drifts free of its origin.</w:t>
      </w:r>
    </w:p>
    <w:p>
      <w:pPr>
        <w:pStyle w:val="BodyText"/>
        <w:spacing w:line="480" w:lineRule="auto"/>
        <w:ind w:firstLine="720"/>
      </w:pPr>
      <w:r>
        <w:t xml:space="preserve">Anchoring on the tracked catalog rather than on an engineering flux model was argued in earlier chapters and gets realized here in the data. ORDEM and MASTER estimate populations, small objects below the tracking threshold included, that no public catalog enumerates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Those models answer the physical-risk question. The catalog answers a different one, the observability question, which is the one a fee schedule actually needs, since a rule can only bill against objects it can name. The catalog is therefore the correct primary source for a pricing baseline. Its incompleteness against the flux models is real, but it is a known and bounded limitation stated in the open, not a hidden one lying in wait for a later reader.</w:t>
      </w:r>
    </w:p>
    <w:bookmarkEnd w:id="107"/>
    <w:bookmarkStart w:id="108" w:name="filtering-the-catalog"/>
    <w:p>
      <w:pPr>
        <w:pStyle w:val="Heading2"/>
        <w:spacing w:line="480" w:lineRule="auto"/>
      </w:pPr>
      <w:r>
        <w:t xml:space="preserve">5.2 Filtering the catalog</w:t>
      </w:r>
    </w:p>
    <w:p>
      <w:pPr>
        <w:pStyle w:val="FirstParagraph"/>
        <w:spacing w:line="480" w:lineRule="auto"/>
      </w:pPr>
      <w:r>
        <w:t xml:space="preserve">Three filters pare the full catalog down to the population of interest. The first keeps only records where the orbit center is Earth, flagged by the ORBIT_CENTER field equal to EA, which drops lunar, interplanetary, and other non-Earth objects with no place in a low Earth orbit congestion analysis. The second keeps only records where the decay date is blank, holding objects still on orbit at the snapshot date and shedding those already reentered, since a decayed object presses on no present congestion. The third keeps only records where mean altitude falls from 200 kilometers to under 2000 kilometers, bounding the analysis to low Earth orbit and shutting out the medium and geostationary regimes, which run on different physics and different scarcity logic</w:t>
      </w:r>
      <w:r>
        <w:t xml:space="preserve"> </w:t>
      </w:r>
      <w:hyperlink w:anchor="ref-14">
        <w:r>
          <w:rPr>
            <w:rStyle w:val="Hyperlink"/>
          </w:rPr>
          <w:t xml:space="preserve">[14]</w:t>
        </w:r>
      </w:hyperlink>
      <w:r>
        <w:t xml:space="preserve">.</w:t>
      </w:r>
    </w:p>
    <w:p>
      <w:pPr>
        <w:pStyle w:val="BodyText"/>
        <w:spacing w:line="480" w:lineRule="auto"/>
        <w:ind w:firstLine="720"/>
      </w:pPr>
      <w:r>
        <w:t xml:space="preserve">The filters are conservative, and they are stated so they can be checked: each is a single field condition on the public record, and together they mark out the low Earth orbit tracked population the rest of the build aggregates.</w:t>
      </w:r>
    </w:p>
    <w:bookmarkEnd w:id="108"/>
    <w:bookmarkStart w:id="109" w:name="binning-into-shells-and-regimes"/>
    <w:p>
      <w:pPr>
        <w:pStyle w:val="Heading2"/>
        <w:spacing w:line="480" w:lineRule="auto"/>
      </w:pPr>
      <w:r>
        <w:t xml:space="preserve">5.3 Binning into shells and regimes</w:t>
      </w:r>
    </w:p>
    <w:p>
      <w:pPr>
        <w:pStyle w:val="FirstParagraph"/>
        <w:spacing w:line="480" w:lineRule="auto"/>
      </w:pPr>
      <w:r>
        <w:t xml:space="preserve">The retained objects get partitioned along two axes. The altitude axis splits 200 to 2000 kilometers into 100 kilometer shells, so each object drops into the shell holding its mean altitude. The regime axis splits objects into four inclination regimes, so each object drops into one regime by its SATCAT inclination. Crossing shells with regimes yields the analysis bins. After filtering and binning, the analysis file carries seventy-two real aggregate observations, zero illustrative or synthetic rows, and the retained source field in the last column</w:t>
      </w:r>
      <w:r>
        <w:t xml:space="preserve"> </w:t>
      </w:r>
      <w:hyperlink w:anchor="ref-6">
        <w:r>
          <w:rPr>
            <w:rStyle w:val="Hyperlink"/>
          </w:rPr>
          <w:t xml:space="preserve">[6]</w:t>
        </w:r>
      </w:hyperlink>
      <w:r>
        <w:t xml:space="preserve">.</w:t>
      </w:r>
    </w:p>
    <w:p>
      <w:pPr>
        <w:pStyle w:val="BodyText"/>
        <w:spacing w:line="480" w:lineRule="auto"/>
        <w:ind w:firstLine="720"/>
      </w:pPr>
      <w:r>
        <w:t xml:space="preserve">The 100 kilometer shell width is a compromise between resolution and stability. Narrower shells would resolve congestion finer while spawning many near-empty bins whose composition shares wobble; wider shells would steady the shares while blurring the altitude structure the analysis means to price. One hundred kilometers is fine enough to part the crowded mid-LEO bands from the sparse low and high extremes and coarse enough that each occupied bin holds enough objects for its shares to mean something. The four-regime inclination partition strikes the same balance, parting the sun-synchronous and polar geometries that dominate observation traffic from the lower-inclination regimes without splintering the sample</w:t>
      </w:r>
      <w:r>
        <w:t xml:space="preserve"> </w:t>
      </w:r>
      <w:hyperlink w:anchor="ref-15">
        <w:r>
          <w:rPr>
            <w:rStyle w:val="Hyperlink"/>
          </w:rPr>
          <w:t xml:space="preserve">[15]</w:t>
        </w:r>
      </w:hyperlink>
      <w:r>
        <w:t xml:space="preserve">.</w:t>
      </w:r>
    </w:p>
    <w:bookmarkEnd w:id="109"/>
    <w:bookmarkStart w:id="110" w:name="the-dependent-variables"/>
    <w:p>
      <w:pPr>
        <w:pStyle w:val="Heading2"/>
        <w:spacing w:line="480" w:lineRule="auto"/>
      </w:pPr>
      <w:r>
        <w:t xml:space="preserve">5.4 The dependent variables</w:t>
      </w:r>
    </w:p>
    <w:p>
      <w:pPr>
        <w:pStyle w:val="FirstParagraph"/>
        <w:spacing w:line="480" w:lineRule="auto"/>
      </w:pPr>
      <w:r>
        <w:t xml:space="preserve">Two dependent variables come out of the bins, one per paper. For Paper 1 it is occupancy pressure, the natural log of one plus the tracked count in the bin, denoted log_count_plus_one. The tracked count is simply the number of retained objects in the bin. The log-plus-one form compresses the heavy right tail and admits the empty bins, as Chapter 4 explained, and it is the variable the OLS model predicts.</w:t>
      </w:r>
    </w:p>
    <w:p>
      <w:pPr>
        <w:pStyle w:val="BodyText"/>
        <w:spacing w:line="480" w:lineRule="auto"/>
        <w:ind w:firstLine="720"/>
      </w:pPr>
      <w:r>
        <w:t xml:space="preserve">For Paper 2 it is top_fee_shell, a binary indicator equal to one when the bin’s tracked count lands in the top tercile of the seventy-two bins. For this catalog that threshold is at least 91 tracked objects, a value read straight off the occupancy distribution rather than chosen to manufacture a result. Twenty-four of the seventy-two bins clear the threshold and score one; the remaining forty-eight score zero. The threshold count rides in the data file as top_fee_threshold_count, so the tiering rule stands transparent on the face of the table</w:t>
      </w:r>
      <w:r>
        <w:t xml:space="preserve"> </w:t>
      </w:r>
      <w:hyperlink w:anchor="ref-6">
        <w:r>
          <w:rPr>
            <w:rStyle w:val="Hyperlink"/>
          </w:rPr>
          <w:t xml:space="preserve">[6]</w:t>
        </w:r>
      </w:hyperlink>
      <w:r>
        <w:t xml:space="preserve">.</w:t>
      </w:r>
    </w:p>
    <w:bookmarkEnd w:id="110"/>
    <w:bookmarkStart w:id="111" w:name="the-composition-predictors"/>
    <w:p>
      <w:pPr>
        <w:pStyle w:val="Heading2"/>
        <w:spacing w:line="480" w:lineRule="auto"/>
      </w:pPr>
      <w:r>
        <w:t xml:space="preserve">5.5 The composition predictors</w:t>
      </w:r>
    </w:p>
    <w:p>
      <w:pPr>
        <w:pStyle w:val="FirstParagraph"/>
        <w:spacing w:line="480" w:lineRule="auto"/>
      </w:pPr>
      <w:r>
        <w:t xml:space="preserve">Four variables carry the signal, serving as predictors in both models, their definitions pinned by the catalog fields they derive from. Debris share, denoted debris_share, comes first: the fraction of the bin’s tracked objects classified as debris, computed as the count of objects with OBJECT_TYPE equal to DEB over the bin’s tracked count. It reads the pure-hazard fraction of the shell, the objects that cannot maneuver and add only risk</w:t>
      </w:r>
      <w:r>
        <w:t xml:space="preserve"> </w:t>
      </w:r>
      <w:hyperlink w:anchor="ref-4">
        <w:r>
          <w:rPr>
            <w:rStyle w:val="Hyperlink"/>
          </w:rPr>
          <w:t xml:space="preserve">[4]</w:t>
        </w:r>
      </w:hyperlink>
      <w:r>
        <w:t xml:space="preserve">.</w:t>
      </w:r>
    </w:p>
    <w:p>
      <w:pPr>
        <w:pStyle w:val="BodyText"/>
        <w:spacing w:line="480" w:lineRule="auto"/>
        <w:ind w:firstLine="720"/>
      </w:pPr>
      <w:r>
        <w:t xml:space="preserve">Active payload share, denoted active_payload_share, is the fraction of the bin’s tracked objects that are operational or partially operational payloads, computed as the count of active-status objects with OBJECT_TYPE equal to PAY over the tracked count. It reads the living-operator density of the shell, the variable Chapter 3 marked as theoretically decisive because congestion is not only a legacy-debris problem</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sun-synchronous indicator, denoted is_sso_band, equals one when the bin’s inclination regime is the sun-synchronous or polar regime, drawn from the SATCAT inclination field. It flags the geometry where observation traffic gathers</w:t>
      </w:r>
      <w:r>
        <w:t xml:space="preserve"> </w:t>
      </w:r>
      <w:hyperlink w:anchor="ref-15">
        <w:r>
          <w:rPr>
            <w:rStyle w:val="Hyperlink"/>
          </w:rPr>
          <w:t xml:space="preserve">[15]</w:t>
        </w:r>
      </w:hyperlink>
      <w:r>
        <w:t xml:space="preserve">.</w:t>
      </w:r>
    </w:p>
    <w:p>
      <w:pPr>
        <w:pStyle w:val="BodyText"/>
        <w:spacing w:line="480" w:lineRule="auto"/>
        <w:ind w:firstLine="720"/>
      </w:pPr>
      <w:r>
        <w:t xml:space="preserve">The 500 to 900 kilometer band indicator, denoted is_critical_500_900, equals one when the shell midpoint lands from 500 kilometers to under 900 kilometers. This is the altitude range that dominates present congestion talk, marrying commercial appeal to slow decay</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bookmarkEnd w:id="111"/>
    <w:bookmarkStart w:id="112" w:name="what-the-measurement-captures-and-misses"/>
    <w:p>
      <w:pPr>
        <w:pStyle w:val="Heading2"/>
        <w:spacing w:line="480" w:lineRule="auto"/>
      </w:pPr>
      <w:r>
        <w:t xml:space="preserve">5.6 What the measurement captures and misses</w:t>
      </w:r>
    </w:p>
    <w:p>
      <w:pPr>
        <w:pStyle w:val="FirstParagraph"/>
        <w:spacing w:line="480" w:lineRule="auto"/>
      </w:pPr>
      <w:r>
        <w:t xml:space="preserve">Honesty about measurement is what parts a defensible table from a merely persuasive one. The variables read observable shell structure well. Tracked count, debris count, active payload count, and their derived shares come straight off public fields, while the regime and band indicators reduce to simple deterministic functions of inclination and altitude, so any analyst can recompute the whole set.</w:t>
      </w:r>
    </w:p>
    <w:p>
      <w:pPr>
        <w:pStyle w:val="BodyText"/>
        <w:spacing w:line="480" w:lineRule="auto"/>
        <w:ind w:firstLine="720"/>
      </w:pPr>
      <w:r>
        <w:t xml:space="preserve">What the measurement misses is just as plain. Tracked count is a large-object congestion anchor rather than a full collision-probability measure, and the sub-catalog flux of small debris that ORDEM and MASTER model stays invisible to the catalog and so to these variables</w:t>
      </w:r>
      <w:r>
        <w:t xml:space="preserve"> </w:t>
      </w:r>
      <w:hyperlink w:anchor="ref-1">
        <w:r>
          <w:rPr>
            <w:rStyle w:val="Hyperlink"/>
          </w:rPr>
          <w:t xml:space="preserve">[1]</w:t>
        </w:r>
      </w:hyperlink>
      <w:r>
        <w:t xml:space="preserve"> </w:t>
      </w:r>
      <w:hyperlink w:anchor="ref-2">
        <w:r>
          <w:rPr>
            <w:rStyle w:val="Hyperlink"/>
          </w:rPr>
          <w:t xml:space="preserve">[2]</w:t>
        </w:r>
      </w:hyperlink>
      <w:r>
        <w:t xml:space="preserve">. Object-level heterogeneity in size, mass, maneuverability, and remaining lifetime gets aggregated away by binning, so two bins with identical shares can hold different true hazard. Active status is a snapshot judgment that can misfile a spacecraft between operational and defunct. None of these limits biases the descriptive question of whether the pressure surface is flat, since that question is asked in exactly the observable units the catalog provides, but they do fence the reach of any physical-risk reading, and Chapter 7 keeps the interpretation inside those fences.</w:t>
      </w:r>
    </w:p>
    <w:bookmarkEnd w:id="112"/>
    <w:bookmarkStart w:id="113" w:name="descriptive-shape-of-the-sample"/>
    <w:p>
      <w:pPr>
        <w:pStyle w:val="Heading2"/>
        <w:spacing w:line="480" w:lineRule="auto"/>
      </w:pPr>
      <w:r>
        <w:t xml:space="preserve">5.7 Descriptive shape of the sample</w:t>
      </w:r>
    </w:p>
    <w:p>
      <w:pPr>
        <w:pStyle w:val="FirstParagraph"/>
        <w:spacing w:line="480" w:lineRule="auto"/>
      </w:pPr>
      <w:r>
        <w:t xml:space="preserve">The sample runs uneven by nature, and its shape sets expectations before estimation. Occupancy is lopsided across the seventy-two bins: the lowest shells and the highest LEO shells sit sparse, some holding a handful of tracked objects, while the mid-LEO bands in the 500 to 900 kilometer range, the sun-synchronous regime above all, hold the densest populations</w:t>
      </w:r>
      <w:r>
        <w:t xml:space="preserve"> </w:t>
      </w:r>
      <w:hyperlink w:anchor="ref-15">
        <w:r>
          <w:rPr>
            <w:rStyle w:val="Hyperlink"/>
          </w:rPr>
          <w:t xml:space="preserve">[15]</w:t>
        </w:r>
      </w:hyperlink>
      <w:r>
        <w:t xml:space="preserve">. Debris share is uneven too, since certain bands carry a legacy of fragmentation events that lifts their pure-hazard fraction well past the sample average</w:t>
      </w:r>
      <w:r>
        <w:t xml:space="preserve"> </w:t>
      </w:r>
      <w:hyperlink w:anchor="ref-4">
        <w:r>
          <w:rPr>
            <w:rStyle w:val="Hyperlink"/>
          </w:rPr>
          <w:t xml:space="preserve">[4]</w:t>
        </w:r>
      </w:hyperlink>
      <w:r>
        <w:t xml:space="preserve">. Active payload share peaks where operators have clustered on purpose for commercial and scientific value, which overlaps but does not coincide with the debris-heavy bands. This unevenness is not noise to smooth away; it is the signal the estimators exist to read. Were the sample flat, the flat fee would be right and there would be nothing to price. The next chapter reports what the estimators find in this deliberately uneven, fully documented, reproducible table.</w:t>
      </w:r>
    </w:p>
    <w:bookmarkEnd w:id="113"/>
    <w:bookmarkStart w:id="114" w:name="the-analysis-files-and-their-columns"/>
    <w:p>
      <w:pPr>
        <w:pStyle w:val="Heading2"/>
        <w:spacing w:line="480" w:lineRule="auto"/>
      </w:pPr>
      <w:r>
        <w:t xml:space="preserve">5.8 The analysis files and their columns</w:t>
      </w:r>
    </w:p>
    <w:p>
      <w:pPr>
        <w:pStyle w:val="FirstParagraph"/>
        <w:spacing w:line="480" w:lineRule="auto"/>
      </w:pPr>
      <w:r>
        <w:t xml:space="preserve">Two analysis files carry the sample, one per paper, and their columns are worth listing so the results trace to fields rather than to prose. The Paper 1 file records, for each of the seventy-two bins, the shell identifier, the shell low and high altitude bounds, the shell midpoint in kilometers, the tracked count, the debris count, the active payload count, the two derived shares, the two regime and band indicators, the log-plus-one occupancy pressure, and the retained source string</w:t>
      </w:r>
      <w:r>
        <w:t xml:space="preserve"> </w:t>
      </w:r>
      <w:hyperlink w:anchor="ref-6">
        <w:r>
          <w:rPr>
            <w:rStyle w:val="Hyperlink"/>
          </w:rPr>
          <w:t xml:space="preserve">[6]</w:t>
        </w:r>
      </w:hyperlink>
      <w:r>
        <w:t xml:space="preserve">. The shell midpoint is the horizontal axis of the figure that rides with the paper, plotting occupancy pressure against altitude so the concentration in the mid-LEO bands shows rather than merely gets asserted.</w:t>
      </w:r>
    </w:p>
    <w:p>
      <w:pPr>
        <w:pStyle w:val="BodyText"/>
        <w:spacing w:line="480" w:lineRule="auto"/>
        <w:ind w:firstLine="720"/>
      </w:pPr>
      <w:r>
        <w:t xml:space="preserve">The Paper 2 file records the shell identifier, the shell midpoint, the tracked count, the binary top_fee_shell outcome, the top_fee_threshold_count that documents the tercile cutoff, the two shares, the two indicators, and the source string. Its figure plots the top-tier indicator against active payload share, so the pull of active-dense shells into the top band reads straight off the data. Both files hold seventy-two rows, both retain provenance in the final column, and both were built by the same filtering and binning rules, which is why the two papers stay commensurable: they are two questions put to one carefully built catalog aggregation, not two separately assembled datasets that happen to share a subject.</w:t>
      </w:r>
    </w:p>
    <w:bookmarkEnd w:id="114"/>
    <w:bookmarkStart w:id="115" w:name="X37b71b4bbca57acc206d641d05965a4f563be45"/>
    <w:p>
      <w:pPr>
        <w:pStyle w:val="Heading2"/>
        <w:spacing w:line="480" w:lineRule="auto"/>
      </w:pPr>
      <w:r>
        <w:t xml:space="preserve">5.9 Provenance and the retained source column</w:t>
      </w:r>
    </w:p>
    <w:p>
      <w:pPr>
        <w:pStyle w:val="FirstParagraph"/>
        <w:spacing w:line="480" w:lineRule="auto"/>
      </w:pPr>
      <w:r>
        <w:t xml:space="preserve">One discipline in the build deserves its own emphasis, since it is what keeps the whole table auditable: every row retains its source string in the final column. This is no formality. In a domain where fee disputes are foreseeable, tracing any bin back to the public snapshot that produced it is the difference between a defensible figure and an unverifiable one. The source string records that the row flows from the CelesTrak SATCAT public CSV pulled on 27 June 2026, aggregated from NORAD catalog records, source retained rather than stripped</w:t>
      </w:r>
      <w:r>
        <w:t xml:space="preserve"> </w:t>
      </w:r>
      <w:hyperlink w:anchor="ref-3">
        <w:r>
          <w:rPr>
            <w:rStyle w:val="Hyperlink"/>
          </w:rPr>
          <w:t xml:space="preserve">[3]</w:t>
        </w:r>
      </w:hyperlink>
      <w:r>
        <w:t xml:space="preserve"> </w:t>
      </w:r>
      <w:hyperlink w:anchor="ref-6">
        <w:r>
          <w:rPr>
            <w:rStyle w:val="Hyperlink"/>
          </w:rPr>
          <w:t xml:space="preserve">[6]</w:t>
        </w:r>
      </w:hyperlink>
      <w:r>
        <w:t xml:space="preserve">. An auditor facing a contested bin can rebuild it from the named public file instead of taking the analyst’s word. The practice costs one column. It buys contestability, and for a governance-facing dataset that will one day sit under a fee dispute, a column spent on provenance is a trade worth making every time.</w:t>
      </w:r>
    </w:p>
    <w:bookmarkEnd w:id="115"/>
    <w:bookmarkStart w:id="116" w:name="Xbddb632a92d13cbe2d91cecd06e8d632a6caed3"/>
    <w:p>
      <w:pPr>
        <w:pStyle w:val="Heading2"/>
        <w:spacing w:line="480" w:lineRule="auto"/>
      </w:pPr>
      <w:r>
        <w:t xml:space="preserve">5.10 Why aggregate rows, not object-level records</w:t>
      </w:r>
    </w:p>
    <w:p>
      <w:pPr>
        <w:pStyle w:val="FirstParagraph"/>
        <w:spacing w:line="480" w:lineRule="auto"/>
      </w:pPr>
      <w:r>
        <w:t xml:space="preserve">A fair reader might ask why the analysis works on seventy-two aggregate bins rather than on the tens of thousands of individual objects the catalog holds. Because the unit of a fee schedule is the shell, not the object. A charge falls on access to a band, so the analytically relevant observation is the band’s composition and pressure, and estimating at the object level would answer a question other than the one a regulator asks. Aggregating to the shell-regime bin lines up the unit of analysis with the unit of policy</w:t>
      </w:r>
      <w:r>
        <w:t xml:space="preserve"> </w:t>
      </w:r>
      <w:hyperlink w:anchor="ref-11">
        <w:r>
          <w:rPr>
            <w:rStyle w:val="Hyperlink"/>
          </w:rPr>
          <w:t xml:space="preserve">[11]</w:t>
        </w:r>
      </w:hyperlink>
      <w:r>
        <w:t xml:space="preserve">. There is a cost, taken up in the methods and discussion chapters, that within-bin heterogeneity gets discarded, and the dissertation does not hide it. The benefit is that every coefficient speaks straight to the object a fee would price, keeping the empirical work and the policy claim in one set of units and heading off the common error of estimating at one resolution and legislating at another.</w:t>
      </w:r>
    </w:p>
    <w:bookmarkEnd w:id="116"/>
    <w:bookmarkStart w:id="117" w:name="X80c45ac71951e2db102d9b9ae006db6c57f95f2"/>
    <w:p>
      <w:pPr>
        <w:pStyle w:val="Heading2"/>
        <w:spacing w:line="480" w:lineRule="auto"/>
      </w:pPr>
      <w:r>
        <w:t xml:space="preserve">5.11 Measurement decisions that could have gone otherwise</w:t>
      </w:r>
    </w:p>
    <w:p>
      <w:pPr>
        <w:pStyle w:val="FirstParagraph"/>
        <w:spacing w:line="480" w:lineRule="auto"/>
      </w:pPr>
      <w:r>
        <w:t xml:space="preserve">To make the build fully legible, it helps to name the decisions a different analyst might have made differently, since a reproducible table is one whose discretionary choices stand visible. Shell width could have been fifty kilometers or two hundred; one hundred was picked to balance altitude resolution against share stability</w:t>
      </w:r>
      <w:r>
        <w:t xml:space="preserve"> </w:t>
      </w:r>
      <w:hyperlink w:anchor="ref-15">
        <w:r>
          <w:rPr>
            <w:rStyle w:val="Hyperlink"/>
          </w:rPr>
          <w:t xml:space="preserve">[15]</w:t>
        </w:r>
      </w:hyperlink>
      <w:r>
        <w:t xml:space="preserve">. The inclination partition could have run more than four regimes; four was picked to part the sun-synchronous and polar geometries from the lower-inclination traffic without splintering sparse cells. The altitude ceiling could have reached past 2000 kilometers; it was held at the low Earth orbit boundary because the medium and geostationary regimes obey different scarcity logic and belong to a different analysis</w:t>
      </w:r>
      <w:r>
        <w:t xml:space="preserve"> </w:t>
      </w:r>
      <w:hyperlink w:anchor="ref-14">
        <w:r>
          <w:rPr>
            <w:rStyle w:val="Hyperlink"/>
          </w:rPr>
          <w:t xml:space="preserve">[14]</w:t>
        </w:r>
      </w:hyperlink>
      <w:r>
        <w:t xml:space="preserve">. Active status could have been drawn tighter or looser; the operational and partially operational classification follows the catalog’s own status fields rather than an analyst’s judgment. None of these choices is uniquely right, and each is stated so a reader who prefers another can rebuild the table under it. That is the standard a pricing baseline has to clear: not that its build is beyond dispute, but that its build is fully disclosed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17"/>
    <w:bookmarkStart w:id="118" w:name="Xb8d2b6a519d6f71f02401d2314ff88a5f03b19d"/>
    <w:p>
      <w:pPr>
        <w:pStyle w:val="Heading2"/>
        <w:spacing w:line="480" w:lineRule="auto"/>
      </w:pPr>
      <w:r>
        <w:t xml:space="preserve">5.12 Data quality and known catalog limitations</w:t>
      </w:r>
    </w:p>
    <w:p>
      <w:pPr>
        <w:pStyle w:val="FirstParagraph"/>
        <w:spacing w:line="480" w:lineRule="auto"/>
      </w:pPr>
      <w:r>
        <w:t xml:space="preserve">No public catalog is flawless, and a data chapter that skipped the catalog’s own limitations would be incomplete. The tracked catalog is kept through a surveillance enterprise whose sensor coverage runs uneven across altitude and inclination, so the completeness of the tracked population is itself a function of where objects fly</w:t>
      </w:r>
      <w:r>
        <w:t xml:space="preserve"> </w:t>
      </w:r>
      <w:hyperlink w:anchor="ref-16">
        <w:r>
          <w:rPr>
            <w:rStyle w:val="Hyperlink"/>
          </w:rPr>
          <w:t xml:space="preserve">[16]</w:t>
        </w:r>
      </w:hyperlink>
      <w:r>
        <w:t xml:space="preserve"> </w:t>
      </w:r>
      <w:hyperlink w:anchor="ref-20">
        <w:r>
          <w:rPr>
            <w:rStyle w:val="Hyperlink"/>
          </w:rPr>
          <w:t xml:space="preserve">[20]</w:t>
        </w:r>
      </w:hyperlink>
      <w:r>
        <w:t xml:space="preserve">. Small objects below the tracking threshold are gone entirely, the sub-catalog flux the debris-environment models exist to estimate and the analysis openly declines to capture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Object classification into debris, payload, and rocket body leans on catalog metadata that can lag reality, and active-versus-defunct status is a judgment that can misfile a recently failed spacecraft. These limitations are real, and they are why the dissertation frames its dependent variable as observable occupancy pressure rather than true congestion.</w:t>
      </w:r>
    </w:p>
    <w:p>
      <w:pPr>
        <w:pStyle w:val="BodyText"/>
        <w:spacing w:line="480" w:lineRule="auto"/>
        <w:ind w:firstLine="720"/>
      </w:pPr>
      <w:r>
        <w:t xml:space="preserve">The methodological point that matters is that these limitations tilt the analysis toward conservatism rather than toward its conclusion. If anything, incomplete tracking and lagged classification would blur the composition signal and drag coefficients toward zero, making the flat-fee null easier to hold, not harder. That the composition coefficients come back large and significant despite these sources of attenuation strengthens rather than weakens the rejection of the flat fee, since the true structured surface is likely sharper than the observable one the noisy catalog reveals</w:t>
      </w:r>
      <w:r>
        <w:t xml:space="preserve"> </w:t>
      </w:r>
      <w:hyperlink w:anchor="ref-4">
        <w:r>
          <w:rPr>
            <w:rStyle w:val="Hyperlink"/>
          </w:rPr>
          <w:t xml:space="preserve">[4]</w:t>
        </w:r>
      </w:hyperlink>
      <w:r>
        <w:t xml:space="preserve">. A dataset whose imperfections work against its own finding is a dataset whose finding can be trusted. The catalog’s known limitations, disclosed here in full, are of exactly that reassuring kind</w:t>
      </w:r>
      <w:r>
        <w:t xml:space="preserve"> </w:t>
      </w:r>
      <w:hyperlink w:anchor="ref-6">
        <w:r>
          <w:rPr>
            <w:rStyle w:val="Hyperlink"/>
          </w:rPr>
          <w:t xml:space="preserve">[6]</w:t>
        </w:r>
      </w:hyperlink>
      <w:r>
        <w:t xml:space="preserve">.</w:t>
      </w:r>
    </w:p>
    <w:bookmarkEnd w:id="118"/>
    <w:bookmarkStart w:id="119" w:name="bridge-to-the-results"/>
    <w:p>
      <w:pPr>
        <w:pStyle w:val="Heading2"/>
        <w:spacing w:line="480" w:lineRule="auto"/>
      </w:pPr>
      <w:r>
        <w:t xml:space="preserve">5.13 Bridge to the results</w:t>
      </w:r>
    </w:p>
    <w:p>
      <w:pPr>
        <w:pStyle w:val="FirstParagraph"/>
        <w:spacing w:line="480" w:lineRule="auto"/>
      </w:pPr>
      <w:r>
        <w:t xml:space="preserve">With the source named, the filters stated, the bins built, the variables defined, the provenance retained, and the limitations disclosed, the table is ready to be estimated. Everything the next chapter reports rides on the seventy-two rows described here, and every coefficient traces back through the build rules to the public snapshot that produced it</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results ahead are therefore not assertions about orbit in the abstract but computations on a specific, documented, reproducible aggregation of a public catalog, which is the standard a pricing baseline has to clear to be worth anything to the governance debate it means to inform.</w:t>
      </w:r>
    </w:p>
    <w:bookmarkEnd w:id="119"/>
    <w:bookmarkStart w:id="120" w:name="Xfdb93a0160b190da1b6c274f65d34a39d38c831"/>
    <w:p>
      <w:pPr>
        <w:pStyle w:val="Heading2"/>
        <w:spacing w:line="480" w:lineRule="auto"/>
      </w:pPr>
      <w:r>
        <w:t xml:space="preserve">5.14 The two dependent variables are two views of one distribution</w:t>
      </w:r>
    </w:p>
    <w:p>
      <w:pPr>
        <w:pStyle w:val="FirstParagraph"/>
        <w:spacing w:line="480" w:lineRule="auto"/>
      </w:pPr>
      <w:r>
        <w:t xml:space="preserve">A last clarification heads off a common misreading. The continuous occupancy pressure of Paper 1 and the binary top-tier indicator of Paper 2 are not two independent measurements; they are two functions of one underlying tracked-count distribution across the seventy-two bins</w:t>
      </w:r>
      <w:r>
        <w:t xml:space="preserve"> </w:t>
      </w:r>
      <w:hyperlink w:anchor="ref-6">
        <w:r>
          <w:rPr>
            <w:rStyle w:val="Hyperlink"/>
          </w:rPr>
          <w:t xml:space="preserve">[6]</w:t>
        </w:r>
      </w:hyperlink>
      <w:r>
        <w:t xml:space="preserve">. The pressure variable takes the log of one plus the count, holding the full ordering of shells from empty to dense. The tier indicator collapses that ordering into a single cut at the top tercile, trading within-group detail for a clean binary. Because both flow from the same counts, the two papers cannot contradict each other on the facts; they can only differ in which resolution of the same facts they expose. Paper 1 shows the whole gradient; Paper 2 shows where the top of that gradient sits. Grasping this relationship explains why the two estimators agree so closely on which predictors matter: they are reading one shell distribution at two resolutions, and a predictor that structures the continuous surface must also structure where its upper region falls</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data chapter thus sets up the results chapter’s central consistency finding, that the continuous and discrete characterizations corroborate each other, by making plain that both rest on one carefully built count distribution rather than on two separate constructions that happen to agree</w:t>
      </w:r>
      <w:r>
        <w:t xml:space="preserve"> </w:t>
      </w:r>
      <w:hyperlink w:anchor="ref-12">
        <w:r>
          <w:rPr>
            <w:rStyle w:val="Hyperlink"/>
          </w:rPr>
          <w:t xml:space="preserve">[12]</w:t>
        </w:r>
      </w:hyperlink>
      <w:r>
        <w:t xml:space="preserve">.</w:t>
      </w:r>
    </w:p>
    <w:bookmarkEnd w:id="120"/>
    <w:bookmarkEnd w:id="121"/>
    <w:bookmarkStart w:id="133" w:name="chapter-6.-results"/>
    <w:p>
      <w:pPr>
        <w:pStyle w:val="Heading1"/>
        <w:spacing w:line="480" w:lineRule="auto"/>
      </w:pPr>
      <w:r>
        <w:t xml:space="preserve">Chapter 6. Results</w:t>
      </w:r>
    </w:p>
    <w:p>
      <w:pPr>
        <w:pStyle w:val="FirstParagraph"/>
        <w:spacing w:line="480" w:lineRule="auto"/>
      </w:pPr>
      <w:r>
        <w:t xml:space="preserve">This chapter sets down what the two estimators return, as they return it, and reads the signs and sizes against the hypotheses of Chapter 3. Nothing here is adjusted, rounded off, or dressed up. The task is narrow. Read the numbers faithfully, and say what they license and what they do not, without letting the wish for a clean story tidy the estimates that produced it.</w:t>
      </w:r>
    </w:p>
    <w:bookmarkStart w:id="122" w:name="the-ols-pressure-model-1"/>
    <w:p>
      <w:pPr>
        <w:pStyle w:val="Heading2"/>
        <w:spacing w:line="480" w:lineRule="auto"/>
      </w:pPr>
      <w:r>
        <w:t xml:space="preserve">6.1 The OLS pressure model</w:t>
      </w:r>
    </w:p>
    <w:p>
      <w:pPr>
        <w:pStyle w:val="FirstParagraph"/>
        <w:spacing w:line="480" w:lineRule="auto"/>
      </w:pPr>
      <w:r>
        <w:t xml:space="preserve">The pressure model fits occupancy pressure, the natural log of one plus tracked count, on four composition predictors across the seventy-two shell-regime bins. It returns N = 72, R2 = 0.5696, adjusted R2 = 0.5439, and an F-test p-value of 1.44e-18. The four predictors together account for a little over half the variation in occupancy pressure, and the joint F-test knocks down the null of no relationship at a level so extreme that a flat pricing surface is no longer a tenable reading of the data.</w:t>
      </w:r>
    </w:p>
    <w:p>
      <w:pPr>
        <w:pStyle w:val="BodyText"/>
        <w:spacing w:line="480" w:lineRule="auto"/>
        <w:ind w:firstLine="720"/>
      </w:pPr>
      <w:r>
        <w:t xml:space="preserve">The coefficients bear out the theory one predictor at a time. Debris share comes in at 2.2964 with p = 0.000371. The sun-synchronous indicator comes in at 2.7008 with p = 1e-07. The 500 to 900 kilometer band indicator comes in at 1.0827 with p = 0.0130. Active payload share comes in at 4.0005 with p = 6.77e-06. Every coefficient is positive. Each clears significance at conventional levels, and the two largest belong to exactly the variables the theory had named in advance as decisive, active payload share and sun-synchronous geometry, the two the whole argument rides on.</w:t>
      </w:r>
    </w:p>
    <w:p>
      <w:pPr>
        <w:pStyle w:val="BodyText"/>
        <w:spacing w:line="480" w:lineRule="auto"/>
        <w:ind w:firstLine="720"/>
      </w:pPr>
      <w:r>
        <w:t xml:space="preserve">Held against Chapter 3, the pattern reads as a clean confirmation of H1 and a clean rejection of H0. The pricing surface is not flat. It climbs. It climbs with debris share, as the criticality argument forecast, because a shell run by pure hazard carries elevated pressure</w:t>
      </w:r>
      <w:r>
        <w:t xml:space="preserve"> </w:t>
      </w:r>
      <w:hyperlink w:anchor="ref-4">
        <w:r>
          <w:rPr>
            <w:rStyle w:val="Hyperlink"/>
          </w:rPr>
          <w:t xml:space="preserve">[4]</w:t>
        </w:r>
      </w:hyperlink>
      <w:r>
        <w:t xml:space="preserve">. It climbs steeper still with active payload share, whose coefficient of 4.0005 tops the model, and that is the theoretically weighty result: congestion pressure is no legacy-debris phenomenon alone but is driven, and driven hardest, by where working operators gather</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 sun-synchronous coefficient of 2.7008, fitted with a p-value of 1e-07, is both large and sharp, flagging the favored observation geometry as a seat of acute scarcity</w:t>
      </w:r>
      <w:r>
        <w:t xml:space="preserve"> </w:t>
      </w:r>
      <w:hyperlink w:anchor="ref-15">
        <w:r>
          <w:rPr>
            <w:rStyle w:val="Hyperlink"/>
          </w:rPr>
          <w:t xml:space="preserve">[15]</w:t>
        </w:r>
      </w:hyperlink>
      <w:r>
        <w:t xml:space="preserve">. The 500 to 900 kilometer band adds a positive and significant increment of 1.0827, confirming that the altitude range at the heart of present concern carries structural pressure past what its composition alone would imply</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magnitudes are economically meaningful, not merely detectable. Because the dependent variable is a log, the active payload share coefficient of 4.0005 implies that moving from a shell empty of active payloads to one saturated with them multiplies occupancy pressure many times over, the effect compounding as it passes back through exponentiation. The sun-synchronous shift of 2.7008 relocates a shell far up the pressure surface by regime alone, with composition held fixed. These are the large positive shifts the worked intuition of Chapter 3 foretold, and they arrive in the forecast rank order, with active use and regime outrunning the band indicator.</w:t>
      </w:r>
    </w:p>
    <w:bookmarkEnd w:id="122"/>
    <w:bookmarkStart w:id="123" w:name="what-the-ols-result-establishes"/>
    <w:p>
      <w:pPr>
        <w:pStyle w:val="Heading2"/>
        <w:spacing w:line="480" w:lineRule="auto"/>
      </w:pPr>
      <w:r>
        <w:t xml:space="preserve">6.2 What the OLS result establishes</w:t>
      </w:r>
    </w:p>
    <w:p>
      <w:pPr>
        <w:pStyle w:val="FirstParagraph"/>
        <w:spacing w:line="480" w:lineRule="auto"/>
      </w:pPr>
      <w:r>
        <w:t xml:space="preserve">The direct implication rides in the paper without hedging and gets repeated here because it is the load-bearing conclusion of the dissertation’s first half: shell pressure is structured enough that a flat orbital-use fee would misprice the commons. A uniform charge set to the average would undercharge the debris-heavy, active-dense, sun-synchronous shells that carry the most pressure and overcharge the sparse shells that carry the least. The direction of the mispricing is not ambiguous. Because every composition coefficient is positive, the flat fee errs in one direction only, charging too little in exactly the shells where marginal congestion cost runs highest.</w:t>
      </w:r>
    </w:p>
    <w:p>
      <w:pPr>
        <w:pStyle w:val="BodyText"/>
        <w:spacing w:line="480" w:lineRule="auto"/>
        <w:ind w:firstLine="720"/>
      </w:pPr>
      <w:r>
        <w:t xml:space="preserve">Here the loose insistence that congestion is real hardens into the sharp statement that the marginal price of shell access has to move. The regression hands over no dollar figure, and the paper says outright that predicted occupancy pressure would first have to be rescaled into a relative shadow-price index, median shell pinned to one and higher-pressure shells assigned proportionally larger multipliers, before any tariff could be written. The empirical basis for that rescaling begins here, in a surface demonstrably tiered rather than flat</w:t>
      </w:r>
      <w:r>
        <w:t xml:space="preserve"> </w:t>
      </w:r>
      <w:hyperlink w:anchor="ref-8">
        <w:r>
          <w:rPr>
            <w:rStyle w:val="Hyperlink"/>
          </w:rPr>
          <w:t xml:space="preserve">[8]</w:t>
        </w:r>
      </w:hyperlink>
      <w:r>
        <w:t xml:space="preserve"> </w:t>
      </w:r>
      <w:hyperlink w:anchor="ref-12">
        <w:r>
          <w:rPr>
            <w:rStyle w:val="Hyperlink"/>
          </w:rPr>
          <w:t xml:space="preserve">[12]</w:t>
        </w:r>
      </w:hyperlink>
      <w:r>
        <w:t xml:space="preserve">.</w:t>
      </w:r>
    </w:p>
    <w:bookmarkEnd w:id="123"/>
    <w:bookmarkStart w:id="124" w:name="the-logit-tiering-model-1"/>
    <w:p>
      <w:pPr>
        <w:pStyle w:val="Heading2"/>
        <w:spacing w:line="480" w:lineRule="auto"/>
      </w:pPr>
      <w:r>
        <w:t xml:space="preserve">6.3 The logit tiering model</w:t>
      </w:r>
    </w:p>
    <w:p>
      <w:pPr>
        <w:pStyle w:val="FirstParagraph"/>
        <w:spacing w:line="480" w:lineRule="auto"/>
      </w:pPr>
      <w:r>
        <w:t xml:space="preserve">The second paper recasts the continuous surface as a discrete tiering question. It calls a shell top-fee when it lands in the top tercile of tracked occupancy, which for these seventy-two bins means at least 91 tracked objects, marking 24 of the 72 bins top-tier and leaving 48 below. It then fits that binary indicator on the same four composition predictors by logit.</w:t>
      </w:r>
    </w:p>
    <w:p>
      <w:pPr>
        <w:pStyle w:val="BodyText"/>
        <w:spacing w:line="480" w:lineRule="auto"/>
        <w:ind w:firstLine="720"/>
      </w:pPr>
      <w:r>
        <w:t xml:space="preserve">The model returns N = 72, pseudo R2 = 0.3624, and log likelihood = -29.2226. The sun-synchronous coefficient is 2.7574 with p = 0.000383, exponentiating to an odds ratio of 15.76. Active payload share is 4.1768 with p = 0.0180, an odds ratio of 65.16. The 500 to 900 kilometer band reads positive at 1.3049 but only marginally sharp, with p = 0.0975. Debris share reads positive at 2.5884 but imprecise, with p = 0.1722.</w:t>
      </w:r>
    </w:p>
    <w:p>
      <w:pPr>
        <w:pStyle w:val="BodyText"/>
        <w:spacing w:line="480" w:lineRule="auto"/>
        <w:ind w:firstLine="720"/>
      </w:pPr>
      <w:r>
        <w:t xml:space="preserve">The reading follows the coefficients. A shell in the sun-synchronous regime holds roughly 15.76 times the odds of breaking into the top fee tier as an otherwise similar shell in another regime, a very large and precisely fitted separation</w:t>
      </w:r>
      <w:r>
        <w:t xml:space="preserve"> </w:t>
      </w:r>
      <w:hyperlink w:anchor="ref-15">
        <w:r>
          <w:rPr>
            <w:rStyle w:val="Hyperlink"/>
          </w:rPr>
          <w:t xml:space="preserve">[15]</w:t>
        </w:r>
      </w:hyperlink>
      <w:r>
        <w:t xml:space="preserve">. A shell thick with active payloads holds larger odds still, the odds ratio of 65.16 marking active-use concentration as the single strongest predictor of top-tier membership</w:t>
      </w:r>
      <w:r>
        <w:t xml:space="preserve"> </w:t>
      </w:r>
      <w:hyperlink w:anchor="ref-9">
        <w:r>
          <w:rPr>
            <w:rStyle w:val="Hyperlink"/>
          </w:rPr>
          <w:t xml:space="preserve">[9]</w:t>
        </w:r>
      </w:hyperlink>
      <w:r>
        <w:t xml:space="preserve">. Those two results confirm H1 for Paper 2: top-tier membership does not scatter across regimes but gathers sharply in the sun-synchronous and active-dense shells, which makes a banded schedule administratively defensible rather than arbitrary.</w:t>
      </w:r>
    </w:p>
    <w:bookmarkEnd w:id="124"/>
    <w:bookmarkStart w:id="125" w:name="reading-the-weaker-coefficients-honestly"/>
    <w:p>
      <w:pPr>
        <w:pStyle w:val="Heading2"/>
        <w:spacing w:line="480" w:lineRule="auto"/>
      </w:pPr>
      <w:r>
        <w:t xml:space="preserve">6.4 Reading the weaker coefficients honestly</w:t>
      </w:r>
    </w:p>
    <w:p>
      <w:pPr>
        <w:pStyle w:val="FirstParagraph"/>
        <w:spacing w:line="480" w:lineRule="auto"/>
      </w:pPr>
      <w:r>
        <w:t xml:space="preserve">Two coefficients in the logit read positive without precise estimation, and the reading of them has to be careful. The 500 to 900 kilometer band, at 1.3049 with p = 0.0975, is suggestive yet short of conventional significance. Debris share, at 2.5884 with p = 0.1722, is weaker again. The right reading is not that altitude or debris fall away from congestion, since the OLS model already showed both significant predictors of continuous pressure. The reading is that, once top-tier membership is fixed by actual observed occupancy, the sharpest separations come from where active fleets gather and where the sun-synchronous regime concentrates traffic, and the band and debris signals get partly absorbed into those dominant terms.</w:t>
      </w:r>
    </w:p>
    <w:p>
      <w:pPr>
        <w:pStyle w:val="BodyText"/>
        <w:spacing w:line="480" w:lineRule="auto"/>
        <w:ind w:firstLine="720"/>
      </w:pPr>
      <w:r>
        <w:t xml:space="preserve">That absorption is itself a finding with a policy edge. It says altitude band alone is too coarse a rule for the top tier. A regulator who fixed the highest fee band on an altitude cutoff would miss the regime-and-composition structure that actually parts the crowded shells. The top tier reads better as the intersection of sun-synchronous geometry and dense active use, exactly the spot where one more entrant drops the most obvious operating burden on incumbents, from conjunction screening through maneuver planning to long-run debris persistence</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25"/>
    <w:bookmarkStart w:id="126" w:name="the-two-results-together"/>
    <w:p>
      <w:pPr>
        <w:pStyle w:val="Heading2"/>
        <w:spacing w:line="480" w:lineRule="auto"/>
      </w:pPr>
      <w:r>
        <w:t xml:space="preserve">6.5 The two results together</w:t>
      </w:r>
    </w:p>
    <w:p>
      <w:pPr>
        <w:pStyle w:val="FirstParagraph"/>
        <w:spacing w:line="480" w:lineRule="auto"/>
      </w:pPr>
      <w:r>
        <w:t xml:space="preserve">Set side by side, the papers hand over one coherent conclusion. Paper 1 establishes that the occupancy-pressure surface is structured, rejecting the flat fee with every composition coefficient positive and significant. Paper 2 establishes that the structure is discretely tierable, the top band flagged by sun-synchronous geometry and active payload density at large and, for the regime term, precisely fitted odds ratios. The continuous result rules out the cheapest instrument. The discrete result shows a tiered instrument can be built from observable data rather than guessed at from intuition.</w:t>
      </w:r>
    </w:p>
    <w:p>
      <w:pPr>
        <w:pStyle w:val="BodyText"/>
        <w:spacing w:line="480" w:lineRule="auto"/>
        <w:ind w:firstLine="720"/>
      </w:pPr>
      <w:r>
        <w:t xml:space="preserve">A further consistency check firms up the reading. Active payload share tops both models, 4.0005 in the OLS and 4.1768 in the logit, and the sun-synchronous indicator runs large and sharp in both, 2.7008 and 2.7574. The two estimators, putting different questions to the same table, agree on which shell features carry the pricing signal. That agreement is what one would want from a robust characterization: the ranking of predictors does not hinge on whether the outcome is continuous pressure or discrete tier membership.</w:t>
      </w:r>
    </w:p>
    <w:bookmarkEnd w:id="126"/>
    <w:bookmarkStart w:id="127" w:name="what-the-numbers-do-not-say"/>
    <w:p>
      <w:pPr>
        <w:pStyle w:val="Heading2"/>
        <w:spacing w:line="480" w:lineRule="auto"/>
      </w:pPr>
      <w:r>
        <w:t xml:space="preserve">6.6 What the numbers do not say</w:t>
      </w:r>
    </w:p>
    <w:p>
      <w:pPr>
        <w:pStyle w:val="FirstParagraph"/>
        <w:spacing w:line="480" w:lineRule="auto"/>
      </w:pPr>
      <w:r>
        <w:t xml:space="preserve">The chapter closes by fencing the claims, since a faithful report of the numbers includes a faithful report of their limits. The R2 of 0.5696 means the four predictors leave a little under half the variation in occupancy pressure unexplained, expected given that composition is only part of what settles where objects pile up. The pseudo R2 of 0.3624 in the logit is a respectable fit for a binary policy outcome but no claim that composition settles tier membership; it is a claim that composition predicts it strongly. None of the coefficients is a treatment effect, since the design is descriptive, so none reads as the effect a fee would have on occupancy. And every quantitative statement concerns observable tracked pressure and the relative shadow-price ordering it implies, never total physical collision risk, which the tracked catalog does not measure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Inside those fences the result is firm and the numbers stand exact as reported. The flat fee falls, and the tiered fee stands on ground the data can bear. Chapter 7 takes up what that means and where it can break.</w:t>
      </w:r>
    </w:p>
    <w:p>
      <w:pPr>
        <w:pStyle w:val="BodyText"/>
        <w:spacing w:line="480" w:lineRule="auto"/>
        <w:ind w:firstLine="720"/>
      </w:pPr>
      <w:r>
        <w:t xml:space="preserve">To set the exact figures down once more for the record, so no downstream reader has to reconstruct them: the OLS returns N = 72, R2 = 0.5696, adjusted R2 = 0.5439, F p = 1.44e-18, with coefficients of 2.2964 on debris share (p = 0.000371), 2.7008 on the sun-synchronous indicator (p = 1e-07), 1.0827 on the 500 to 900 kilometer band (p = 0.0130), and 4.0005 on active payload share (p = 6.77e-06). The logit returns N = 72, pseudo R2 = 0.3624, log likelihood = -29.2226, with 24 of 72 bins in the top tier at a threshold of 91 tracked objects, and coefficients of 2.7574 on the sun-synchronous indicator (p = 0.000383, odds ratio 15.76), 4.1768 on active payload share (p = 0.0180, odds ratio 65.16), 1.3049 on the 500 to 900 kilometer band (p = 0.0975), and 2.5884 on debris share (p = 0.1722). These are the paper estimator outputs, reproduced without alteration.</w:t>
      </w:r>
    </w:p>
    <w:bookmarkEnd w:id="127"/>
    <w:bookmarkStart w:id="128" w:name="the-figures-and-what-they-show"/>
    <w:p>
      <w:pPr>
        <w:pStyle w:val="Heading2"/>
        <w:spacing w:line="480" w:lineRule="auto"/>
      </w:pPr>
      <w:r>
        <w:t xml:space="preserve">6.7 The figures and what they show</w:t>
      </w:r>
    </w:p>
    <w:p>
      <w:pPr>
        <w:pStyle w:val="FirstParagraph"/>
        <w:spacing w:line="480" w:lineRule="auto"/>
      </w:pPr>
      <w:r>
        <w:t xml:space="preserve">Each paper carries a figure that makes the tabular result visible, and reading the figures alongside the coefficients guards against a purely numerical interpretation. The first paper plots occupancy pressure, the log of one plus tracked count, against shell midpoint in kilometers, with the fitted relationship estimated on shell composition and regime</w:t>
      </w:r>
      <w:r>
        <w:t xml:space="preserve"> </w:t>
      </w:r>
      <w:hyperlink w:anchor="ref-6">
        <w:r>
          <w:rPr>
            <w:rStyle w:val="Hyperlink"/>
          </w:rPr>
          <w:t xml:space="preserve">[6]</w:t>
        </w:r>
      </w:hyperlink>
      <w:r>
        <w:t xml:space="preserve">. The plot makes the concentration in the mid-LEO bands legible where a coefficient table cannot: pressure does not rise smoothly with altitude but peaks in the crowded 500 to 900 kilometer range and in the sun-synchronous regime, then trails off in the sparse low and high extremes. The visual confirms the surface is neither flat nor monotone in altitude, exactly why an altitude-only fee rule would fail and a composition-and-regime rule is required.</w:t>
      </w:r>
    </w:p>
    <w:p>
      <w:pPr>
        <w:pStyle w:val="BodyText"/>
        <w:spacing w:line="480" w:lineRule="auto"/>
        <w:ind w:firstLine="720"/>
      </w:pPr>
      <w:r>
        <w:t xml:space="preserve">The second paper plots the top-tier indicator against active payload share, and the figure shows the probability of top-tier membership rising as active payload concentration rises</w:t>
      </w:r>
      <w:r>
        <w:t xml:space="preserve"> </w:t>
      </w:r>
      <w:hyperlink w:anchor="ref-6">
        <w:r>
          <w:rPr>
            <w:rStyle w:val="Hyperlink"/>
          </w:rPr>
          <w:t xml:space="preserve">[6]</w:t>
        </w:r>
      </w:hyperlink>
      <w:r>
        <w:t xml:space="preserve">. The upward slope is the visual counterpart of the 65.16 odds ratio: shells thick with active operators sit disproportionately in the top band. Watching the binary outcome sort along the active-share axis makes concrete what the logit coefficient asserts, that active use is the sharpest single separator of high-fee shells from the rest, and it does so in a form a policymaker without a statistics background can read straight.</w:t>
      </w:r>
    </w:p>
    <w:bookmarkEnd w:id="128"/>
    <w:bookmarkStart w:id="129" w:name="X95dcc050df70ed8c9a008ecdc874e2b7e24010d"/>
    <w:p>
      <w:pPr>
        <w:pStyle w:val="Heading2"/>
        <w:spacing w:line="480" w:lineRule="auto"/>
      </w:pPr>
      <w:r>
        <w:t xml:space="preserve">6.8 Consistency of magnitude across the two models</w:t>
      </w:r>
    </w:p>
    <w:p>
      <w:pPr>
        <w:pStyle w:val="FirstParagraph"/>
        <w:spacing w:line="480" w:lineRule="auto"/>
      </w:pPr>
      <w:r>
        <w:t xml:space="preserve">A subtle but reassuring feature of the results is how tightly the two estimators agree on magnitude, not merely on sign. Active payload share enters the OLS at 4.0005 and the logit at 4.1768, a gap well inside what different link functions and outcomes would throw off, and the sun-synchronous indicator enters at 2.7008 and 2.7574 respectively, nearly the same</w:t>
      </w:r>
      <w:r>
        <w:t xml:space="preserve"> </w:t>
      </w:r>
      <w:hyperlink w:anchor="ref-9">
        <w:r>
          <w:rPr>
            <w:rStyle w:val="Hyperlink"/>
          </w:rPr>
          <w:t xml:space="preserve">[9]</w:t>
        </w:r>
      </w:hyperlink>
      <w:r>
        <w:t xml:space="preserve"> </w:t>
      </w:r>
      <w:hyperlink w:anchor="ref-15">
        <w:r>
          <w:rPr>
            <w:rStyle w:val="Hyperlink"/>
          </w:rPr>
          <w:t xml:space="preserve">[15]</w:t>
        </w:r>
      </w:hyperlink>
      <w:r>
        <w:t xml:space="preserve">. This coherence is not mechanically guaranteed. The OLS predicts a continuous log-pressure and the logit predicts a binary tier crossing; no arithmetic reason has their coefficients on the same predictors landing so close unless the underlying association is stable. That they do is evidence the pricing signal these two variables carry is a real feature of the shell environment rather than an artifact of any one specification. When two estimators of different form, asking different questions, return the same rank order and nearly the same magnitudes for the dominant predictors, the characterization has earned a trust neither estimator alone could confer</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29"/>
    <w:bookmarkStart w:id="130" w:name="X34856aa7e07b799842ca55d4c158a9b48209251"/>
    <w:p>
      <w:pPr>
        <w:pStyle w:val="Heading2"/>
        <w:spacing w:line="480" w:lineRule="auto"/>
      </w:pPr>
      <w:r>
        <w:t xml:space="preserve">6.9 The result against the theoretical predictions</w:t>
      </w:r>
    </w:p>
    <w:p>
      <w:pPr>
        <w:pStyle w:val="FirstParagraph"/>
        <w:spacing w:line="480" w:lineRule="auto"/>
      </w:pPr>
      <w:r>
        <w:t xml:space="preserve">Chapter 3 committed to specific predictions ahead of the estimation, and a faithful results chapter closes by scoring the outcome against them rather than declaring victory in general terms. The theory forecast all four composition coefficients positive; all four are. It forecast active payload share and sun-synchronous geometry to dominate; they carry the two largest coefficients in the OLS and the two largest and sharpest in the logit</w:t>
      </w:r>
      <w:r>
        <w:t xml:space="preserve"> </w:t>
      </w:r>
      <w:hyperlink w:anchor="ref-9">
        <w:r>
          <w:rPr>
            <w:rStyle w:val="Hyperlink"/>
          </w:rPr>
          <w:t xml:space="preserve">[9]</w:t>
        </w:r>
      </w:hyperlink>
      <w:r>
        <w:t xml:space="preserve"> </w:t>
      </w:r>
      <w:hyperlink w:anchor="ref-15">
        <w:r>
          <w:rPr>
            <w:rStyle w:val="Hyperlink"/>
          </w:rPr>
          <w:t xml:space="preserve">[15]</w:t>
        </w:r>
      </w:hyperlink>
      <w:r>
        <w:t xml:space="preserve">. It forecast the debris and band signals, real yet perhaps partly absorbed by the dominant terms in the discrete model; debris share and the band indicator are indeed the two imprecise coefficients in the logit while staying significant in the continuous model</w:t>
      </w:r>
      <w:r>
        <w:t xml:space="preserve"> </w:t>
      </w:r>
      <w:hyperlink w:anchor="ref-4">
        <w:r>
          <w:rPr>
            <w:rStyle w:val="Hyperlink"/>
          </w:rPr>
          <w:t xml:space="preserve">[4]</w:t>
        </w:r>
      </w:hyperlink>
      <w:r>
        <w:t xml:space="preserve">. The theory even reached for magnitudes. It anticipated a sun-synchronous odds multiplier well above ten and a steeper active-share multiplier, and the estimates land at 15.76 and 65.16 respectively, both inside the band the theory had marked before the data were touched.</w:t>
      </w:r>
    </w:p>
    <w:p>
      <w:pPr>
        <w:pStyle w:val="BodyText"/>
        <w:spacing w:line="480" w:lineRule="auto"/>
        <w:ind w:firstLine="720"/>
      </w:pPr>
      <w:r>
        <w:t xml:space="preserve">That correspondence between prior forecast and estimated result is the strongest confirmation a descriptive design can offer. Because the predictions were laid down in Chapter 3 with signs, an ordering, and a magnitude range, the result could have contradicted them in several ways: a wrong sign, a flipped ordering, or odds ratios near one would each have falsified the theory. None occurred. The data returned the forecast signs, the forecast ordering, and magnitudes inside the forecast range, which is what it means for a mechanism to survive a test genuinely capable of killing it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130"/>
    <w:bookmarkStart w:id="131" w:name="summary-of-the-empirical-verdict"/>
    <w:p>
      <w:pPr>
        <w:pStyle w:val="Heading2"/>
        <w:spacing w:line="480" w:lineRule="auto"/>
      </w:pPr>
      <w:r>
        <w:t xml:space="preserve">6.10 Summary of the empirical verdict</w:t>
      </w:r>
    </w:p>
    <w:p>
      <w:pPr>
        <w:pStyle w:val="FirstParagraph"/>
        <w:spacing w:line="480" w:lineRule="auto"/>
      </w:pPr>
      <w:r>
        <w:t xml:space="preserve">Set down in one paragraph so it cannot be missed, the verdict is plain. The occupancy-pressure surface of low Earth orbit is structured, not flat: an F-test at 1.44e-18 rejects the flat null, and every composition coefficient is positive and significant, active payload share at 4.0005 and the sun-synchronous indicator at 2.7008 leading the OLS</w:t>
      </w:r>
      <w:r>
        <w:t xml:space="preserve"> </w:t>
      </w:r>
      <w:hyperlink w:anchor="ref-6">
        <w:r>
          <w:rPr>
            <w:rStyle w:val="Hyperlink"/>
          </w:rPr>
          <w:t xml:space="preserve">[6]</w:t>
        </w:r>
      </w:hyperlink>
      <w:r>
        <w:t xml:space="preserve">. The structure is discretely tierable: the logit sorts twenty-four of seventy-two shells into a top tier that gathers sharply in the sun-synchronous regime, odds ratio 15.76, and in active-dense shells, odds ratio 65.16</w:t>
      </w:r>
      <w:r>
        <w:t xml:space="preserve"> </w:t>
      </w:r>
      <w:hyperlink w:anchor="ref-9">
        <w:r>
          <w:rPr>
            <w:rStyle w:val="Hyperlink"/>
          </w:rPr>
          <w:t xml:space="preserve">[9]</w:t>
        </w:r>
      </w:hyperlink>
      <w:r>
        <w:t xml:space="preserve">. The two estimators agree on which features carry the pricing signal, and the result meets the theory’s prior forecasts in sign, ordering, and magnitude. On this evidence the flat fee is not a defensible baseline. A tiered schedule is buildable from observable data, and that verdict is what the discussion chapter now takes up, interprets, and bounds against the claims the evidence cannot reach</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bookmarkEnd w:id="131"/>
    <w:bookmarkStart w:id="132" w:name="Xc2f5f9233eedffb58e4291badee3b97661689a4"/>
    <w:p>
      <w:pPr>
        <w:pStyle w:val="Heading2"/>
        <w:spacing w:line="480" w:lineRule="auto"/>
      </w:pPr>
      <w:r>
        <w:t xml:space="preserve">6.11 The economic reading of the coefficient magnitudes</w:t>
      </w:r>
    </w:p>
    <w:p>
      <w:pPr>
        <w:pStyle w:val="FirstParagraph"/>
        <w:spacing w:line="480" w:lineRule="auto"/>
      </w:pPr>
      <w:r>
        <w:t xml:space="preserve">Past their statistical significance, the coefficient magnitudes carry an economic story worth reading outright. The active payload share coefficient of 4.0005 is not merely the largest; it is large enough to overturn a common policy intuition. A shell that is all active payloads carries occupancy pressure far above one that is all debris of the same count, which says living operators, not abandoned junk, drive the steepest stretch of the pressure surface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For a fee designer that reorders priorities. It means the instrument has to reach current commercial behavior rather than settling for legacy cleanup, since the marginal social cost runs highest where operators are actively choosing to be. The sun-synchronous coefficient of 2.7008 adds a second lesson: geometry itself, apart from composition, relocates a shell up the pressure surface, the empirical trace of agglomeration in a favored regime</w:t>
      </w:r>
      <w:r>
        <w:t xml:space="preserve"> </w:t>
      </w:r>
      <w:hyperlink w:anchor="ref-15">
        <w:r>
          <w:rPr>
            <w:rStyle w:val="Hyperlink"/>
          </w:rPr>
          <w:t xml:space="preserve">[15]</w:t>
        </w:r>
      </w:hyperlink>
      <w:r>
        <w:t xml:space="preserve">. Operators gather in the sun-synchronous band because it is commercially valuable, and the pressure they raise there is the congestion cost of that agglomeration. The 500 to 900 kilometer band coefficient of 1.0827, smaller yet significant, tells the designer altitude adds a real increment past composition and regime, in line with the slow decay and commercial appeal that concentrate concern in that range</w:t>
      </w:r>
      <w:r>
        <w:t xml:space="preserve"> </w:t>
      </w:r>
      <w:hyperlink w:anchor="ref-2">
        <w:r>
          <w:rPr>
            <w:rStyle w:val="Hyperlink"/>
          </w:rPr>
          <w:t xml:space="preserve">[2]</w:t>
        </w:r>
      </w:hyperlink>
      <w:r>
        <w:t xml:space="preserve"> </w:t>
      </w:r>
      <w:hyperlink w:anchor="ref-11">
        <w:r>
          <w:rPr>
            <w:rStyle w:val="Hyperlink"/>
          </w:rPr>
          <w:t xml:space="preserve">[11]</w:t>
        </w:r>
      </w:hyperlink>
      <w:r>
        <w:t xml:space="preserve">. Read together, the three magnitudes describe a surface whose steepest gradients follow exactly the features a corrective price would most want to reach, the deepest sense in which the flat fee fails: it flattens precisely the gradients that carry the economic signal</w:t>
      </w:r>
      <w:r>
        <w:t xml:space="preserve"> </w:t>
      </w:r>
      <w:hyperlink w:anchor="ref-4">
        <w:r>
          <w:rPr>
            <w:rStyle w:val="Hyperlink"/>
          </w:rPr>
          <w:t xml:space="preserve">[4]</w:t>
        </w:r>
      </w:hyperlink>
      <w:r>
        <w:t xml:space="preserve">.</w:t>
      </w:r>
    </w:p>
    <w:bookmarkEnd w:id="132"/>
    <w:bookmarkEnd w:id="133"/>
    <w:bookmarkStart w:id="144" w:name="chapter-7.-discussion-and-limitations"/>
    <w:p>
      <w:pPr>
        <w:pStyle w:val="Heading1"/>
        <w:spacing w:line="480" w:lineRule="auto"/>
      </w:pPr>
      <w:r>
        <w:t xml:space="preserve">Chapter 7. Discussion and Limitations</w:t>
      </w:r>
    </w:p>
    <w:p>
      <w:pPr>
        <w:pStyle w:val="FirstParagraph"/>
        <w:spacing w:line="480" w:lineRule="auto"/>
      </w:pPr>
      <w:r>
        <w:t xml:space="preserve">The results reject the flat fee and mark out a coherent top tier. This chapter asks what those findings mean for how orbit ought to be governed, then turns the same scrutiny back on the findings, cataloguing the threats to validity and drawing the line between what the data show and what they cannot. A dissertation earns its conclusions by naming the ways it could be wrong. This chapter does that work first, before Chapter 8 states the contribution in final form.</w:t>
      </w:r>
    </w:p>
    <w:bookmarkStart w:id="134" w:name="what-the-findings-mean"/>
    <w:p>
      <w:pPr>
        <w:pStyle w:val="Heading2"/>
        <w:spacing w:line="480" w:lineRule="auto"/>
      </w:pPr>
      <w:r>
        <w:t xml:space="preserve">7.1 What the findings mean</w:t>
      </w:r>
    </w:p>
    <w:p>
      <w:pPr>
        <w:pStyle w:val="FirstParagraph"/>
        <w:spacing w:line="480" w:lineRule="auto"/>
      </w:pPr>
      <w:r>
        <w:t xml:space="preserve">The meaning is a negation, and it has teeth. The cheapest orbital-use instrument, a flat charge, is not a defensible baseline, because the occupancy-pressure surface it would price is demonstrably structured and the mispricing runs in a known direction. A flat fee undercharges the debris-heavy, active-dense, sun-synchronous shells that carry the most pressure and overcharges the sparse shells that carry the least</w:t>
      </w:r>
      <w:r>
        <w:t xml:space="preserve"> </w:t>
      </w:r>
      <w:hyperlink w:anchor="ref-4">
        <w:r>
          <w:rPr>
            <w:rStyle w:val="Hyperlink"/>
          </w:rPr>
          <w:t xml:space="preserve">[4]</w:t>
        </w:r>
      </w:hyperlink>
      <w:r>
        <w:t xml:space="preserve"> </w:t>
      </w:r>
      <w:hyperlink w:anchor="ref-15">
        <w:r>
          <w:rPr>
            <w:rStyle w:val="Hyperlink"/>
          </w:rPr>
          <w:t xml:space="preserve">[15]</w:t>
        </w:r>
      </w:hyperlink>
      <w:r>
        <w:t xml:space="preserve">. That is no subtle inefficiency. It is a subsidy, systematic and backwards, to entry in exactly the bands where marginal external cost runs highest, the precise opposite of what a corrective price is meant to do.</w:t>
      </w:r>
    </w:p>
    <w:p>
      <w:pPr>
        <w:pStyle w:val="BodyText"/>
        <w:spacing w:line="480" w:lineRule="auto"/>
        <w:ind w:firstLine="720"/>
      </w:pPr>
      <w:r>
        <w:t xml:space="preserve">The positive face is that a tiered instrument is buildable from observable data. The logit shows the shells that would fill the top band do not scatter; they gather in the sun-synchronous regime and where active payloads concentrate, with odds ratios large enough to warrant a discrete top tier as policy rather than statistical ornament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regulator does not have to guess. A transparent occupancy tercile, run on a public catalog, names the shells that pay the top rate, and the identification is reproducible by anyone who holds the same file.</w:t>
      </w:r>
    </w:p>
    <w:p>
      <w:pPr>
        <w:pStyle w:val="BodyText"/>
        <w:spacing w:line="480" w:lineRule="auto"/>
        <w:ind w:firstLine="720"/>
      </w:pPr>
      <w:r>
        <w:t xml:space="preserve">The active-payload result carries the sharpest policy edge and deserves emphasis. A congestion fee is often pictured as a tax on legacy debris, a cleanup charge for the sins of past programs. The data say that picture is incomplete. Active payload share tops both models, which means commons pressure climbs steepest where working operators gather, not only where old debris has piled up over the decades since a shell was first used</w:t>
      </w:r>
      <w:r>
        <w:t xml:space="preserve"> </w:t>
      </w:r>
      <w:hyperlink w:anchor="ref-13">
        <w:r>
          <w:rPr>
            <w:rStyle w:val="Hyperlink"/>
          </w:rPr>
          <w:t xml:space="preserve">[13]</w:t>
        </w:r>
      </w:hyperlink>
      <w:r>
        <w:t xml:space="preserve">. A fee that priced only historical debris and left present occupancy untouched would miss the growing part of the externality, since today’s dense active shell is tomorrow’s debris field. In the language of agglomeration economics, the rents of clustering in a valuable regime and the costs of congesting it arrive together, and a credible price instrument has to pull them apart rather than pretend one side is not there</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w:t>
      </w:r>
    </w:p>
    <w:bookmarkEnd w:id="134"/>
    <w:bookmarkStart w:id="135" w:name="the-shadow-price-bridge-and-its-honesty"/>
    <w:p>
      <w:pPr>
        <w:pStyle w:val="Heading2"/>
        <w:spacing w:line="480" w:lineRule="auto"/>
      </w:pPr>
      <w:r>
        <w:t xml:space="preserve">7.2 The shadow-price bridge and its honesty</w:t>
      </w:r>
    </w:p>
    <w:p>
      <w:pPr>
        <w:pStyle w:val="FirstParagraph"/>
        <w:spacing w:line="480" w:lineRule="auto"/>
      </w:pPr>
      <w:r>
        <w:t xml:space="preserve">The dissertation stops short of a dollar tariff, and that restraint is a strength rather than an evasion. The regression recovers a relative pressure surface, which rescales into a relative shadow-price index with the median shell pinned to one and higher-pressure shells assigned proportionally larger multipliers</w:t>
      </w:r>
      <w:r>
        <w:t xml:space="preserve"> </w:t>
      </w:r>
      <w:hyperlink w:anchor="ref-8">
        <w:r>
          <w:rPr>
            <w:rStyle w:val="Hyperlink"/>
          </w:rPr>
          <w:t xml:space="preserve">[8]</w:t>
        </w:r>
      </w:hyperlink>
      <w:r>
        <w:t xml:space="preserve"> </w:t>
      </w:r>
      <w:hyperlink w:anchor="ref-12">
        <w:r>
          <w:rPr>
            <w:rStyle w:val="Hyperlink"/>
          </w:rPr>
          <w:t xml:space="preserve">[12]</w:t>
        </w:r>
      </w:hyperlink>
      <w:r>
        <w:t xml:space="preserve">. Carrying that index into a monetary charge takes two ingredients the data do not hold: a welfare target that fixes how much deterrence is wanted, and a normalization rule that fixes the absolute level. Both are policy choices rather than empirical facts. The dissertation refuses to disguise a policy choice as an estimate, because the moment a level is smuggled in as though the data had supplied it, the whole result loses the neutrality that made it useful. What the empirical work supplies is the ordering and the gradient; what a governing body must add is the level and the objective. Keeping those apart is what makes the contribution usable by parties who disagree about the level yet can agree about the ordering.</w:t>
      </w:r>
    </w:p>
    <w:bookmarkEnd w:id="135"/>
    <w:bookmarkStart w:id="136" w:name="threats-to-validity"/>
    <w:p>
      <w:pPr>
        <w:pStyle w:val="Heading2"/>
        <w:spacing w:line="480" w:lineRule="auto"/>
      </w:pPr>
      <w:r>
        <w:t xml:space="preserve">7.3 Threats to validity</w:t>
      </w:r>
    </w:p>
    <w:p>
      <w:pPr>
        <w:pStyle w:val="FirstParagraph"/>
        <w:spacing w:line="480" w:lineRule="auto"/>
      </w:pPr>
      <w:r>
        <w:t xml:space="preserve">Four threats fence the interpretation, and each stands as a limit rather than a thing waved off. The first is that tracked count stands in for pressure and not for a full collision-probability measure. The catalog enumerates large objects; it never sees the sub-catalog flux of small debris that ORDEM and MASTER model, and that flux drives certain physical-risk calculations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dissertation is therefore a characterization of observable congestion pressure and the shadow-price ordering it implies, not a complete welfare accounting of physical risk. The limit is acceptable because a fee can only be billed against observable objects, but it means the schedule prices what can be seen, and what can be seen is a lower bound on true hazard.</w:t>
      </w:r>
    </w:p>
    <w:p>
      <w:pPr>
        <w:pStyle w:val="BodyText"/>
        <w:spacing w:line="480" w:lineRule="auto"/>
        <w:ind w:firstLine="720"/>
      </w:pPr>
      <w:r>
        <w:t xml:space="preserve">The second is that the design is descriptive and shell composition is endogenous. Occupancy, debris share, and payload share are jointly produced by launch history, platform economics, orbital mechanics, and earlier policy, so the coefficients characterize a joint distribution rather than a production function</w:t>
      </w:r>
      <w:r>
        <w:t xml:space="preserve"> </w:t>
      </w:r>
      <w:hyperlink w:anchor="ref-12">
        <w:r>
          <w:rPr>
            <w:rStyle w:val="Hyperlink"/>
          </w:rPr>
          <w:t xml:space="preserve">[12]</w:t>
        </w:r>
      </w:hyperlink>
      <w:r>
        <w:t xml:space="preserve">. No coefficient is the effect of an intervention, and none reads as forecasting how occupancy would answer a fee actually imposed. The models settle whether the surface a fee would meet is flat, the question the theory posed, and they do not settle, because they cannot, what behavioral response a fee would draw.</w:t>
      </w:r>
    </w:p>
    <w:p>
      <w:pPr>
        <w:pStyle w:val="BodyText"/>
        <w:spacing w:line="480" w:lineRule="auto"/>
        <w:ind w:firstLine="720"/>
      </w:pPr>
      <w:r>
        <w:t xml:space="preserve">The third is aggregation. Binning into 100 kilometer shells and four regimes discards within-bin heterogeneity in object size, mass, maneuverability, and remaining lifetime, so two bins with identical composition shares can hold different true hazard</w:t>
      </w:r>
      <w:r>
        <w:t xml:space="preserve"> </w:t>
      </w:r>
      <w:hyperlink w:anchor="ref-4">
        <w:r>
          <w:rPr>
            <w:rStyle w:val="Hyperlink"/>
          </w:rPr>
          <w:t xml:space="preserve">[4]</w:t>
        </w:r>
      </w:hyperlink>
      <w:r>
        <w:t xml:space="preserve">. The coefficients describe bins, and a bin is a coarser object than a spacecraft. Finer binning would resolve more structure while destabilizing the composition shares in sparse cells, so the aggregation is a considered trade rather than an oversight, but a trade it remains, and the results inherit its grain.</w:t>
      </w:r>
    </w:p>
    <w:p>
      <w:pPr>
        <w:pStyle w:val="BodyText"/>
        <w:spacing w:line="480" w:lineRule="auto"/>
        <w:ind w:firstLine="720"/>
      </w:pPr>
      <w:r>
        <w:t xml:space="preserve">The fourth is snapshot dependence. The cross section is a single dated catalog, and the surface it characterizes is the present one</w:t>
      </w:r>
      <w:r>
        <w:t xml:space="preserve"> </w:t>
      </w:r>
      <w:hyperlink w:anchor="ref-6">
        <w:r>
          <w:rPr>
            <w:rStyle w:val="Hyperlink"/>
          </w:rPr>
          <w:t xml:space="preserve">[6]</w:t>
        </w:r>
      </w:hyperlink>
      <w:r>
        <w:t xml:space="preserve">. Traffic shifts as constellations deploy and deorbit, and the sun-synchronous and mid-LEO concentrations that dominate today’s result could migrate as the market turns over</w:t>
      </w:r>
      <w:r>
        <w:t xml:space="preserve"> </w:t>
      </w:r>
      <w:hyperlink w:anchor="ref-15">
        <w:r>
          <w:rPr>
            <w:rStyle w:val="Hyperlink"/>
          </w:rPr>
          <w:t xml:space="preserve">[15]</w:t>
        </w:r>
      </w:hyperlink>
      <w:r>
        <w:t xml:space="preserve"> </w:t>
      </w:r>
      <w:hyperlink w:anchor="ref-29">
        <w:r>
          <w:rPr>
            <w:rStyle w:val="Hyperlink"/>
          </w:rPr>
          <w:t xml:space="preserve">[29]</w:t>
        </w:r>
      </w:hyperlink>
      <w:r>
        <w:t xml:space="preserve">. The schedule implied here is a schedule for present governance design, expressly not a timeless constant, and its coefficients should be re-estimated as the environment changes rather than treated as fixed parameters.</w:t>
      </w:r>
    </w:p>
    <w:bookmarkEnd w:id="136"/>
    <w:bookmarkStart w:id="137" w:name="the-threshold-convention"/>
    <w:p>
      <w:pPr>
        <w:pStyle w:val="Heading2"/>
        <w:spacing w:line="480" w:lineRule="auto"/>
      </w:pPr>
      <w:r>
        <w:t xml:space="preserve">7.4 The threshold convention</w:t>
      </w:r>
    </w:p>
    <w:p>
      <w:pPr>
        <w:pStyle w:val="FirstParagraph"/>
        <w:spacing w:line="480" w:lineRule="auto"/>
      </w:pPr>
      <w:r>
        <w:t xml:space="preserve">Paper 2’s top-tercile rule is a construction choice, and its arbitrariness is a threat worth isolating. The rule hands the top third of observed occupancy to the top tier, a threshold of at least 91 tracked objects for this catalog, and it is a transparent empirical convention rather than a welfare optimum. A different threshold would slide the boundary and could carry marginal bins across it. The defense runs two ways. Occupancy alone fixes the threshold, with no reference to the composition predictors, so the logit cannot be charged with building its answer into its outcome, and the finding that survives is qualitative: the top-tier shells gather in identifiable regimes wherever the line is drawn within reason. The precise probability at the threshold is not the load-bearing result. The clustering pattern is, and clustering holds up under reasonable movement of the cutoff.</w:t>
      </w:r>
    </w:p>
    <w:bookmarkEnd w:id="137"/>
    <w:bookmarkStart w:id="138" w:name="what-the-data-cannot-show"/>
    <w:p>
      <w:pPr>
        <w:pStyle w:val="Heading2"/>
        <w:spacing w:line="480" w:lineRule="auto"/>
      </w:pPr>
      <w:r>
        <w:t xml:space="preserve">7.5 What the data cannot show</w:t>
      </w:r>
    </w:p>
    <w:p>
      <w:pPr>
        <w:pStyle w:val="FirstParagraph"/>
        <w:spacing w:line="480" w:lineRule="auto"/>
      </w:pPr>
      <w:r>
        <w:t xml:space="preserve">Past the enumerated threats, several questions sit wholly outside this design, and naming them keeps the reader from asking the data for more than they hold. The analysis cannot show the welfare-optimal fee level, which takes a social objective the data do not hold. It cannot show the behavioral elasticity of launch decisions to a congestion price, since no fee was imposed and no response watched. It cannot show the physical collision probability of any shell, since the tracked catalog is no flux model</w:t>
      </w:r>
      <w:r>
        <w:t xml:space="preserve"> </w:t>
      </w:r>
      <w:hyperlink w:anchor="ref-1">
        <w:r>
          <w:rPr>
            <w:rStyle w:val="Hyperlink"/>
          </w:rPr>
          <w:t xml:space="preserve">[1]</w:t>
        </w:r>
      </w:hyperlink>
      <w:r>
        <w:t xml:space="preserve"> </w:t>
      </w:r>
      <w:hyperlink w:anchor="ref-2">
        <w:r>
          <w:rPr>
            <w:rStyle w:val="Hyperlink"/>
          </w:rPr>
          <w:t xml:space="preserve">[2]</w:t>
        </w:r>
      </w:hyperlink>
      <w:r>
        <w:t xml:space="preserve">. And it cannot show how the surface will move, since it is a single cross section</w:t>
      </w:r>
      <w:r>
        <w:t xml:space="preserve"> </w:t>
      </w:r>
      <w:hyperlink w:anchor="ref-6">
        <w:r>
          <w:rPr>
            <w:rStyle w:val="Hyperlink"/>
          </w:rPr>
          <w:t xml:space="preserve">[6]</w:t>
        </w:r>
      </w:hyperlink>
      <w:r>
        <w:t xml:space="preserve">. These are not failures of execution but the edge of a well-posed descriptive claim, and stating them is what lets the contribution be trusted precisely because it does not overreach.</w:t>
      </w:r>
    </w:p>
    <w:bookmarkEnd w:id="138"/>
    <w:bookmarkStart w:id="139" w:name="robustness-to-environment-model-choice"/>
    <w:p>
      <w:pPr>
        <w:pStyle w:val="Heading2"/>
        <w:spacing w:line="480" w:lineRule="auto"/>
      </w:pPr>
      <w:r>
        <w:t xml:space="preserve">7.6 Robustness to environment-model choice</w:t>
      </w:r>
    </w:p>
    <w:p>
      <w:pPr>
        <w:pStyle w:val="FirstParagraph"/>
        <w:spacing w:line="480" w:lineRule="auto"/>
      </w:pPr>
      <w:r>
        <w:t xml:space="preserve">One further robustness concern deserves direct treatment. The reading of shell risk leans partly on which debris-environment framing gets invoked, and ORDEM and MASTER are not identical, so a risk shadow price read through one need not match the other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dissertation handles this by keeping its quantitative claims in observable occupancy units, which are model-independent, and by treating the environment-model choice as interpretive uncertainty rather than a hidden parameter. The occupancy coefficients do not lean on which flux model one prefers, since they are computed from the tracked catalog directly; only the translation from occupancy pressure into physical-risk language invokes the environment models, and that translation comes offered as interpretation, clearly labeled, rather than as estimated fact. Reporting sensitivity across framings, rather than crowning one privileged risk model, is the honest posture, and it is the posture the dissertation holds throughout.</w:t>
      </w:r>
    </w:p>
    <w:p>
      <w:pPr>
        <w:pStyle w:val="BodyText"/>
        <w:spacing w:line="480" w:lineRule="auto"/>
        <w:ind w:firstLine="720"/>
      </w:pPr>
      <w:r>
        <w:t xml:space="preserve">Taken together, the discussion supports a confident but bounded conclusion. The flat fee falls, the tiered fee stands, the active-payload result recasts congestion as a present-market phenomenon rather than a legacy-cleanup problem, and every one of these claims comes stated in the observable units the data can bear and fenced from the physical-risk and causal claims they cannot support. That is the material Chapter 8 carries into its statement of contribution and its account of what should come next.</w:t>
      </w:r>
    </w:p>
    <w:bookmarkEnd w:id="139"/>
    <w:bookmarkStart w:id="140" w:name="Xf448265e04e8bbd795c079748e93dea129ab40a"/>
    <w:p>
      <w:pPr>
        <w:pStyle w:val="Heading2"/>
        <w:spacing w:line="480" w:lineRule="auto"/>
      </w:pPr>
      <w:r>
        <w:t xml:space="preserve">7.7 Comparison with the incentive-design alternatives</w:t>
      </w:r>
    </w:p>
    <w:p>
      <w:pPr>
        <w:pStyle w:val="FirstParagraph"/>
        <w:spacing w:line="480" w:lineRule="auto"/>
      </w:pPr>
      <w:r>
        <w:t xml:space="preserve">Setting the tiered-fee finding against the incentive instruments the sustainability literature has already floated sharpens what a price adds. The Space Sustainability Rating grades operators on conduct tied to environmental health, and the David mechanism rewards multi-stakeholder collaboration; both are incentive instruments, and both carry the virtue of already existing in designed form</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congestion fee is no substitute for these but a complement, and the distinction instructs. A rating shapes how an operator behaves inside a chosen orbit; a fee shapes which orbit the operator chooses to begin with. The pressure surface estimated here speaks to the second margin, the choice of shell, which the rating instruments do not price. A regime marrying a behavior rating to a shell-keyed access fee would work both margins, and the dissertation’s contribution is to supply the empirical basis for the second while leaving the first to the instruments that already do it well.</w:t>
      </w:r>
    </w:p>
    <w:p>
      <w:pPr>
        <w:pStyle w:val="BodyText"/>
        <w:spacing w:line="480" w:lineRule="auto"/>
        <w:ind w:firstLine="720"/>
      </w:pPr>
      <w:r>
        <w:t xml:space="preserve">The comparison also exposes a risk the fee must be designed around. Raise the cost of the high-pressure shells through a tiered fee without a matching rating incentive, and operators might slide toward adjacent shells in ways that merely relocate congestion rather than shrinking it. The estimated surface helps anticipate this, since it marks which adjacent shells carry low pressure and could absorb displaced traffic without crossing into a high tier</w:t>
      </w:r>
      <w:r>
        <w:t xml:space="preserve"> </w:t>
      </w:r>
      <w:hyperlink w:anchor="ref-15">
        <w:r>
          <w:rPr>
            <w:rStyle w:val="Hyperlink"/>
          </w:rPr>
          <w:t xml:space="preserve">[15]</w:t>
        </w:r>
      </w:hyperlink>
      <w:r>
        <w:t xml:space="preserve">. A fee designed with the surface in view can price the destination shells so substitution carries traffic toward genuinely quieter regions rather than to the edge of the priced band. That design sensitivity is available only because the pressure surface is estimated across all shells rather than asserted for a few, one more reason the descriptive breadth of the result carries policy value past the headline rejection of the flat fee.</w:t>
      </w:r>
    </w:p>
    <w:bookmarkEnd w:id="140"/>
    <w:bookmarkStart w:id="141" w:name="X25dc7e347a99ec85260e99d2c6852d6266d037e"/>
    <w:p>
      <w:pPr>
        <w:pStyle w:val="Heading2"/>
        <w:spacing w:line="480" w:lineRule="auto"/>
      </w:pPr>
      <w:r>
        <w:t xml:space="preserve">7.8 The endogeneity of the top tier over time</w:t>
      </w:r>
    </w:p>
    <w:p>
      <w:pPr>
        <w:pStyle w:val="FirstParagraph"/>
        <w:spacing w:line="480" w:lineRule="auto"/>
      </w:pPr>
      <w:r>
        <w:t xml:space="preserve">One further limitation bridges the discussion toward future work and earns its own statement. The top tier the logit marks out is defined against the current occupancy distribution, so as the environment turns over, the membership of the tier will turn over with it</w:t>
      </w:r>
      <w:r>
        <w:t xml:space="preserve"> </w:t>
      </w:r>
      <w:hyperlink w:anchor="ref-6">
        <w:r>
          <w:rPr>
            <w:rStyle w:val="Hyperlink"/>
          </w:rPr>
          <w:t xml:space="preserve">[6]</w:t>
        </w:r>
      </w:hyperlink>
      <w:r>
        <w:t xml:space="preserve">. A shell sitting just under the tercile threshold today could cross it as a constellation deploys, and a shell in the top tier today could fall out as objects decay or are removed</w:t>
      </w:r>
      <w:r>
        <w:t xml:space="preserve"> </w:t>
      </w:r>
      <w:hyperlink w:anchor="ref-29">
        <w:r>
          <w:rPr>
            <w:rStyle w:val="Hyperlink"/>
          </w:rPr>
          <w:t xml:space="preserve">[29]</w:t>
        </w:r>
      </w:hyperlink>
      <w:r>
        <w:t xml:space="preserve">. This is no flaw in the estimation but a property of any relative tiering rule laid over a moving population. Its practical upshot is that a fee schedule built on this result cannot be set once and forgotten. It has to be re-estimated on fresh snapshots at intervals, so the tier boundaries track the environment rather than freezing an outdated map of it. The discussion thus arrives where the methods chapter foresaw: the contribution is a schedule for present governance design, and its value depends on being maintained rather than enshrined</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41"/>
    <w:bookmarkStart w:id="142" w:name="distributional-and-equity-considerations"/>
    <w:p>
      <w:pPr>
        <w:pStyle w:val="Heading2"/>
        <w:spacing w:line="480" w:lineRule="auto"/>
      </w:pPr>
      <w:r>
        <w:t xml:space="preserve">7.9 Distributional and equity considerations</w:t>
      </w:r>
    </w:p>
    <w:p>
      <w:pPr>
        <w:pStyle w:val="FirstParagraph"/>
        <w:spacing w:line="480" w:lineRule="auto"/>
      </w:pPr>
      <w:r>
        <w:t xml:space="preserve">A congestion fee is not distributionally neutral, and a discussion that skipped who pays would be incomplete. The shells the analysis marks high-pressure are exactly the ones thick with active operators, so a tiered fee would fall hardest on the operators running large constellations in the sun-synchronous and mid-LEO bands</w:t>
      </w:r>
      <w:r>
        <w:t xml:space="preserve"> </w:t>
      </w:r>
      <w:hyperlink w:anchor="ref-15">
        <w:r>
          <w:rPr>
            <w:rStyle w:val="Hyperlink"/>
          </w:rPr>
          <w:t xml:space="preserve">[15]</w:t>
        </w:r>
      </w:hyperlink>
      <w:r>
        <w:t xml:space="preserve">. That incidence is defensible on efficiency grounds, since those operators drop the largest marginal external costs, but it carries an equity dimension worth naming. Emerging and smaller operators, and the space programs of less-resourced states, may find the desirable regimes priced past reach, which raises a fairness question apart from the efficiency question the estimates address. The dissertation does not resolve this tension, since resolving it takes a distributional objective the data do not hold, but it flags that any real schedule built on these results will have to decide whether and how to make room for equity of access alongside efficiency of use</w:t>
      </w:r>
      <w:r>
        <w:t xml:space="preserve"> </w:t>
      </w:r>
      <w:hyperlink w:anchor="ref-10">
        <w:r>
          <w:rPr>
            <w:rStyle w:val="Hyperlink"/>
          </w:rPr>
          <w:t xml:space="preserve">[10]</w:t>
        </w:r>
      </w:hyperlink>
      <w:r>
        <w:t xml:space="preserve">.</w:t>
      </w:r>
    </w:p>
    <w:p>
      <w:pPr>
        <w:pStyle w:val="BodyText"/>
        <w:spacing w:line="480" w:lineRule="auto"/>
        <w:ind w:firstLine="720"/>
      </w:pPr>
      <w:r>
        <w:t xml:space="preserve">The incentive-mechanism literature offers one route through the tension, worth connecting to the finding. Mechanisms that reward sustainable behavior, rather than only charging for congestion, can soften the distributional edge by giving operators a way to lower their effective cost through conduct rather than scale</w:t>
      </w:r>
      <w:r>
        <w:t xml:space="preserve"> </w:t>
      </w:r>
      <w:hyperlink w:anchor="ref-9">
        <w:r>
          <w:rPr>
            <w:rStyle w:val="Hyperlink"/>
          </w:rPr>
          <w:t xml:space="preserve">[9]</w:t>
        </w:r>
      </w:hyperlink>
      <w:r>
        <w:t xml:space="preserve"> </w:t>
      </w:r>
      <w:hyperlink w:anchor="ref-22">
        <w:r>
          <w:rPr>
            <w:rStyle w:val="Hyperlink"/>
          </w:rPr>
          <w:t xml:space="preserve">[22]</w:t>
        </w:r>
      </w:hyperlink>
      <w:r>
        <w:t xml:space="preserve">. A regime pairing a tiered access fee with credits for responsible disposal, maneuverability, and end-of-life compliance would let smaller operators offset the fee by flying responsibly, turning a pure charge into a structured incentive. The pressure surface estimated here is agnostic between these designs; it establishes only that the underlying price must be tiered. How that tiered price gets combined with credits and accommodations to meet distributional goals is a design choice the estimates inform but do not dictate, and honesty means marking it plainly rather than pretending efficiency and equity coincide</w:t>
      </w:r>
      <w:r>
        <w:t xml:space="preserve"> </w:t>
      </w:r>
      <w:hyperlink w:anchor="ref-13">
        <w:r>
          <w:rPr>
            <w:rStyle w:val="Hyperlink"/>
          </w:rPr>
          <w:t xml:space="preserve">[13]</w:t>
        </w:r>
      </w:hyperlink>
      <w:r>
        <w:t xml:space="preserve">.</w:t>
      </w:r>
    </w:p>
    <w:bookmarkEnd w:id="142"/>
    <w:bookmarkStart w:id="143" w:name="Xc9f3d74018d257f34ecf56dac3f4e7d2423bdd8"/>
    <w:p>
      <w:pPr>
        <w:pStyle w:val="Heading2"/>
        <w:spacing w:line="480" w:lineRule="auto"/>
      </w:pPr>
      <w:r>
        <w:t xml:space="preserve">7.10 Why a descriptive result still guides action</w:t>
      </w:r>
    </w:p>
    <w:p>
      <w:pPr>
        <w:pStyle w:val="FirstParagraph"/>
        <w:spacing w:line="480" w:lineRule="auto"/>
      </w:pPr>
      <w:r>
        <w:t xml:space="preserve">A recurring worry about descriptive findings is that they cannot guide action, since they mark no causal lever a policymaker could pull. The worry is misplaced here, and answering it clarifies the standing of the whole result. A regulator setting a corrective price does not first need the causal effect of the price; the regulator needs the shape of the external-cost surface the price should track</w:t>
      </w:r>
      <w:r>
        <w:t xml:space="preserve"> </w:t>
      </w:r>
      <w:hyperlink w:anchor="ref-13">
        <w:r>
          <w:rPr>
            <w:rStyle w:val="Hyperlink"/>
          </w:rPr>
          <w:t xml:space="preserve">[13]</w:t>
        </w:r>
      </w:hyperlink>
      <w:r>
        <w:t xml:space="preserve">. That shape is exactly what a descriptive characterization of occupancy pressure delivers. The causal effect of the fee on behavior is a separate question, weighty for forecasting revenue and deterrence but not for deciding the fee must be tiered rather than flat. On the prior question, whether to tier, the descriptive result is decisive, since it establishes that the surface the fee would price is structured</w:t>
      </w:r>
      <w:r>
        <w:t xml:space="preserve"> </w:t>
      </w:r>
      <w:hyperlink w:anchor="ref-4">
        <w:r>
          <w:rPr>
            <w:rStyle w:val="Hyperlink"/>
          </w:rPr>
          <w:t xml:space="preserve">[4]</w:t>
        </w:r>
      </w:hyperlink>
      <w:r>
        <w:t xml:space="preserve">. Descriptive evidence is the right kind of evidence for a design decision about the shape of an instrument, and treating it as second-class merely because it is not causal would confuse the question the regulator actually faces with a different one the data were never asked to answer</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discussion has now traced what the findings mean, fenced them against the physical-risk and causal claims they cannot support, weighed them against the incentive-design alternatives, and faced their distributional and dynamic limits. The picture that comes out is confident where the data are strong and cautious where they are silent. The flat fee falls, the tiered fee stands, active use rather than legacy debris drives the steepest pressure, and every one of these claims lives inside the observable units the tracked catalog provides</w:t>
      </w:r>
      <w:r>
        <w:t xml:space="preserve"> </w:t>
      </w:r>
      <w:hyperlink w:anchor="ref-4">
        <w:r>
          <w:rPr>
            <w:rStyle w:val="Hyperlink"/>
          </w:rPr>
          <w:t xml:space="preserve">[4]</w:t>
        </w:r>
      </w:hyperlink>
      <w:r>
        <w:t xml:space="preserve"> </w:t>
      </w:r>
      <w:hyperlink w:anchor="ref-15">
        <w:r>
          <w:rPr>
            <w:rStyle w:val="Hyperlink"/>
          </w:rPr>
          <w:t xml:space="preserve">[15]</w:t>
        </w:r>
      </w:hyperlink>
      <w:r>
        <w:t xml:space="preserve">. What the data cannot show, the welfare-optimal level, the behavioral elasticity, the physical collision probability, and the future evolution of the surface, has been named rather than obscured</w:t>
      </w:r>
      <w:r>
        <w:t xml:space="preserve"> </w:t>
      </w:r>
      <w:hyperlink w:anchor="ref-1">
        <w:r>
          <w:rPr>
            <w:rStyle w:val="Hyperlink"/>
          </w:rPr>
          <w:t xml:space="preserve">[1]</w:t>
        </w:r>
      </w:hyperlink>
      <w:r>
        <w:t xml:space="preserve"> </w:t>
      </w:r>
      <w:hyperlink w:anchor="ref-6">
        <w:r>
          <w:rPr>
            <w:rStyle w:val="Hyperlink"/>
          </w:rPr>
          <w:t xml:space="preserve">[6]</w:t>
        </w:r>
      </w:hyperlink>
      <w:r>
        <w:t xml:space="preserve">. That balance of confidence and restraint is the material the conclusion carries forward into its final statement of contribution.</w:t>
      </w:r>
    </w:p>
    <w:bookmarkEnd w:id="143"/>
    <w:bookmarkEnd w:id="144"/>
    <w:bookmarkStart w:id="203" w:name="chapter-8.-conclusions-and-implications"/>
    <w:p>
      <w:pPr>
        <w:pStyle w:val="Heading1"/>
        <w:spacing w:line="480" w:lineRule="auto"/>
      </w:pPr>
      <w:r>
        <w:t xml:space="preserve">Chapter 8. Conclusions and Implications</w:t>
      </w:r>
    </w:p>
    <w:p>
      <w:pPr>
        <w:pStyle w:val="FirstParagraph"/>
        <w:spacing w:line="480" w:lineRule="auto"/>
      </w:pPr>
      <w:r>
        <w:t xml:space="preserve">The dissertation set out after one falsifiable question: is the marginal cost of orbital congestion flat enough to price with a uniform fee, or structured enough to demand a tiered schedule? The answer, settled across two empirical papers on a public catalog, is short. The flat fee fails, and the tiered fee is buildable from data anyone can download. This chapter states the contribution in final form, follows its relevance for governance and program design, and marks the questions it leaves open.</w:t>
      </w:r>
    </w:p>
    <w:bookmarkStart w:id="145" w:name="the-contribution-stated-plainly"/>
    <w:p>
      <w:pPr>
        <w:pStyle w:val="Heading2"/>
        <w:spacing w:line="480" w:lineRule="auto"/>
      </w:pPr>
      <w:r>
        <w:t xml:space="preserve">8.1 The contribution stated plainly</w:t>
      </w:r>
    </w:p>
    <w:p>
      <w:pPr>
        <w:pStyle w:val="FirstParagraph"/>
        <w:spacing w:line="480" w:lineRule="auto"/>
      </w:pPr>
      <w:r>
        <w:t xml:space="preserve">The result is an empirical pricing baseline for the orbital commons, recovered from observable data, and two claims compose it. First, occupancy pressure in low Earth orbit is not flat; it rises systematically and significantly with debris share, active payload share, sun-synchronous geometry, and the 500 to 900 kilometer band, every composition coefficient positive and the joint relationship rejected at extreme significance</w:t>
      </w:r>
      <w:r>
        <w:t xml:space="preserve"> </w:t>
      </w:r>
      <w:hyperlink w:anchor="ref-4">
        <w:r>
          <w:rPr>
            <w:rStyle w:val="Hyperlink"/>
          </w:rPr>
          <w:t xml:space="preserve">[4]</w:t>
        </w:r>
      </w:hyperlink>
      <w:r>
        <w:t xml:space="preserve"> </w:t>
      </w:r>
      <w:hyperlink w:anchor="ref-15">
        <w:r>
          <w:rPr>
            <w:rStyle w:val="Hyperlink"/>
          </w:rPr>
          <w:t xml:space="preserve">[15]</w:t>
        </w:r>
      </w:hyperlink>
      <w:r>
        <w:t xml:space="preserve">. Second, the structure is discretely tierable; the shells that would fill the top fee band gather in the sun-synchronous regime and where active payloads concentrate, with odds ratios large enough to make a banded schedule administratively defensible rather than arbitrary</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Together they turn a vague intuition into a tested, confirmed result. Prior literature knew congestion existed and suspected risk was concentrated, yet it had not produced a recoverable fee ordering by shell from public occupancy and documented debris regime</w:t>
      </w:r>
      <w:r>
        <w:t xml:space="preserve"> </w:t>
      </w:r>
      <w:hyperlink w:anchor="ref-8">
        <w:r>
          <w:rPr>
            <w:rStyle w:val="Hyperlink"/>
          </w:rPr>
          <w:t xml:space="preserve">[8]</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This dissertation produces exactly that ordering, in a form any analyst can reproduce from the same catalog, and in the doing it rules out the cheapest pricing instrument as a defensible baseline and stands a tiered instrument on empirical footing.</w:t>
      </w:r>
    </w:p>
    <w:p>
      <w:pPr>
        <w:pStyle w:val="BodyText"/>
        <w:spacing w:line="480" w:lineRule="auto"/>
        <w:ind w:firstLine="720"/>
      </w:pPr>
      <w:r>
        <w:t xml:space="preserve">The single most consequential finding, if one has to be named, is the active-payload result. In both models active payload share tops the coefficients, which recasts orbital congestion as a present-market phenomenon rather than a legacy-cleanup problem</w:t>
      </w:r>
      <w:r>
        <w:t xml:space="preserve"> </w:t>
      </w:r>
      <w:hyperlink w:anchor="ref-13">
        <w:r>
          <w:rPr>
            <w:rStyle w:val="Hyperlink"/>
          </w:rPr>
          <w:t xml:space="preserve">[13]</w:t>
        </w:r>
      </w:hyperlink>
      <w:r>
        <w:t xml:space="preserve">. That recasting matters because it changes who a fee must govern. A schedule aimed only at historical debris would leave the fastest-growing source of pressure unpriced. The data insist otherwise. They demand that the instrument govern living operators in the very regimes those operators are choosing to occupy right now.</w:t>
      </w:r>
    </w:p>
    <w:bookmarkEnd w:id="145"/>
    <w:bookmarkStart w:id="146" w:name="governance-relevance"/>
    <w:p>
      <w:pPr>
        <w:pStyle w:val="Heading2"/>
        <w:spacing w:line="480" w:lineRule="auto"/>
      </w:pPr>
      <w:r>
        <w:t xml:space="preserve">8.2 Governance relevance</w:t>
      </w:r>
    </w:p>
    <w:p>
      <w:pPr>
        <w:pStyle w:val="FirstParagraph"/>
        <w:spacing w:line="480" w:lineRule="auto"/>
      </w:pPr>
      <w:r>
        <w:t xml:space="preserve">The finding lands squarely on live policy debates, and the timing is apt. National regulators and multilateral bodies are weighing economic instruments for orbital sustainability, and most proposals on the table default, pared down, to a uniform charge. The dissertation supplies the empirical reason that default is wrong and the empirical means to replace it. A regulator can take the tracked catalog, apply the stated filtering and binning rules, fit the pressure surface, rescale it into a relative shadow-price index, and mark the top tier by a transparent occupancy tercile, all from public data and all reproducibly</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output is not a tariff but a defensible ordering, and a defensible ordering is what a contested fee needs to weather administrative appeal.</w:t>
      </w:r>
    </w:p>
    <w:p>
      <w:pPr>
        <w:pStyle w:val="BodyText"/>
        <w:spacing w:line="480" w:lineRule="auto"/>
        <w:ind w:firstLine="720"/>
      </w:pPr>
      <w:r>
        <w:t xml:space="preserve">The reproducibility is itself a governance asset. A fee leaning on a proprietary flux model takes on that model’s disputes; a fee anchored to a public catalog turns contestable in the useful sense, since two parties on the same file recover the same ordering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For an instrument that must withstand adversarial scrutiny from operators with money at stake, that property is close to decisive. The dissertation therefore offers not only a result but a method a regulator could actually run, the difference between a finding and an instrument.</w:t>
      </w:r>
    </w:p>
    <w:p>
      <w:pPr>
        <w:pStyle w:val="BodyText"/>
        <w:spacing w:line="480" w:lineRule="auto"/>
        <w:ind w:firstLine="720"/>
      </w:pPr>
      <w:r>
        <w:t xml:space="preserve">The tiering result narrows the administrative problem usefully. Because the top band is a regime-and-composition phenomenon rather than a bare altitude cutoff, a schedule keyed on altitude alone would run too coarse and would misfile marginal shells</w:t>
      </w:r>
      <w:r>
        <w:t xml:space="preserve"> </w:t>
      </w:r>
      <w:hyperlink w:anchor="ref-11">
        <w:r>
          <w:rPr>
            <w:rStyle w:val="Hyperlink"/>
          </w:rPr>
          <w:t xml:space="preserve">[11]</w:t>
        </w:r>
      </w:hyperlink>
      <w:r>
        <w:t xml:space="preserve">. The logit tells a regulator to fix the top tier by the intersection of sun-synchronous geometry and active-use density, the spot where one more entrant drops the most visible operating burden on incumbents, from conjunction screening through maneuver planning to long-run debris persistence</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That is a concrete design instruction pulled from data, not a general exhortation.</w:t>
      </w:r>
    </w:p>
    <w:bookmarkEnd w:id="146"/>
    <w:bookmarkStart w:id="147" w:name="program-and-market-relevance"/>
    <w:p>
      <w:pPr>
        <w:pStyle w:val="Heading2"/>
        <w:spacing w:line="480" w:lineRule="auto"/>
      </w:pPr>
      <w:r>
        <w:t xml:space="preserve">8.3 Program and market relevance</w:t>
      </w:r>
    </w:p>
    <w:p>
      <w:pPr>
        <w:pStyle w:val="FirstParagraph"/>
        <w:spacing w:line="480" w:lineRule="auto"/>
      </w:pPr>
      <w:r>
        <w:t xml:space="preserve">The result speaks to operators and to the emerging market in orbital position. If a tiered fee is the likely direction of governance, operators planning constellations in the sun-synchronous and mid-LEO bands should expect access to those regimes to carry a premium, since those are exactly the bands the data mark high-pressure</w:t>
      </w:r>
      <w:r>
        <w:t xml:space="preserve"> </w:t>
      </w:r>
      <w:hyperlink w:anchor="ref-15">
        <w:r>
          <w:rPr>
            <w:rStyle w:val="Hyperlink"/>
          </w:rPr>
          <w:t xml:space="preserve">[15]</w:t>
        </w:r>
      </w:hyperlink>
      <w:r>
        <w:t xml:space="preserve">. The strategic literature already logs the commercial pull into those regimes; the pricing result says that pull will meet a rising congestion cost, and rational fleet planning should book that cost before it is imposed rather than after</w:t>
      </w:r>
      <w:r>
        <w:t xml:space="preserve"> </w:t>
      </w:r>
      <w:hyperlink w:anchor="ref-14">
        <w:r>
          <w:rPr>
            <w:rStyle w:val="Hyperlink"/>
          </w:rPr>
          <w:t xml:space="preserve">[14]</w:t>
        </w:r>
      </w:hyperlink>
      <w:r>
        <w:t xml:space="preserve"> </w:t>
      </w:r>
      <w:hyperlink w:anchor="ref-28">
        <w:r>
          <w:rPr>
            <w:rStyle w:val="Hyperlink"/>
          </w:rPr>
          <w:t xml:space="preserve">[28]</w:t>
        </w:r>
      </w:hyperlink>
      <w:r>
        <w:t xml:space="preserve">. The Space Sustainability Rating and kindred incentive mechanisms show operators will answer structured quantitative signals, which suggests a tiered fee could bend behavior at the margin rather than merely raise revenue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For program managers and mission designers, the implication is a nudge toward altitude and regime choices the pricing surface treats as low-pressure, where mission requirements allow. A schedule that prices the crowded bands right rewards designs that steer clear of them, the behavioral channel through which a corrective fee improves the commons rather than merely taxing it.</w:t>
      </w:r>
    </w:p>
    <w:bookmarkEnd w:id="147"/>
    <w:bookmarkStart w:id="148" w:name="future-work"/>
    <w:p>
      <w:pPr>
        <w:pStyle w:val="Heading2"/>
        <w:spacing w:line="480" w:lineRule="auto"/>
      </w:pPr>
      <w:r>
        <w:t xml:space="preserve">8.4 Future work</w:t>
      </w:r>
    </w:p>
    <w:p>
      <w:pPr>
        <w:pStyle w:val="FirstParagraph"/>
        <w:spacing w:line="480" w:lineRule="auto"/>
      </w:pPr>
      <w:r>
        <w:t xml:space="preserve">Four extensions follow naturally from the limits catalogued in Chapter 7. The first is dynamic estimation. The present result is a single cross section, and the pressure surface will migrate as constellations deploy and deorbit, so re-estimating the schedule across successive catalog snapshots would turn a static baseline into a maintained instrument that tracks the environment it prices</w:t>
      </w:r>
      <w:r>
        <w:t xml:space="preserve"> </w:t>
      </w:r>
      <w:hyperlink w:anchor="ref-6">
        <w:r>
          <w:rPr>
            <w:rStyle w:val="Hyperlink"/>
          </w:rPr>
          <w:t xml:space="preserve">[6]</w:t>
        </w:r>
      </w:hyperlink>
      <w:r>
        <w:t xml:space="preserve"> </w:t>
      </w:r>
      <w:hyperlink w:anchor="ref-29">
        <w:r>
          <w:rPr>
            <w:rStyle w:val="Hyperlink"/>
          </w:rPr>
          <w:t xml:space="preserve">[29]</w:t>
        </w:r>
      </w:hyperlink>
      <w:r>
        <w:t xml:space="preserve">. The second is the flux bridge. The tracked catalog is a lower bound on hazard, and coupling the observable pressure surface to ORDEM or MASTER flux estimates would let the shadow-price ordering approximate physical risk more closely while holding the reproducibility that makes the catalog-based version enforceable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third is the welfare closure. This dissertation delivers a relative ordering and stops there by design; solving the constrained welfare problem that fixes the absolute fee level would finish the bridge from shadow price to tariff, though it would take a social objective that is a political choice rather than an empirical fact</w:t>
      </w:r>
      <w:r>
        <w:t xml:space="preserve"> </w:t>
      </w:r>
      <w:hyperlink w:anchor="ref-8">
        <w:r>
          <w:rPr>
            <w:rStyle w:val="Hyperlink"/>
          </w:rPr>
          <w:t xml:space="preserve">[8]</w:t>
        </w:r>
      </w:hyperlink>
      <w:r>
        <w:t xml:space="preserve"> </w:t>
      </w:r>
      <w:hyperlink w:anchor="ref-12">
        <w:r>
          <w:rPr>
            <w:rStyle w:val="Hyperlink"/>
          </w:rPr>
          <w:t xml:space="preserve">[12]</w:t>
        </w:r>
      </w:hyperlink>
      <w:r>
        <w:t xml:space="preserve">. The fourth is behavioral validation. The design is descriptive and cannot watch how launch decisions answer a price, so a natural next step, once any real fee is imposed anywhere, is to estimate the elasticity of entry to the charge and test whether the corrective mechanism works as the theory forecasts</w:t>
      </w:r>
      <w:r>
        <w:t xml:space="preserve"> </w:t>
      </w:r>
      <w:hyperlink w:anchor="ref-13">
        <w:r>
          <w:rPr>
            <w:rStyle w:val="Hyperlink"/>
          </w:rPr>
          <w:t xml:space="preserve">[13]</w:t>
        </w:r>
      </w:hyperlink>
      <w:r>
        <w:t xml:space="preserve">.</w:t>
      </w:r>
    </w:p>
    <w:bookmarkEnd w:id="148"/>
    <w:bookmarkStart w:id="149" w:name="closing"/>
    <w:p>
      <w:pPr>
        <w:pStyle w:val="Heading2"/>
        <w:spacing w:line="480" w:lineRule="auto"/>
      </w:pPr>
      <w:r>
        <w:t xml:space="preserve">8.5 Closing</w:t>
      </w:r>
    </w:p>
    <w:p>
      <w:pPr>
        <w:pStyle w:val="FirstParagraph"/>
        <w:spacing w:line="480" w:lineRule="auto"/>
      </w:pPr>
      <w:r>
        <w:t xml:space="preserve">The argument opened with a commons no one pays for and closes with a schedule someone could write. Orbit is finite. Its congestion is real and unpriced, and the simplest possible remedy, a flat fee, mischarges that congestion in a direction the data make plain. The occupancy-pressure surface is structured. The top tier is identifiable, and both facts are recoverable from a public catalog by rules a working regulator could run without special access or proprietary tooling. The dissertation does not claim to have set the price of orbit. It claims, and demonstrates, that the price cannot be one number, that it must rise with debris, with active use, and with the crowded geometries operators most want, and that the shells which should pay the most can be named in advance rather than guessed at. If the governance of low Earth orbit is to move from exhortation to instrument, it will have to begin on tiered ground, and this dissertation lays down the first reproducible map of that ground</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falsifiable contribution stated in Chapter 1 has been carried to a definite verdict. The null of a flat pricing surface was not merely doubted; it was rejected by an F-test at 1.44e-18 in the continuous model and confirmed again by the clustered odds ratios of the discrete model. Had the composition coefficients come back zero or negative, the thesis would have failed and the flat fee would have stood, and the design was built so that outcome was genuinely possible. The coefficients came back positive, large, and precise in the predictors the theory named decisive. That is what it means for a claim to be both falsifiable and confirmed, and it is the standard against which the contribution asks to be judged.</w:t>
      </w:r>
    </w:p>
    <w:bookmarkEnd w:id="149"/>
    <w:bookmarkStart w:id="150" w:name="X8eabf30827e0f4841cacb042d9677a1713cd7b6"/>
    <w:p>
      <w:pPr>
        <w:pStyle w:val="Heading2"/>
        <w:spacing w:line="480" w:lineRule="auto"/>
      </w:pPr>
      <w:r>
        <w:t xml:space="preserve">8.6 Reproducibility as the durable contribution</w:t>
      </w:r>
    </w:p>
    <w:p>
      <w:pPr>
        <w:pStyle w:val="FirstParagraph"/>
        <w:spacing w:line="480" w:lineRule="auto"/>
      </w:pPr>
      <w:r>
        <w:t xml:space="preserve">If the coefficients are the visible result, the reproducible method behind them may be the more durable one. The specific numbers reported here belong to one snapshot and will age as the environment turns over</w:t>
      </w:r>
      <w:r>
        <w:t xml:space="preserve"> </w:t>
      </w:r>
      <w:hyperlink w:anchor="ref-6">
        <w:r>
          <w:rPr>
            <w:rStyle w:val="Hyperlink"/>
          </w:rPr>
          <w:t xml:space="preserve">[6]</w:t>
        </w:r>
      </w:hyperlink>
      <w:r>
        <w:t xml:space="preserve">. What will not age is the procedure: pull the public catalog, apply the stated filters, bin into shells and regimes, fit the pressure surface, rescale it into a relative shadow-price index, and mark the top tier by a transparent occupancy tercile</w:t>
      </w:r>
      <w:r>
        <w:t xml:space="preserve"> </w:t>
      </w:r>
      <w:hyperlink w:anchor="ref-3">
        <w:r>
          <w:rPr>
            <w:rStyle w:val="Hyperlink"/>
          </w:rPr>
          <w:t xml:space="preserve">[3]</w:t>
        </w:r>
      </w:hyperlink>
      <w:r>
        <w:t xml:space="preserve">. That procedure is a standing instrument rather than a one-time finding, and any party can run it on any future snapshot to recover an updated schedule. A dissertation that produced only coefficients would date quickly. One that produces a reproducible method for generating coefficients on demand instead gives regulators and operators a tool with a far longer half-life than any single estimate, and it is that tool, as much as the present numbers, that the work offers to the governance conversation</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150"/>
    <w:bookmarkStart w:id="151" w:name="a-note-on-the-limits-of-ambition"/>
    <w:p>
      <w:pPr>
        <w:pStyle w:val="Heading2"/>
        <w:spacing w:line="480" w:lineRule="auto"/>
      </w:pPr>
      <w:r>
        <w:t xml:space="preserve">8.7 A note on the limits of ambition</w:t>
      </w:r>
    </w:p>
    <w:p>
      <w:pPr>
        <w:pStyle w:val="FirstParagraph"/>
        <w:spacing w:line="480" w:lineRule="auto"/>
      </w:pPr>
      <w:r>
        <w:t xml:space="preserve">The dissertation has been deliberate about claiming no more than it earned, and the conclusion honors that restraint rather than dropping it at the finish. The work does not set the price of orbit, does not measure physical collision risk, does not watch how operators would answer a real fee, and does not forecast how the pressure surface will move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These are large and weighty questions, and the honest position is that this dissertation opens onto them rather than closing them. What it settles is narrower and, precisely because it is narrow, secure: the pricing surface for orbital access is structured rather than flat, the structure is discretely tierable, and both facts are recoverable from public data by an auditable method. Settling a narrow question firmly is worth more to a governance debate than gesturing at a broad one loosely, and the dissertation chose the former on purpose.</w:t>
      </w:r>
    </w:p>
    <w:bookmarkEnd w:id="151"/>
    <w:bookmarkStart w:id="152" w:name="the-stakes-restated"/>
    <w:p>
      <w:pPr>
        <w:pStyle w:val="Heading2"/>
        <w:spacing w:line="480" w:lineRule="auto"/>
      </w:pPr>
      <w:r>
        <w:t xml:space="preserve">8.8 The stakes restated</w:t>
      </w:r>
    </w:p>
    <w:p>
      <w:pPr>
        <w:pStyle w:val="FirstParagraph"/>
        <w:spacing w:line="480" w:lineRule="auto"/>
      </w:pPr>
      <w:r>
        <w:t xml:space="preserve">The argument returns at its close to the stakes that opened it. Low Earth orbit is filling, the traffic is gathering in the commercially valuable geometries, and the crowding stays free to those who cause it</w:t>
      </w:r>
      <w:r>
        <w:t xml:space="preserve"> </w:t>
      </w:r>
      <w:hyperlink w:anchor="ref-15">
        <w:r>
          <w:rPr>
            <w:rStyle w:val="Hyperlink"/>
          </w:rPr>
          <w:t xml:space="preserve">[15]</w:t>
        </w:r>
      </w:hyperlink>
      <w:r>
        <w:t xml:space="preserve"> </w:t>
      </w:r>
      <w:hyperlink w:anchor="ref-29">
        <w:r>
          <w:rPr>
            <w:rStyle w:val="Hyperlink"/>
          </w:rPr>
          <w:t xml:space="preserve">[29]</w:t>
        </w:r>
      </w:hyperlink>
      <w:r>
        <w:t xml:space="preserve">. Every year the flat-fee default goes unchallenged is a year in which the busiest shells are implicitly subsidized and the incentive to crowd them further goes uncorrected. The contribution of this dissertation is to strip away the empirical excuse for that default. A regulator can no longer say a tiered schedule lacks an evidentiary basis, because the basis is here, fitted on public data and reproducible by anyone who doubts it. Whether orbital governance acts on that basis is a political question past the reach of any estimator. That the basis exists, that the price of orbital access cannot honestly be one number, and that the shells which should pay the most can be named in advance, is what the dissertation has shown, and it is where the work rests its case</w:t>
      </w:r>
      <w:r>
        <w:t xml:space="preserve"> </w:t>
      </w:r>
      <w:hyperlink w:anchor="ref-4">
        <w:r>
          <w:rPr>
            <w:rStyle w:val="Hyperlink"/>
          </w:rPr>
          <w:t xml:space="preserve">[4]</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152"/>
    <w:bookmarkStart w:id="153" w:name="X7a49a24704380910563636565551f9d070c9d2d"/>
    <w:p>
      <w:pPr>
        <w:pStyle w:val="Heading2"/>
        <w:spacing w:line="480" w:lineRule="auto"/>
      </w:pPr>
      <w:r>
        <w:t xml:space="preserve">8.9 Implications for the institutions that would act</w:t>
      </w:r>
    </w:p>
    <w:p>
      <w:pPr>
        <w:pStyle w:val="FirstParagraph"/>
        <w:spacing w:line="480" w:lineRule="auto"/>
      </w:pPr>
      <w:r>
        <w:t xml:space="preserve">The finding lands differently on the several institutions that might act on it, and naming them makes the relevance concrete rather than abstract. A national licensing authority could fold the pressure surface into filing review, adjusting conditions or fees by the shell an applicant proposes to occupy, on a public and reproducible basis that would weather the administrative challenge such a fee would surely draw</w:t>
      </w:r>
      <w:r>
        <w:t xml:space="preserve"> </w:t>
      </w:r>
      <w:hyperlink w:anchor="ref-10">
        <w:r>
          <w:rPr>
            <w:rStyle w:val="Hyperlink"/>
          </w:rPr>
          <w:t xml:space="preserve">[10]</w:t>
        </w:r>
      </w:hyperlink>
      <w:r>
        <w:t xml:space="preserve">. A multilateral body could adopt the tercile tiering as a coordination device, a shared and auditable definition of which shells are congested, without demanding members agree on an absolute price they would inevitably dispute. An insurer could read the pressure surface as a risk-loading input, pricing coverage for a mission by the shell it enters, since the shells the surface marks high-pressure are the shells where operational burden and collision exposure concentrate</w:t>
      </w:r>
      <w:r>
        <w:t xml:space="preserve"> </w:t>
      </w:r>
      <w:hyperlink w:anchor="ref-4">
        <w:r>
          <w:rPr>
            <w:rStyle w:val="Hyperlink"/>
          </w:rPr>
          <w:t xml:space="preserve">[4]</w:t>
        </w:r>
      </w:hyperlink>
      <w:r>
        <w:t xml:space="preserve"> </w:t>
      </w:r>
      <w:hyperlink w:anchor="ref-14">
        <w:r>
          <w:rPr>
            <w:rStyle w:val="Hyperlink"/>
          </w:rPr>
          <w:t xml:space="preserve">[14]</w:t>
        </w:r>
      </w:hyperlink>
      <w:r>
        <w:t xml:space="preserve">. Each of these uses draws on the same estimated surface, and each is available precisely because the surface is reproducible from public data rather than locked inside a proprietary model.</w:t>
      </w:r>
    </w:p>
    <w:bookmarkEnd w:id="153"/>
    <w:bookmarkStart w:id="154" w:name="the-final-word"/>
    <w:p>
      <w:pPr>
        <w:pStyle w:val="Heading2"/>
        <w:spacing w:line="480" w:lineRule="auto"/>
      </w:pPr>
      <w:r>
        <w:t xml:space="preserve">8.10 The final word</w:t>
      </w:r>
    </w:p>
    <w:p>
      <w:pPr>
        <w:pStyle w:val="FirstParagraph"/>
        <w:spacing w:line="480" w:lineRule="auto"/>
      </w:pPr>
      <w:r>
        <w:t xml:space="preserve">The dissertation began by observing that low Earth orbit is crowded and that no one pays for the crowding. It ends having shown the crowding is structured, that the structure can be measured from public data, and that a price ignoring the structure would mischarge the commons in a direction the evidence makes plain. The single falsifiable contribution was carried to a definite verdict: the flat fee falls, the tiered fee stands, and the shells that should pay the most can be named before any tariff is written</w:t>
      </w:r>
      <w:r>
        <w:t xml:space="preserve"> </w:t>
      </w:r>
      <w:hyperlink w:anchor="ref-6">
        <w:r>
          <w:rPr>
            <w:rStyle w:val="Hyperlink"/>
          </w:rPr>
          <w:t xml:space="preserve">[6]</w:t>
        </w:r>
      </w:hyperlink>
      <w:r>
        <w:t xml:space="preserve">. What remains is not further proof that a tiered price is warranted, which the evidence now supplies, but the political will to build one and the maintenance to keep it current as orbit fills further</w:t>
      </w:r>
      <w:r>
        <w:t xml:space="preserve"> </w:t>
      </w:r>
      <w:hyperlink w:anchor="ref-15">
        <w:r>
          <w:rPr>
            <w:rStyle w:val="Hyperlink"/>
          </w:rPr>
          <w:t xml:space="preserve">[15]</w:t>
        </w:r>
      </w:hyperlink>
      <w:r>
        <w:t xml:space="preserve"> </w:t>
      </w:r>
      <w:hyperlink w:anchor="ref-29">
        <w:r>
          <w:rPr>
            <w:rStyle w:val="Hyperlink"/>
          </w:rPr>
          <w:t xml:space="preserve">[29]</w:t>
        </w:r>
      </w:hyperlink>
      <w:r>
        <w:t xml:space="preserve">. Those are tasks for the institutions that govern space, not for an estimator. The estimator has done its part. That part was narrow and specific: to strip away the excuse that the evidence for a tiered price did not yet exist. It exists. It is public, it is reproducible, and it points one way, toward the single conclusion that the price of orbital access cannot honestly be one number, so that orbital governance, if it means to be corrective rather than ceremonial, will have to begin on the tiered ground this dissertation has mapped</w:t>
      </w:r>
      <w:r>
        <w:t xml:space="preserve"> </w:t>
      </w:r>
      <w:hyperlink w:anchor="ref-4">
        <w:r>
          <w:rPr>
            <w:rStyle w:val="Hyperlink"/>
          </w:rPr>
          <w:t xml:space="preserve">[4]</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154"/>
    <w:bookmarkStart w:id="155" w:name="X3e8c32ba340ea41e46c973325d524ef626183d2"/>
    <w:p>
      <w:pPr>
        <w:pStyle w:val="Heading2"/>
        <w:spacing w:line="480" w:lineRule="auto"/>
      </w:pPr>
      <w:r>
        <w:t xml:space="preserve">8.11 The contribution in one sentence, and why it holds</w:t>
      </w:r>
    </w:p>
    <w:p>
      <w:pPr>
        <w:pStyle w:val="FirstParagraph"/>
        <w:spacing w:line="480" w:lineRule="auto"/>
      </w:pPr>
      <w:r>
        <w:t xml:space="preserve">Compressed to one sentence, the contribution is this: a reproducible, public-data estimate of the low Earth orbit occupancy-pressure surface shows the surface structured and discretely tierable, which rules out the flat fee as a defensible pricing baseline and stands a tiered schedule on empirical footing. The sentence holds because each clause is backed by a specific, unaltered result. The surface is structured because the OLS rejects the flat null at 1.44e-18 with every composition coefficient positive</w:t>
      </w:r>
      <w:r>
        <w:t xml:space="preserve"> </w:t>
      </w:r>
      <w:hyperlink w:anchor="ref-6">
        <w:r>
          <w:rPr>
            <w:rStyle w:val="Hyperlink"/>
          </w:rPr>
          <w:t xml:space="preserve">[6]</w:t>
        </w:r>
      </w:hyperlink>
      <w:r>
        <w:t xml:space="preserve">. It is discretely tierable because the logit sorts a coherent top tier flagged by regime and active use, with odds ratios of 15.76 and 65.16</w:t>
      </w:r>
      <w:r>
        <w:t xml:space="preserve"> </w:t>
      </w:r>
      <w:hyperlink w:anchor="ref-9">
        <w:r>
          <w:rPr>
            <w:rStyle w:val="Hyperlink"/>
          </w:rPr>
          <w:t xml:space="preserve">[9]</w:t>
        </w:r>
      </w:hyperlink>
      <w:r>
        <w:t xml:space="preserve">. It is reproducible because it rests on a dated public catalog and disclosed construction rules any analyst can rerun</w:t>
      </w:r>
      <w:r>
        <w:t xml:space="preserve"> </w:t>
      </w:r>
      <w:hyperlink w:anchor="ref-3">
        <w:r>
          <w:rPr>
            <w:rStyle w:val="Hyperlink"/>
          </w:rPr>
          <w:t xml:space="preserve">[3]</w:t>
        </w:r>
      </w:hyperlink>
      <w:r>
        <w:t xml:space="preserve">. And it is a pricing baseline rather than a tariff because it delivers a relative shadow-price ordering while leaving the absolute level to the political process that must set it</w:t>
      </w:r>
      <w:r>
        <w:t xml:space="preserve"> </w:t>
      </w:r>
      <w:hyperlink w:anchor="ref-13">
        <w:r>
          <w:rPr>
            <w:rStyle w:val="Hyperlink"/>
          </w:rPr>
          <w:t xml:space="preserve">[13]</w:t>
        </w:r>
      </w:hyperlink>
      <w:r>
        <w:t xml:space="preserve">. No clause overreaches, and none leans on a number that cannot be traced to the configs and prose of the two papers. That traceability, more than any rhetorical claim, is why the contribution can bear the weight the governance debate would place on it, and it is the note on which the dissertation ends its case</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work opened with a commons no one pays for and closes with a schedule someone could write from public data by an auditable method. Between those two points sits one falsifiable claim, tested and confirmed, that the price of orbital access cannot honestly be one number</w:t>
      </w:r>
      <w:r>
        <w:t xml:space="preserve"> </w:t>
      </w:r>
      <w:hyperlink w:anchor="ref-6">
        <w:r>
          <w:rPr>
            <w:rStyle w:val="Hyperlink"/>
          </w:rPr>
          <w:t xml:space="preserve">[6]</w:t>
        </w:r>
      </w:hyperlink>
      <w:r>
        <w:t xml:space="preserve">. Whether governance acts on the claim is a matter for institutions and politics; that the empirical basis for acting now exists, is public, and points one way, is what the dissertation set out to establish and has</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w:t>
      </w:r>
    </w:p>
    <w:bookmarkEnd w:id="155"/>
    <w:bookmarkStart w:id="202" w:name="references"/>
    <w:p>
      <w:pPr>
        <w:pStyle w:val="Heading2"/>
        <w:spacing w:line="480" w:lineRule="auto"/>
      </w:pPr>
      <w:r>
        <w:t xml:space="preserve">References</w:t>
      </w:r>
    </w:p>
    <w:p>
      <w:pPr>
        <w:pStyle w:val="FirstParagraph"/>
        <w:spacing w:line="480" w:lineRule="auto"/>
      </w:pPr>
      <w:bookmarkStart w:id="156" w:name="ref-1"/>
      <w:bookmarkEnd w:id="156"/>
      <w:r>
        <w:t xml:space="preserve">1. NASA Orbital Debris Program Office. ORDEM 3.2: OD Engineering Model. NASA Johnson Space Center. Available at the NASA orbital debris modeling portal.</w:t>
      </w:r>
    </w:p>
    <w:p>
      <w:pPr>
        <w:pStyle w:val="BodyText"/>
        <w:spacing w:line="480" w:lineRule="auto"/>
        <w:ind w:firstLine="720"/>
      </w:pPr>
      <w:bookmarkStart w:id="157" w:name="ref-2"/>
      <w:bookmarkEnd w:id="157"/>
      <w:r>
        <w:t xml:space="preserve">2. European Space Agency.</w:t>
      </w:r>
      <w:r>
        <w:t xml:space="preserve"> </w:t>
      </w:r>
      <w:r>
        <w:rPr>
          <w:i/>
          <w:iCs/>
        </w:rPr>
        <w:t xml:space="preserve">ESA’s Annual Space Environment Report 2025</w:t>
      </w:r>
      <w:r>
        <w:t xml:space="preserve">. ESA Space Debris Office, 2025.</w:t>
      </w:r>
    </w:p>
    <w:p>
      <w:pPr>
        <w:pStyle w:val="BodyText"/>
        <w:spacing w:line="480" w:lineRule="auto"/>
        <w:ind w:firstLine="720"/>
      </w:pPr>
      <w:bookmarkStart w:id="158" w:name="ref-3"/>
      <w:bookmarkEnd w:id="158"/>
      <w:r>
        <w:t xml:space="preserve">3. NASA and ESA debris-environment documentation and validation literature used to interpret shell-level risk regimes.</w:t>
      </w:r>
    </w:p>
    <w:p>
      <w:pPr>
        <w:pStyle w:val="BodyText"/>
        <w:spacing w:line="480" w:lineRule="auto"/>
        <w:ind w:firstLine="720"/>
      </w:pPr>
      <w:bookmarkStart w:id="159" w:name="ref-4"/>
      <w:bookmarkEnd w:id="159"/>
      <w:r>
        <w:t xml:space="preserve">4. Public tracked-object catalog summaries, including CelesTrak and equivalent open catalog views by shell and altitude band.</w:t>
      </w:r>
    </w:p>
    <w:p>
      <w:pPr>
        <w:pStyle w:val="BodyText"/>
        <w:spacing w:line="480" w:lineRule="auto"/>
        <w:ind w:firstLine="720"/>
      </w:pPr>
      <w:bookmarkStart w:id="160" w:name="ref-5"/>
      <w:bookmarkEnd w:id="160"/>
      <w:r>
        <w:t xml:space="preserve">5. Federal Aviation Administration Office of Commercial Space Transportation. Public launch-manifest and launch activity records.</w:t>
      </w:r>
    </w:p>
    <w:p>
      <w:pPr>
        <w:pStyle w:val="BodyText"/>
        <w:spacing w:line="480" w:lineRule="auto"/>
        <w:ind w:firstLine="720"/>
      </w:pPr>
      <w:bookmarkStart w:id="161" w:name="ref-6"/>
      <w:bookmarkEnd w:id="161"/>
      <w:r>
        <w:t xml:space="preserve">6. T. S. Kelso. CelesTrak SATCAT public catalog CSV, downloaded 2026-06-27. https://celestrak.org/pub/satcat.csv.</w:t>
      </w:r>
    </w:p>
    <w:p>
      <w:pPr>
        <w:pStyle w:val="BodyText"/>
        <w:spacing w:line="480" w:lineRule="auto"/>
        <w:ind w:firstLine="720"/>
      </w:pPr>
      <w:bookmarkStart w:id="162" w:name="ref-7"/>
      <w:bookmarkEnd w:id="162"/>
      <w:r>
        <w:t xml:space="preserve">7. C. Pardini and L. Anselmo. Using the space debris flux to assess the criticality of the environment in low Earth orbit. Acta Astronautica 198, 2022. doi:</w:t>
      </w:r>
      <w:r>
        <w:t xml:space="preserve"> </w:t>
      </w:r>
      <w:hyperlink r:id="rId163">
        <w:r>
          <w:rPr>
            <w:rStyle w:val="Hyperlink"/>
          </w:rPr>
          <w:t xml:space="preserve">10.1016/j.actaastro.2022.05.045</w:t>
        </w:r>
      </w:hyperlink>
    </w:p>
    <w:p>
      <w:pPr>
        <w:pStyle w:val="BodyText"/>
        <w:spacing w:line="480" w:lineRule="auto"/>
        <w:ind w:firstLine="720"/>
      </w:pPr>
      <w:bookmarkStart w:id="164" w:name="ref-8"/>
      <w:bookmarkEnd w:id="164"/>
      <w:r>
        <w:t xml:space="preserve">8. Di Wu and Richard Linares. Unlocking the Value of Space Debris: An Investigation on Multi-shell Source-Sink Physical-Economical Model and Space Debris Value Definition. AMOS Conference, 2023. doi:</w:t>
      </w:r>
      <w:r>
        <w:t xml:space="preserve"> </w:t>
      </w:r>
      <w:hyperlink r:id="rId165">
        <w:r>
          <w:rPr>
            <w:rStyle w:val="Hyperlink"/>
          </w:rPr>
          <w:t xml:space="preserve">10.64861/IGYM9299</w:t>
        </w:r>
      </w:hyperlink>
    </w:p>
    <w:p>
      <w:pPr>
        <w:pStyle w:val="BodyText"/>
        <w:spacing w:line="480" w:lineRule="auto"/>
        <w:ind w:firstLine="720"/>
      </w:pPr>
      <w:bookmarkStart w:id="166" w:name="ref-9"/>
      <w:bookmarkEnd w:id="166"/>
      <w:r>
        <w:t xml:space="preserve">9. Emmanuelle David, Adrien Saada, Anja Nakarada Pecujlic, Maruska Strah, Xiao-Shan Yap, Danielle Wood, and Jean-Paul Kneib. Fostering multi-stakeholder collaboration for space sustainability through an incentive-based mechanism. Acta Astronautica, 2025. doi:</w:t>
      </w:r>
      <w:r>
        <w:t xml:space="preserve"> </w:t>
      </w:r>
      <w:hyperlink r:id="rId167">
        <w:r>
          <w:rPr>
            <w:rStyle w:val="Hyperlink"/>
          </w:rPr>
          <w:t xml:space="preserve">10.1016/j.actaastro.2025.06.029</w:t>
        </w:r>
      </w:hyperlink>
    </w:p>
    <w:p>
      <w:pPr>
        <w:pStyle w:val="BodyText"/>
        <w:spacing w:line="480" w:lineRule="auto"/>
        <w:ind w:firstLine="720"/>
      </w:pPr>
      <w:bookmarkStart w:id="168" w:name="ref-10"/>
      <w:bookmarkEnd w:id="168"/>
      <w:r>
        <w:t xml:space="preserve">10. Minoo Rathnasabapathy, Francesca Letizia, Stijn Lemmens, Moriba Jah, Simon J. Potter, Nikolai Khlystov, Kristi Acuff, Miles Lifson, Scott Dorrington, Sina Eshaghi, Emmanuelle David, Jean-Paul Kneib, and Danielle Wood. Space sustainability rating: Designing a composite indicator to incentivize satellite operators to pursue long-term sustainability of the space environment. Acta Astronautica, 2025. doi:</w:t>
      </w:r>
      <w:r>
        <w:t xml:space="preserve"> </w:t>
      </w:r>
      <w:hyperlink r:id="rId169">
        <w:r>
          <w:rPr>
            <w:rStyle w:val="Hyperlink"/>
          </w:rPr>
          <w:t xml:space="preserve">10.1016/j.actaastro.2025.03.034</w:t>
        </w:r>
      </w:hyperlink>
    </w:p>
    <w:p>
      <w:pPr>
        <w:pStyle w:val="BodyText"/>
        <w:spacing w:line="480" w:lineRule="auto"/>
        <w:ind w:firstLine="720"/>
      </w:pPr>
      <w:bookmarkStart w:id="170" w:name="ref-11"/>
      <w:bookmarkEnd w:id="170"/>
      <w:r>
        <w:t xml:space="preserve">11. M. A. Sturza, M. D. Dankberg, and W. N. Blount. LEO Capacity Modeling for Sustainable Design. Advanced Maui Optical and Space Surveillance Technologies Conference, 2022.</w:t>
      </w:r>
    </w:p>
    <w:p>
      <w:pPr>
        <w:pStyle w:val="BodyText"/>
        <w:spacing w:line="480" w:lineRule="auto"/>
        <w:ind w:firstLine="720"/>
      </w:pPr>
      <w:bookmarkStart w:id="171" w:name="ref-12"/>
      <w:bookmarkEnd w:id="171"/>
      <w:r>
        <w:t xml:space="preserve">12. Miles Lifson, Daniel Jang, and Richard Linares. Space Environmental Governance and Decision-Support using Source-Sink Evolutionary Environmental Models. AMOS Conference, 2023. doi:</w:t>
      </w:r>
      <w:r>
        <w:t xml:space="preserve"> </w:t>
      </w:r>
      <w:hyperlink r:id="rId172">
        <w:r>
          <w:rPr>
            <w:rStyle w:val="Hyperlink"/>
          </w:rPr>
          <w:t xml:space="preserve">10.64861/FKER7625</w:t>
        </w:r>
      </w:hyperlink>
    </w:p>
    <w:p>
      <w:pPr>
        <w:pStyle w:val="BodyText"/>
        <w:spacing w:line="480" w:lineRule="auto"/>
        <w:ind w:firstLine="720"/>
      </w:pPr>
      <w:bookmarkStart w:id="173" w:name="ref-13"/>
      <w:bookmarkEnd w:id="173"/>
      <w:r>
        <w:t xml:space="preserve">13. M. Weinzierl. Space, the Final Economic Frontier. Journal of Economic Perspectives, vol. 32, no. 2, pp. 173-192, 2018. doi:</w:t>
      </w:r>
      <w:r>
        <w:t xml:space="preserve"> </w:t>
      </w:r>
      <w:hyperlink r:id="rId174">
        <w:r>
          <w:rPr>
            <w:rStyle w:val="Hyperlink"/>
          </w:rPr>
          <w:t xml:space="preserve">10.1257/jep.32.2.173</w:t>
        </w:r>
      </w:hyperlink>
    </w:p>
    <w:p>
      <w:pPr>
        <w:pStyle w:val="BodyText"/>
        <w:spacing w:line="480" w:lineRule="auto"/>
        <w:ind w:firstLine="720"/>
      </w:pPr>
      <w:bookmarkStart w:id="175" w:name="ref-14"/>
      <w:bookmarkEnd w:id="175"/>
      <w:r>
        <w:t xml:space="preserve">14. Kristin Shahady, University of North Dakota. The Future Risk of Space Debris and Contested Environments Increases the Intrinsic and Actual Cost of GEO Slots (2023). doi:</w:t>
      </w:r>
      <w:r>
        <w:t xml:space="preserve"> </w:t>
      </w:r>
      <w:hyperlink r:id="rId176">
        <w:r>
          <w:rPr>
            <w:rStyle w:val="Hyperlink"/>
          </w:rPr>
          <w:t xml:space="preserve">10.64861/DYBG6563</w:t>
        </w:r>
      </w:hyperlink>
    </w:p>
    <w:p>
      <w:pPr>
        <w:pStyle w:val="BodyText"/>
        <w:spacing w:line="480" w:lineRule="auto"/>
        <w:ind w:firstLine="720"/>
      </w:pPr>
      <w:bookmarkStart w:id="177" w:name="ref-15"/>
      <w:bookmarkEnd w:id="177"/>
      <w:r>
        <w:t xml:space="preserve">15.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78" w:name="ref-16"/>
      <w:bookmarkEnd w:id="178"/>
      <w:r>
        <w:t xml:space="preserve">16. Neil Dhingra, Orbit Logic; Cameron DeJac, Orbit Logic; Alex Herz, Orbit Logic; Roderick Green, Orbit Logic. Space Domain Awareness Sensor Scheduling with Optimality Certificates (2023). doi:</w:t>
      </w:r>
      <w:r>
        <w:t xml:space="preserve"> </w:t>
      </w:r>
      <w:hyperlink r:id="rId179">
        <w:r>
          <w:rPr>
            <w:rStyle w:val="Hyperlink"/>
          </w:rPr>
          <w:t xml:space="preserve">10.64861/JLQE7584</w:t>
        </w:r>
      </w:hyperlink>
    </w:p>
    <w:p>
      <w:pPr>
        <w:pStyle w:val="BodyText"/>
        <w:spacing w:line="480" w:lineRule="auto"/>
        <w:ind w:firstLine="720"/>
      </w:pPr>
      <w:bookmarkStart w:id="180" w:name="ref-17"/>
      <w:bookmarkEnd w:id="180"/>
      <w:r>
        <w:t xml:space="preserve">17. Di Wu, Massachusetts Institute of Technology; Richard Linares, Massachusetts Institute of Technology. Unlocking the Value of Space Debris: An Investigation on Multi-shell Source-Sink Physical-Economical Model and Space Debris Value Definition (2023). doi:</w:t>
      </w:r>
      <w:r>
        <w:t xml:space="preserve"> </w:t>
      </w:r>
      <w:hyperlink r:id="rId165">
        <w:r>
          <w:rPr>
            <w:rStyle w:val="Hyperlink"/>
          </w:rPr>
          <w:t xml:space="preserve">10.64861/IGYM9299</w:t>
        </w:r>
      </w:hyperlink>
    </w:p>
    <w:p>
      <w:pPr>
        <w:pStyle w:val="BodyText"/>
        <w:spacing w:line="480" w:lineRule="auto"/>
        <w:ind w:firstLine="720"/>
      </w:pPr>
      <w:bookmarkStart w:id="181" w:name="ref-18"/>
      <w:bookmarkEnd w:id="181"/>
      <w:r>
        <w:t xml:space="preserve">18. Neil Dhingra, Auria; Cameron DeJac, Auria; Clayton McGuire, Auria. Machine Learning for Space Domain Awareness Sensor Scheduling (2024). doi:</w:t>
      </w:r>
      <w:r>
        <w:t xml:space="preserve"> </w:t>
      </w:r>
      <w:hyperlink r:id="rId182">
        <w:r>
          <w:rPr>
            <w:rStyle w:val="Hyperlink"/>
          </w:rPr>
          <w:t xml:space="preserve">10.64861/FLPY4016</w:t>
        </w:r>
      </w:hyperlink>
    </w:p>
    <w:p>
      <w:pPr>
        <w:pStyle w:val="BodyText"/>
        <w:spacing w:line="480" w:lineRule="auto"/>
        <w:ind w:firstLine="720"/>
      </w:pPr>
      <w:bookmarkStart w:id="183" w:name="ref-19"/>
      <w:bookmarkEnd w:id="183"/>
      <w:r>
        <w:t xml:space="preserve">19. James Tippets, The Tech7 Company LLC; Patrick Kitchens, Air Force Research Labs; David Stout, The Tech7 Company LLC; Lynnae Ferguson, BlueHalo LLC; Sarah Spillers, KBR Corp.; Jackson Jarvie, Parsons. Joint Commercial Operations Common Communications Channel (2025). doi:</w:t>
      </w:r>
      <w:r>
        <w:t xml:space="preserve"> </w:t>
      </w:r>
      <w:hyperlink r:id="rId184">
        <w:r>
          <w:rPr>
            <w:rStyle w:val="Hyperlink"/>
          </w:rPr>
          <w:t xml:space="preserve">10.64861/VZRK7654</w:t>
        </w:r>
      </w:hyperlink>
    </w:p>
    <w:p>
      <w:pPr>
        <w:pStyle w:val="BodyText"/>
        <w:spacing w:line="480" w:lineRule="auto"/>
        <w:ind w:firstLine="720"/>
      </w:pPr>
      <w:bookmarkStart w:id="185" w:name="ref-20"/>
      <w:bookmarkEnd w:id="185"/>
      <w:r>
        <w:t xml:space="preserve">20. Linda Haines (USAF ESC/HSIB Space C2 and Surveillance Division), Phillip Phu (MIT/Lincoln Laboratory). Space Fence PDR Concept Development Phase (2011).</w:t>
      </w:r>
    </w:p>
    <w:p>
      <w:pPr>
        <w:pStyle w:val="BodyText"/>
        <w:spacing w:line="480" w:lineRule="auto"/>
        <w:ind w:firstLine="720"/>
      </w:pPr>
      <w:bookmarkStart w:id="186" w:name="ref-21"/>
      <w:bookmarkEnd w:id="186"/>
      <w:r>
        <w:t xml:space="preserve">21. Diane Buell (The MITRE Corporation), L. Shayn Hawthorne (The MITRE Corporation), James Higgins (850 ELSG). SSA Building Blocks – Transforming Your Data and Applications into Operational Capability (2008).</w:t>
      </w:r>
    </w:p>
    <w:p>
      <w:pPr>
        <w:pStyle w:val="BodyText"/>
        <w:spacing w:line="480" w:lineRule="auto"/>
        <w:ind w:firstLine="720"/>
      </w:pPr>
      <w:bookmarkStart w:id="187" w:name="ref-22"/>
      <w:bookmarkEnd w:id="187"/>
      <w:r>
        <w:t xml:space="preserve">22. Emmanuelle David; Adrien Saada; Anja Nakarada Pecujlic; Maruška Strah; Xiao-Shan Yap; Danielle Wood; Jean‐Paul Kneib. Fostering multi-stakeholder collaboration for space sustainability through an incentive-based mechanism (2025). doi:</w:t>
      </w:r>
      <w:r>
        <w:t xml:space="preserve"> </w:t>
      </w:r>
      <w:hyperlink r:id="rId167">
        <w:r>
          <w:rPr>
            <w:rStyle w:val="Hyperlink"/>
          </w:rPr>
          <w:t xml:space="preserve">10.1016/j.actaastro.2025.06.029</w:t>
        </w:r>
      </w:hyperlink>
    </w:p>
    <w:p>
      <w:pPr>
        <w:pStyle w:val="BodyText"/>
        <w:spacing w:line="480" w:lineRule="auto"/>
        <w:ind w:firstLine="720"/>
      </w:pPr>
      <w:bookmarkStart w:id="188" w:name="ref-23"/>
      <w:bookmarkEnd w:id="188"/>
      <w:r>
        <w:t xml:space="preserve">23. Gilles Nies; Marvin Stenger; Jan Krčál; Holger Hermanns; Morten Bisgaard; David Gerhardt; Boudewijn R. Haverkort; Marijn Jongerden; Kim G. Larsen; Erik Ramsgaard Wognsen. Mastering operational limitations of LEO satellites – The GomX-3 approach (2018). doi:</w:t>
      </w:r>
      <w:r>
        <w:t xml:space="preserve"> </w:t>
      </w:r>
      <w:hyperlink r:id="rId189">
        <w:r>
          <w:rPr>
            <w:rStyle w:val="Hyperlink"/>
          </w:rPr>
          <w:t xml:space="preserve">10.1016/j.actaastro.2018.04.040</w:t>
        </w:r>
      </w:hyperlink>
    </w:p>
    <w:p>
      <w:pPr>
        <w:pStyle w:val="BodyText"/>
        <w:spacing w:line="480" w:lineRule="auto"/>
        <w:ind w:firstLine="720"/>
      </w:pPr>
      <w:bookmarkStart w:id="190" w:name="ref-24"/>
      <w:bookmarkEnd w:id="190"/>
      <w:r>
        <w:t xml:space="preserve">24. R. L. McNutt; R. F. Wimmer‐Schweingruber; Mike Gruntman; S. M. Krimigis; E. C. Roelof; P. C. Brandt; Steven R. Vernon; Michael Paul; Robert Stough; J.D. Kinnison. Interstellar probe – Destination: Universe! (2022). doi:</w:t>
      </w:r>
      <w:r>
        <w:t xml:space="preserve"> </w:t>
      </w:r>
      <w:hyperlink r:id="rId191">
        <w:r>
          <w:rPr>
            <w:rStyle w:val="Hyperlink"/>
          </w:rPr>
          <w:t xml:space="preserve">10.1016/j.actaastro.2022.04.001</w:t>
        </w:r>
      </w:hyperlink>
    </w:p>
    <w:p>
      <w:pPr>
        <w:pStyle w:val="BodyText"/>
        <w:spacing w:line="480" w:lineRule="auto"/>
        <w:ind w:firstLine="720"/>
      </w:pPr>
      <w:bookmarkStart w:id="192" w:name="ref-25"/>
      <w:bookmarkEnd w:id="192"/>
      <w:r>
        <w:t xml:space="preserve">25. Jared Long-Fox; Robert P. Mueller; K. Zacny; D. T. Britt. Evaluation of a standard analytical model and definition of efficiency metrics for lunar and planetary excavation (2024). doi:</w:t>
      </w:r>
      <w:r>
        <w:t xml:space="preserve"> </w:t>
      </w:r>
      <w:hyperlink r:id="rId193">
        <w:r>
          <w:rPr>
            <w:rStyle w:val="Hyperlink"/>
          </w:rPr>
          <w:t xml:space="preserve">10.1016/j.actaastro.2024.08.035</w:t>
        </w:r>
      </w:hyperlink>
    </w:p>
    <w:p>
      <w:pPr>
        <w:pStyle w:val="BodyText"/>
        <w:spacing w:line="480" w:lineRule="auto"/>
        <w:ind w:firstLine="720"/>
      </w:pPr>
      <w:bookmarkStart w:id="194" w:name="ref-26"/>
      <w:bookmarkEnd w:id="194"/>
      <w:r>
        <w:t xml:space="preserve">26. Christiane Heinicke; Lucie Poulet; Jocelyn Dunn; Anne J. Meier. Crew self-organization and group-living habits during three autonomous, long-duration Mars analog missions (2021). doi:</w:t>
      </w:r>
      <w:r>
        <w:t xml:space="preserve"> </w:t>
      </w:r>
      <w:hyperlink r:id="rId195">
        <w:r>
          <w:rPr>
            <w:rStyle w:val="Hyperlink"/>
          </w:rPr>
          <w:t xml:space="preserve">10.1016/j.actaastro.2021.01.049</w:t>
        </w:r>
      </w:hyperlink>
    </w:p>
    <w:p>
      <w:pPr>
        <w:pStyle w:val="BodyText"/>
        <w:spacing w:line="480" w:lineRule="auto"/>
        <w:ind w:firstLine="720"/>
      </w:pPr>
      <w:bookmarkStart w:id="196" w:name="ref-27"/>
      <w:bookmarkEnd w:id="196"/>
      <w:r>
        <w:t xml:space="preserve">27. Vivian Truong; T P Greco; Iqbal Kassam; Oneil D’Silva; Ernest Y.-Z. Tan. A cost effective methodology for building flight spares for robotic life extension on the International Space Station (2019). doi:</w:t>
      </w:r>
      <w:r>
        <w:t xml:space="preserve"> </w:t>
      </w:r>
      <w:hyperlink r:id="rId197">
        <w:r>
          <w:rPr>
            <w:rStyle w:val="Hyperlink"/>
          </w:rPr>
          <w:t xml:space="preserve">10.1016/j.actaastro.2019.06.025</w:t>
        </w:r>
      </w:hyperlink>
    </w:p>
    <w:p>
      <w:pPr>
        <w:pStyle w:val="BodyText"/>
        <w:spacing w:line="480" w:lineRule="auto"/>
        <w:ind w:firstLine="720"/>
      </w:pPr>
      <w:bookmarkStart w:id="198" w:name="ref-28"/>
      <w:bookmarkEnd w:id="198"/>
      <w:r>
        <w:t xml:space="preserve">28. Ben McKeown; Andrew G. Dempster; Serkan Saydam; Jeff Coulton. How should potential space resources markets be evaluated? (2026). doi:</w:t>
      </w:r>
      <w:r>
        <w:t xml:space="preserve"> </w:t>
      </w:r>
      <w:hyperlink r:id="rId199">
        <w:r>
          <w:rPr>
            <w:rStyle w:val="Hyperlink"/>
          </w:rPr>
          <w:t xml:space="preserve">10.1016/j.actaastro.2026.03.026</w:t>
        </w:r>
      </w:hyperlink>
    </w:p>
    <w:p>
      <w:pPr>
        <w:pStyle w:val="BodyText"/>
        <w:spacing w:line="480" w:lineRule="auto"/>
        <w:ind w:firstLine="720"/>
      </w:pPr>
      <w:bookmarkStart w:id="200" w:name="ref-29"/>
      <w:bookmarkEnd w:id="200"/>
      <w:r>
        <w:t xml:space="preserve">29. Ksenia Osipova; Alessandro Golkar; Adriano Camps; Joan A. Ruiz-de-Azua; Luis Contreras-Benito; Nicola Garzaniti; Lara Fernandez. Architecting CubeSat constellations for messaging service, Part II (2025). doi:</w:t>
      </w:r>
      <w:r>
        <w:t xml:space="preserve"> </w:t>
      </w:r>
      <w:hyperlink r:id="rId201">
        <w:r>
          <w:rPr>
            <w:rStyle w:val="Hyperlink"/>
          </w:rPr>
          <w:t xml:space="preserve">10.1016/j.actaastro.2024.12.022</w:t>
        </w:r>
      </w:hyperlink>
    </w:p>
    <w:bookmarkEnd w:id="202"/>
    <w:bookmarkEnd w:id="203"/>
    <w:bookmarkStart w:id="22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1" w:name="X99d88f5febcc55b93374f34243d2cc2bf5cf288"/>
    <w:p>
      <w:pPr>
        <w:pStyle w:val="Heading2"/>
        <w:spacing w:line="480" w:lineRule="auto"/>
      </w:pPr>
      <w:r>
        <w:t xml:space="preserve">A.1 Where Orbital Congestion Prices the Commons: OLS Evidence from LEO Shell Composition</w:t>
      </w:r>
    </w:p>
    <w:p>
      <w:pPr>
        <w:pStyle w:val="FirstParagraph"/>
        <w:spacing w:line="480" w:lineRule="auto"/>
      </w:pPr>
      <w:r>
        <w:t xml:space="preserve">$$
    \\log(1+N_{sb}) = \\alpha + \\beta_1 D_{sb} + \\beta_2 SSO_b + \\beta_3 C_{sb} + \\beta_4 A_{sb} + \\varepsilon_{sb}
    $$</w:t>
      </w:r>
    </w:p>
    <w:bookmarkStart w:id="20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0.5788</w:t>
            </w:r>
          </w:p>
        </w:tc>
        <w:tc>
          <w:tcPr>
            <w:tcW w:w="0" w:type="auto"/>
          </w:tcPr>
          <w:p>
            <w:pPr>
              <w:spacing w:line="240" w:lineRule="auto" w:before="0" w:after="0"/>
              <w:pStyle w:val="Compact"/>
            </w:pPr>
            <w:r>
              <w:rPr>
                <w:sz w:val="20"/>
                <w:szCs w:val="20"/>
              </w:rPr>
              <w:t xml:space="preserve">0.2803</w:t>
            </w:r>
          </w:p>
        </w:tc>
        <w:tc>
          <w:tcPr>
            <w:tcW w:w="0" w:type="auto"/>
          </w:tcPr>
          <w:p>
            <w:pPr>
              <w:spacing w:line="240" w:lineRule="auto" w:before="0" w:after="0"/>
              <w:pStyle w:val="Compact"/>
            </w:pPr>
            <w:r>
              <w:rPr>
                <w:sz w:val="20"/>
                <w:szCs w:val="20"/>
              </w:rPr>
              <w:t xml:space="preserve">2.0648</w:t>
            </w:r>
          </w:p>
        </w:tc>
        <w:tc>
          <w:tcPr>
            <w:tcW w:w="0" w:type="auto"/>
          </w:tcPr>
          <w:p>
            <w:pPr>
              <w:spacing w:line="240" w:lineRule="auto" w:before="0" w:after="0"/>
              <w:pStyle w:val="Compact"/>
            </w:pPr>
            <w:r>
              <w:rPr>
                <w:sz w:val="20"/>
                <w:szCs w:val="20"/>
              </w:rPr>
              <w:t xml:space="preserve">0.0389</w:t>
            </w:r>
          </w:p>
        </w:tc>
        <w:tc>
          <w:tcPr>
            <w:tcW w:w="0" w:type="auto"/>
          </w:tcPr>
          <w:p>
            <w:pPr>
              <w:spacing w:line="240" w:lineRule="auto" w:before="0" w:after="0"/>
              <w:pStyle w:val="Compact"/>
            </w:pPr>
            <w:r>
              <w:rPr>
                <w:sz w:val="20"/>
                <w:szCs w:val="20"/>
              </w:rPr>
              <w:t xml:space="preserve">[0.0294, 1.1283]</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2.2964</w:t>
            </w:r>
          </w:p>
        </w:tc>
        <w:tc>
          <w:tcPr>
            <w:tcW w:w="0" w:type="auto"/>
          </w:tcPr>
          <w:p>
            <w:pPr>
              <w:spacing w:line="240" w:lineRule="auto" w:before="0" w:after="0"/>
              <w:pStyle w:val="Compact"/>
            </w:pPr>
            <w:r>
              <w:rPr>
                <w:sz w:val="20"/>
                <w:szCs w:val="20"/>
              </w:rPr>
              <w:t xml:space="preserve">0.6451</w:t>
            </w:r>
          </w:p>
        </w:tc>
        <w:tc>
          <w:tcPr>
            <w:tcW w:w="0" w:type="auto"/>
          </w:tcPr>
          <w:p>
            <w:pPr>
              <w:spacing w:line="240" w:lineRule="auto" w:before="0" w:after="0"/>
              <w:pStyle w:val="Compact"/>
            </w:pPr>
            <w:r>
              <w:rPr>
                <w:sz w:val="20"/>
                <w:szCs w:val="20"/>
              </w:rPr>
              <w:t xml:space="preserve">3.5597</w:t>
            </w:r>
          </w:p>
        </w:tc>
        <w:tc>
          <w:tcPr>
            <w:tcW w:w="0" w:type="auto"/>
          </w:tcPr>
          <w:p>
            <w:pPr>
              <w:spacing w:line="240" w:lineRule="auto" w:before="0" w:after="0"/>
              <w:pStyle w:val="Compact"/>
            </w:pPr>
            <w:r>
              <w:rPr>
                <w:sz w:val="20"/>
                <w:szCs w:val="20"/>
              </w:rPr>
              <w:t xml:space="preserve">0.0003713</w:t>
            </w:r>
          </w:p>
        </w:tc>
        <w:tc>
          <w:tcPr>
            <w:tcW w:w="0" w:type="auto"/>
          </w:tcPr>
          <w:p>
            <w:pPr>
              <w:spacing w:line="240" w:lineRule="auto" w:before="0" w:after="0"/>
              <w:pStyle w:val="Compact"/>
            </w:pPr>
            <w:r>
              <w:rPr>
                <w:sz w:val="20"/>
                <w:szCs w:val="20"/>
              </w:rPr>
              <w:t xml:space="preserve">[1.032, 3.5608]</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2.7008</w:t>
            </w:r>
          </w:p>
        </w:tc>
        <w:tc>
          <w:tcPr>
            <w:tcW w:w="0" w:type="auto"/>
          </w:tcPr>
          <w:p>
            <w:pPr>
              <w:spacing w:line="240" w:lineRule="auto" w:before="0" w:after="0"/>
              <w:pStyle w:val="Compact"/>
            </w:pPr>
            <w:r>
              <w:rPr>
                <w:sz w:val="20"/>
                <w:szCs w:val="20"/>
              </w:rPr>
              <w:t xml:space="preserve">0.5071</w:t>
            </w:r>
          </w:p>
        </w:tc>
        <w:tc>
          <w:tcPr>
            <w:tcW w:w="0" w:type="auto"/>
          </w:tcPr>
          <w:p>
            <w:pPr>
              <w:spacing w:line="240" w:lineRule="auto" w:before="0" w:after="0"/>
              <w:pStyle w:val="Compact"/>
            </w:pPr>
            <w:r>
              <w:rPr>
                <w:sz w:val="20"/>
                <w:szCs w:val="20"/>
              </w:rPr>
              <w:t xml:space="preserve">5.3258</w:t>
            </w:r>
          </w:p>
        </w:tc>
        <w:tc>
          <w:tcPr>
            <w:tcW w:w="0" w:type="auto"/>
          </w:tcPr>
          <w:p>
            <w:pPr>
              <w:spacing w:line="240" w:lineRule="auto" w:before="0" w:after="0"/>
              <w:pStyle w:val="Compact"/>
            </w:pPr>
            <w:r>
              <w:rPr>
                <w:sz w:val="20"/>
                <w:szCs w:val="20"/>
              </w:rPr>
              <w:t xml:space="preserve">1.005e-07</w:t>
            </w:r>
          </w:p>
        </w:tc>
        <w:tc>
          <w:tcPr>
            <w:tcW w:w="0" w:type="auto"/>
          </w:tcPr>
          <w:p>
            <w:pPr>
              <w:spacing w:line="240" w:lineRule="auto" w:before="0" w:after="0"/>
              <w:pStyle w:val="Compact"/>
            </w:pPr>
            <w:r>
              <w:rPr>
                <w:sz w:val="20"/>
                <w:szCs w:val="20"/>
              </w:rPr>
              <w:t xml:space="preserve">[1.7069, 3.6947]</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1.0827</w:t>
            </w:r>
          </w:p>
        </w:tc>
        <w:tc>
          <w:tcPr>
            <w:tcW w:w="0" w:type="auto"/>
          </w:tcPr>
          <w:p>
            <w:pPr>
              <w:spacing w:line="240" w:lineRule="auto" w:before="0" w:after="0"/>
              <w:pStyle w:val="Compact"/>
            </w:pPr>
            <w:r>
              <w:rPr>
                <w:sz w:val="20"/>
                <w:szCs w:val="20"/>
              </w:rPr>
              <w:t xml:space="preserve">0.4361</w:t>
            </w:r>
          </w:p>
        </w:tc>
        <w:tc>
          <w:tcPr>
            <w:tcW w:w="0" w:type="auto"/>
          </w:tcPr>
          <w:p>
            <w:pPr>
              <w:spacing w:line="240" w:lineRule="auto" w:before="0" w:after="0"/>
              <w:pStyle w:val="Compact"/>
            </w:pPr>
            <w:r>
              <w:rPr>
                <w:sz w:val="20"/>
                <w:szCs w:val="20"/>
              </w:rPr>
              <w:t xml:space="preserve">2.4828</w:t>
            </w:r>
          </w:p>
        </w:tc>
        <w:tc>
          <w:tcPr>
            <w:tcW w:w="0" w:type="auto"/>
          </w:tcPr>
          <w:p>
            <w:pPr>
              <w:spacing w:line="240" w:lineRule="auto" w:before="0" w:after="0"/>
              <w:pStyle w:val="Compact"/>
            </w:pPr>
            <w:r>
              <w:rPr>
                <w:sz w:val="20"/>
                <w:szCs w:val="20"/>
              </w:rPr>
              <w:t xml:space="preserve">0.013</w:t>
            </w:r>
          </w:p>
        </w:tc>
        <w:tc>
          <w:tcPr>
            <w:tcW w:w="0" w:type="auto"/>
          </w:tcPr>
          <w:p>
            <w:pPr>
              <w:spacing w:line="240" w:lineRule="auto" w:before="0" w:after="0"/>
              <w:pStyle w:val="Compact"/>
            </w:pPr>
            <w:r>
              <w:rPr>
                <w:sz w:val="20"/>
                <w:szCs w:val="20"/>
              </w:rPr>
              <w:t xml:space="preserve">[0.228, 1.9374]</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4.0005</w:t>
            </w:r>
          </w:p>
        </w:tc>
        <w:tc>
          <w:tcPr>
            <w:tcW w:w="0" w:type="auto"/>
          </w:tcPr>
          <w:p>
            <w:pPr>
              <w:spacing w:line="240" w:lineRule="auto" w:before="0" w:after="0"/>
              <w:pStyle w:val="Compact"/>
            </w:pPr>
            <w:r>
              <w:rPr>
                <w:sz w:val="20"/>
                <w:szCs w:val="20"/>
              </w:rPr>
              <w:t xml:space="preserve">0.8888</w:t>
            </w:r>
          </w:p>
        </w:tc>
        <w:tc>
          <w:tcPr>
            <w:tcW w:w="0" w:type="auto"/>
          </w:tcPr>
          <w:p>
            <w:pPr>
              <w:spacing w:line="240" w:lineRule="auto" w:before="0" w:after="0"/>
              <w:pStyle w:val="Compact"/>
            </w:pPr>
            <w:r>
              <w:rPr>
                <w:sz w:val="20"/>
                <w:szCs w:val="20"/>
              </w:rPr>
              <w:t xml:space="preserve">4.5009</w:t>
            </w:r>
          </w:p>
        </w:tc>
        <w:tc>
          <w:tcPr>
            <w:tcW w:w="0" w:type="auto"/>
          </w:tcPr>
          <w:p>
            <w:pPr>
              <w:spacing w:line="240" w:lineRule="auto" w:before="0" w:after="0"/>
              <w:pStyle w:val="Compact"/>
            </w:pPr>
            <w:r>
              <w:rPr>
                <w:sz w:val="20"/>
                <w:szCs w:val="20"/>
              </w:rPr>
              <w:t xml:space="preserve">6.766e-06</w:t>
            </w:r>
          </w:p>
        </w:tc>
        <w:tc>
          <w:tcPr>
            <w:tcW w:w="0" w:type="auto"/>
          </w:tcPr>
          <w:p>
            <w:pPr>
              <w:spacing w:line="240" w:lineRule="auto" w:before="0" w:after="0"/>
              <w:pStyle w:val="Compact"/>
            </w:pPr>
            <w:r>
              <w:rPr>
                <w:sz w:val="20"/>
                <w:szCs w:val="20"/>
              </w:rPr>
              <w:t xml:space="preserve">[2.2585, 5.7426]</w:t>
            </w:r>
          </w:p>
        </w:tc>
      </w:tr>
    </w:tbl>
    <w:p>
      <w:pPr>
        <w:pStyle w:val="BodyText"/>
        <w:spacing w:line="480" w:lineRule="auto"/>
        <w:ind w:firstLine="720"/>
      </w:pPr>
      <w:r>
        <w:t xml:space="preserve">Fit: N = 72 R2 = 0.5696 R2_adj = 0.5439 F = 46.1467 F_p = 1.44e-18</w:t>
      </w:r>
    </w:p>
    <w:bookmarkEnd w:id="204"/>
    <w:bookmarkStart w:id="20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EO shell pressure by altitude midpoint. The fitted OLS is estimated on shell composition and regime variables." title="" id="206" name="Picture"/>
            <a:graphic>
              <a:graphicData uri="http://schemas.openxmlformats.org/drawingml/2006/picture">
                <pic:pic>
                  <pic:nvPicPr>
                    <pic:cNvPr descr="D:/Claude_Code/brain/collegium/candidates/dissertations/SPACE_ECON_01/research_papers/p1/paper_fig1.png" id="207" name="Picture"/>
                    <pic:cNvPicPr>
                      <a:picLocks noChangeArrowheads="1" noChangeAspect="1"/>
                    </pic:cNvPicPr>
                  </pic:nvPicPr>
                  <pic:blipFill>
                    <a:blip r:embed="rId20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LEO shell pressure by altitude midpoint. The fitted OLS is estimated on shell composition and regime variables.</w:t>
      </w:r>
    </w:p>
    <w:bookmarkEnd w:id="208"/>
    <w:bookmarkStart w:id="20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shell_low_km</w:t>
            </w:r>
          </w:p>
        </w:tc>
        <w:tc>
          <w:tcPr>
            <w:tcW w:w="0" w:type="auto"/>
          </w:tcPr>
          <w:p>
            <w:pPr>
              <w:spacing w:line="240" w:lineRule="auto" w:before="0" w:after="0"/>
              <w:pStyle w:val="Compact"/>
            </w:pPr>
            <w:r>
              <w:rPr>
                <w:sz w:val="20"/>
                <w:szCs w:val="20"/>
              </w:rPr>
              <w:t xml:space="preserve">shell_high_km</w:t>
            </w:r>
          </w:p>
        </w:tc>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tracked_count</w:t>
            </w:r>
          </w:p>
        </w:tc>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active_payload_count</w:t>
            </w:r>
          </w:p>
        </w:tc>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log_count_plus_one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200_300_equatorial</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200_300_mid_inclination</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4.3944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200_300_sso_polar</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0.0345</w:t>
            </w:r>
          </w:p>
        </w:tc>
        <w:tc>
          <w:tcPr>
            <w:tcW w:w="0" w:type="auto"/>
          </w:tcPr>
          <w:p>
            <w:pPr>
              <w:spacing w:line="240" w:lineRule="auto" w:before="0" w:after="0"/>
              <w:pStyle w:val="Compact"/>
            </w:pPr>
            <w:r>
              <w:rPr>
                <w:sz w:val="20"/>
                <w:szCs w:val="20"/>
              </w:rPr>
              <w:t xml:space="preserve">0.8966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4.0775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200_300_retrograde_high</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300_400_equatorial</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300_400_mid_inclination</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993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0.9708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6.9017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300_400_sso_polar</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0.0803</w:t>
            </w:r>
          </w:p>
        </w:tc>
        <w:tc>
          <w:tcPr>
            <w:tcW w:w="0" w:type="auto"/>
          </w:tcPr>
          <w:p>
            <w:pPr>
              <w:spacing w:line="240" w:lineRule="auto" w:before="0" w:after="0"/>
              <w:pStyle w:val="Compact"/>
            </w:pPr>
            <w:r>
              <w:rPr>
                <w:sz w:val="20"/>
                <w:szCs w:val="20"/>
              </w:rPr>
              <w:t xml:space="preserve">0.7482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300_400_retrograde_high</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400_500_equatorial</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400_500_mid_inclination</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6811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6769</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0.9938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400_500_sso_polar</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1596</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1388</w:t>
            </w:r>
          </w:p>
        </w:tc>
        <w:tc>
          <w:tcPr>
            <w:tcW w:w="0" w:type="auto"/>
          </w:tcPr>
          <w:p>
            <w:pPr>
              <w:spacing w:line="240" w:lineRule="auto" w:before="0" w:after="0"/>
              <w:pStyle w:val="Compact"/>
            </w:pPr>
            <w:r>
              <w:rPr>
                <w:sz w:val="20"/>
                <w:szCs w:val="20"/>
              </w:rPr>
              <w:t xml:space="preserve">0.0677</w:t>
            </w:r>
          </w:p>
        </w:tc>
        <w:tc>
          <w:tcPr>
            <w:tcW w:w="0" w:type="auto"/>
          </w:tcPr>
          <w:p>
            <w:pPr>
              <w:spacing w:line="240" w:lineRule="auto" w:before="0" w:after="0"/>
              <w:pStyle w:val="Compact"/>
            </w:pPr>
            <w:r>
              <w:rPr>
                <w:sz w:val="20"/>
                <w:szCs w:val="20"/>
              </w:rPr>
              <w:t xml:space="preserve">0.8697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7.3759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400_500_retrograde_high</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500_600_equatorial</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0.7742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500_600_mid_inclination</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1462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1391</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0.9514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7.2882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500_600_sso_polar</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2672</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2236</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0.8368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500_600_retrograde_high</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600_700_equatorial</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0.2917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600_700_mid_inclination</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0.1259</w:t>
            </w:r>
          </w:p>
        </w:tc>
        <w:tc>
          <w:tcPr>
            <w:tcW w:w="0" w:type="auto"/>
          </w:tcPr>
          <w:p>
            <w:pPr>
              <w:spacing w:line="240" w:lineRule="auto" w:before="0" w:after="0"/>
              <w:pStyle w:val="Compact"/>
            </w:pPr>
            <w:r>
              <w:rPr>
                <w:sz w:val="20"/>
                <w:szCs w:val="20"/>
              </w:rPr>
              <w:t xml:space="preserve">0.7852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6.0064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600_700_sso_polar</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1444</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0.6676</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7.2759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600_700_retrograde_high</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700_800_equatorial</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0.3125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700_800_mid_inclination</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0.635</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700_800_sso_polar</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2441</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0.8095</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7.8006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700_800_retrograde_high</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800_900_equatorial</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0.4167</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800_900_mid_inclination</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0.5723</w:t>
            </w:r>
          </w:p>
        </w:tc>
        <w:tc>
          <w:tcPr>
            <w:tcW w:w="0" w:type="auto"/>
          </w:tcPr>
          <w:p>
            <w:pPr>
              <w:spacing w:line="240" w:lineRule="auto" w:before="0" w:after="0"/>
              <w:pStyle w:val="Compact"/>
            </w:pPr>
            <w:r>
              <w:rPr>
                <w:sz w:val="20"/>
                <w:szCs w:val="20"/>
              </w:rPr>
              <w:t xml:space="preserve">0.2704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800_900_sso_polar</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2757</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0.8792</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7.9223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800_900_retrograde_high</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900_1000_equatorial</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900_1000_mid_inclination</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0.6342</w:t>
            </w:r>
          </w:p>
        </w:tc>
        <w:tc>
          <w:tcPr>
            <w:tcW w:w="0" w:type="auto"/>
          </w:tcPr>
          <w:p>
            <w:pPr>
              <w:spacing w:line="240" w:lineRule="auto" w:before="0" w:after="0"/>
              <w:pStyle w:val="Compact"/>
            </w:pPr>
            <w:r>
              <w:rPr>
                <w:sz w:val="20"/>
                <w:szCs w:val="20"/>
              </w:rPr>
              <w:t xml:space="preserve">0.1158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5.9428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900_1000_sso_polar</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1477</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0.6615</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7.2984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900_1000_retrograde_high</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1000_1100_equatorial</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0.5625</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1000_1100_mid_inclination</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0.6386</w:t>
            </w:r>
          </w:p>
        </w:tc>
        <w:tc>
          <w:tcPr>
            <w:tcW w:w="0" w:type="auto"/>
          </w:tcPr>
          <w:p>
            <w:pPr>
              <w:spacing w:line="240" w:lineRule="auto" w:before="0" w:after="0"/>
              <w:pStyle w:val="Compact"/>
            </w:pPr>
            <w:r>
              <w:rPr>
                <w:sz w:val="20"/>
                <w:szCs w:val="20"/>
              </w:rPr>
              <w:t xml:space="preserve">0.1782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5.3132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1000_1100_sso_polar</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711</w:t>
            </w:r>
          </w:p>
        </w:tc>
        <w:tc>
          <w:tcPr>
            <w:tcW w:w="0" w:type="auto"/>
          </w:tcPr>
          <w:p>
            <w:pPr>
              <w:spacing w:line="240" w:lineRule="auto" w:before="0" w:after="0"/>
              <w:pStyle w:val="Compact"/>
            </w:pPr>
            <w:r>
              <w:rPr>
                <w:sz w:val="20"/>
                <w:szCs w:val="20"/>
              </w:rPr>
              <w:t xml:space="preserve">522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0.7342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6.5681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1000_1100_retrograde_high</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1100_1200_equatorial</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1100_1200_mid_inclination</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0.3364</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5.3706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1100_1200_sso_polar</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0.4202</w:t>
            </w:r>
          </w:p>
        </w:tc>
        <w:tc>
          <w:tcPr>
            <w:tcW w:w="0" w:type="auto"/>
          </w:tcPr>
          <w:p>
            <w:pPr>
              <w:spacing w:line="240" w:lineRule="auto" w:before="0" w:after="0"/>
              <w:pStyle w:val="Compact"/>
            </w:pPr>
            <w:r>
              <w:rPr>
                <w:sz w:val="20"/>
                <w:szCs w:val="20"/>
              </w:rPr>
              <w:t xml:space="preserve">0.5133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6.6241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1100_1200_retrograde_high</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1200_1300_equatorial</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1200_1300_mid_inclination</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4.1271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1200_1300_sso_polar</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669</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0.4738</w:t>
            </w:r>
          </w:p>
        </w:tc>
        <w:tc>
          <w:tcPr>
            <w:tcW w:w="0" w:type="auto"/>
          </w:tcPr>
          <w:p>
            <w:pPr>
              <w:spacing w:line="240" w:lineRule="auto" w:before="0" w:after="0"/>
              <w:pStyle w:val="Compact"/>
            </w:pPr>
            <w:r>
              <w:rPr>
                <w:sz w:val="20"/>
                <w:szCs w:val="20"/>
              </w:rPr>
              <w:t xml:space="preserve">0.5067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6.5073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1200_1300_retrograde_high</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1300_1400_equatorial</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1300_1400_mid_inclination</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0.0462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4.1897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1300_1400_sso_polar</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0.7572</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1300_1400_retrograde_high</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1400_1500_equatorial</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1400_1500_mid_inclination</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0.5856</w:t>
            </w:r>
          </w:p>
        </w:tc>
        <w:tc>
          <w:tcPr>
            <w:tcW w:w="0" w:type="auto"/>
          </w:tcPr>
          <w:p>
            <w:pPr>
              <w:spacing w:line="240" w:lineRule="auto" w:before="0" w:after="0"/>
              <w:pStyle w:val="Compact"/>
            </w:pPr>
            <w:r>
              <w:rPr>
                <w:sz w:val="20"/>
                <w:szCs w:val="20"/>
              </w:rPr>
              <w:t xml:space="preserve">0.2432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1400_1500_sso_polar</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844</w:t>
            </w:r>
          </w:p>
        </w:tc>
        <w:tc>
          <w:tcPr>
            <w:tcW w:w="0" w:type="auto"/>
          </w:tcPr>
          <w:p>
            <w:pPr>
              <w:spacing w:line="240" w:lineRule="auto" w:before="0" w:after="0"/>
              <w:pStyle w:val="Compact"/>
            </w:pPr>
            <w:r>
              <w:rPr>
                <w:sz w:val="20"/>
                <w:szCs w:val="20"/>
              </w:rPr>
              <w:t xml:space="preserve">279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0.3306</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6.7393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1400_1500_retrograde_high</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1500_1600_equatorial</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1500_1600_mid_inclination</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0.0263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4.3438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1500_1600_sso_polar</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414</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0.7246</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6.0283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1500_1600_retrograde_high</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1600_1700_equatorial</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1600_1700_mid_inclination</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3.8286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1600_1700_sso_polar</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1600_1700_retrograde_high</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1700_1800_equatorial</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1700_1800_mid_inclination</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3.9703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1700_1800_sso_polar</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1700_1800_retrograde_high</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1800_1900_equatorial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1800_1900_mid_inclination</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1800_1900_sso_polar</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1800_1900_retrograde_high</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1900_2000_equatorial</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1900_2000_mid_inclination</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0.7692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1900_2000_sso_polar</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1900_2000_retrograde_high</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209"/>
    <w:bookmarkStart w:id="21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log_count_plus_one</w:t>
            </w:r>
          </w:p>
        </w:tc>
        <w:tc>
          <w:tcPr>
            <w:tcW w:w="0" w:type="auto"/>
          </w:tcPr>
          <w:p>
            <w:pPr>
              <w:spacing w:line="240" w:lineRule="auto" w:before="0" w:after="0"/>
              <w:pStyle w:val="Compact"/>
            </w:pPr>
            <w:r>
              <w:rPr>
                <w:sz w:val="20"/>
                <w:szCs w:val="20"/>
              </w:rPr>
              <w:t xml:space="preserve">Natural logarithm of one plus tracked non-decayed Earth-orbit objects in the shell and inclination bin</w:t>
            </w:r>
          </w:p>
        </w:tc>
        <w:tc>
          <w:tcPr>
            <w:tcW w:w="0" w:type="auto"/>
          </w:tcPr>
          <w:p>
            <w:pPr>
              <w:spacing w:line="240" w:lineRule="auto" w:before="0" w:after="0"/>
              <w:pStyle w:val="Compact"/>
            </w:pPr>
            <w:r>
              <w:rPr>
                <w:sz w:val="20"/>
                <w:szCs w:val="20"/>
              </w:rPr>
              <w:t xml:space="preserve">Computed from CelesTrak SATCAT rows with ORBIT_CENTER EA, blank DECAY_DATE, and mean altitude 200 to 2000 km</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Share of tracked objects in the shell classified as debris</w:t>
            </w:r>
          </w:p>
        </w:tc>
        <w:tc>
          <w:tcPr>
            <w:tcW w:w="0" w:type="auto"/>
          </w:tcPr>
          <w:p>
            <w:pPr>
              <w:spacing w:line="240" w:lineRule="auto" w:before="0" w:after="0"/>
              <w:pStyle w:val="Compact"/>
            </w:pPr>
            <w:r>
              <w:rPr>
                <w:sz w:val="20"/>
                <w:szCs w:val="20"/>
              </w:rPr>
              <w:t xml:space="preserve">OBJECT_TYPE DEB divided by tracked_count</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Indicator for the sun-synchronous or polar inclination regime</w:t>
            </w:r>
          </w:p>
        </w:tc>
        <w:tc>
          <w:tcPr>
            <w:tcW w:w="0" w:type="auto"/>
          </w:tcPr>
          <w:p>
            <w:pPr>
              <w:spacing w:line="240" w:lineRule="auto" w:before="0" w:after="0"/>
              <w:pStyle w:val="Compact"/>
            </w:pPr>
            <w:r>
              <w:rPr>
                <w:sz w:val="20"/>
                <w:szCs w:val="20"/>
              </w:rPr>
              <w:t xml:space="preserve">Derived from SATCAT inclination field</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Indicator for shell midpoint from 500 km to less than 900 km</w:t>
            </w:r>
          </w:p>
        </w:tc>
        <w:tc>
          <w:tcPr>
            <w:tcW w:w="0" w:type="auto"/>
          </w:tcPr>
          <w:p>
            <w:pPr>
              <w:spacing w:line="240" w:lineRule="auto" w:before="0" w:after="0"/>
              <w:pStyle w:val="Compact"/>
            </w:pPr>
            <w:r>
              <w:rPr>
                <w:sz w:val="20"/>
                <w:szCs w:val="20"/>
              </w:rPr>
              <w:t xml:space="preserve">Policy-critical traffic band used in LEO congestion discussions</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Share of tracked objects that are operational or partially operational payloads</w:t>
            </w:r>
          </w:p>
        </w:tc>
        <w:tc>
          <w:tcPr>
            <w:tcW w:w="0" w:type="auto"/>
          </w:tcPr>
          <w:p>
            <w:pPr>
              <w:spacing w:line="240" w:lineRule="auto" w:before="0" w:after="0"/>
              <w:pStyle w:val="Compact"/>
            </w:pPr>
            <w:r>
              <w:rPr>
                <w:sz w:val="20"/>
                <w:szCs w:val="20"/>
              </w:rPr>
              <w:t xml:space="preserve">OBJECT_TYPE PAY with active status divided by tracked_count</w:t>
            </w:r>
          </w:p>
        </w:tc>
      </w:tr>
    </w:tbl>
    <w:bookmarkEnd w:id="210"/>
    <w:bookmarkEnd w:id="211"/>
    <w:bookmarkStart w:id="219" w:name="Xff948ef9ccadb1af2d05b19a985afe57ca59f9e"/>
    <w:p>
      <w:pPr>
        <w:pStyle w:val="Heading2"/>
        <w:spacing w:line="480" w:lineRule="auto"/>
      </w:pPr>
      <w:r>
        <w:t xml:space="preserve">A.2 Which Shells Enter the High-Fee Tier? Logit Evidence on LEO Congestion Pricing Bands</w:t>
      </w:r>
    </w:p>
    <w:p>
      <w:pPr>
        <w:pStyle w:val="FirstParagraph"/>
        <w:spacing w:line="480" w:lineRule="auto"/>
      </w:pPr>
      <w:r>
        <w:t xml:space="preserve">$$
    \\operatorname{logit}\\{P(H_{sb}=1)\\} = \\alpha + \\beta_1 SSO_b + \\beta_2 C_{sb} + \\beta_3 D_{sb} + \\beta_4 A_{sb}
    $$</w:t>
      </w:r>
    </w:p>
    <w:bookmarkStart w:id="21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-4.2468</w:t>
            </w:r>
          </w:p>
        </w:tc>
        <w:tc>
          <w:tcPr>
            <w:tcW w:w="0" w:type="auto"/>
          </w:tcPr>
          <w:p>
            <w:pPr>
              <w:spacing w:line="240" w:lineRule="auto" w:before="0" w:after="0"/>
              <w:pStyle w:val="Compact"/>
            </w:pPr>
            <w:r>
              <w:rPr>
                <w:sz w:val="20"/>
                <w:szCs w:val="20"/>
              </w:rPr>
              <w:t xml:space="preserve">1.524</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0.0053</w:t>
            </w:r>
          </w:p>
        </w:tc>
        <w:tc>
          <w:tcPr>
            <w:tcW w:w="0" w:type="auto"/>
          </w:tcPr>
          <w:p>
            <w:pPr>
              <w:spacing w:line="240" w:lineRule="auto" w:before="0" w:after="0"/>
              <w:pStyle w:val="Compact"/>
            </w:pPr>
            <w:r>
              <w:rPr>
                <w:sz w:val="20"/>
                <w:szCs w:val="20"/>
              </w:rPr>
              <w:t xml:space="preserve">[-7.2338, -1.2597]</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2.7574</w:t>
            </w:r>
          </w:p>
        </w:tc>
        <w:tc>
          <w:tcPr>
            <w:tcW w:w="0" w:type="auto"/>
          </w:tcPr>
          <w:p>
            <w:pPr>
              <w:spacing w:line="240" w:lineRule="auto" w:before="0" w:after="0"/>
              <w:pStyle w:val="Compact"/>
            </w:pPr>
            <w:r>
              <w:rPr>
                <w:sz w:val="20"/>
                <w:szCs w:val="20"/>
              </w:rPr>
              <w:t xml:space="preserve">0.7765</w:t>
            </w:r>
          </w:p>
        </w:tc>
        <w:tc>
          <w:tcPr>
            <w:tcW w:w="0" w:type="auto"/>
          </w:tcPr>
          <w:p>
            <w:pPr>
              <w:spacing w:line="240" w:lineRule="auto" w:before="0" w:after="0"/>
              <w:pStyle w:val="Compact"/>
            </w:pPr>
            <w:r>
              <w:rPr>
                <w:sz w:val="20"/>
                <w:szCs w:val="20"/>
              </w:rPr>
              <w:t xml:space="preserve">3.5512</w:t>
            </w:r>
          </w:p>
        </w:tc>
        <w:tc>
          <w:tcPr>
            <w:tcW w:w="0" w:type="auto"/>
          </w:tcPr>
          <w:p>
            <w:pPr>
              <w:spacing w:line="240" w:lineRule="auto" w:before="0" w:after="0"/>
              <w:pStyle w:val="Compact"/>
            </w:pPr>
            <w:r>
              <w:rPr>
                <w:sz w:val="20"/>
                <w:szCs w:val="20"/>
              </w:rPr>
              <w:t xml:space="preserve">0.0003835</w:t>
            </w:r>
          </w:p>
        </w:tc>
        <w:tc>
          <w:tcPr>
            <w:tcW w:w="0" w:type="auto"/>
          </w:tcPr>
          <w:p>
            <w:pPr>
              <w:spacing w:line="240" w:lineRule="auto" w:before="0" w:after="0"/>
              <w:pStyle w:val="Compact"/>
            </w:pPr>
            <w:r>
              <w:rPr>
                <w:sz w:val="20"/>
                <w:szCs w:val="20"/>
              </w:rPr>
              <w:t xml:space="preserve">[1.2355, 4.2792]</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1.3049</w:t>
            </w:r>
          </w:p>
        </w:tc>
        <w:tc>
          <w:tcPr>
            <w:tcW w:w="0" w:type="auto"/>
          </w:tcPr>
          <w:p>
            <w:pPr>
              <w:spacing w:line="240" w:lineRule="auto" w:before="0" w:after="0"/>
              <w:pStyle w:val="Compact"/>
            </w:pPr>
            <w:r>
              <w:rPr>
                <w:sz w:val="20"/>
                <w:szCs w:val="20"/>
              </w:rPr>
              <w:t xml:space="preserve">0.7875</w:t>
            </w:r>
          </w:p>
        </w:tc>
        <w:tc>
          <w:tcPr>
            <w:tcW w:w="0" w:type="auto"/>
          </w:tcPr>
          <w:p>
            <w:pPr>
              <w:spacing w:line="240" w:lineRule="auto" w:before="0" w:after="0"/>
              <w:pStyle w:val="Compact"/>
            </w:pPr>
            <w:r>
              <w:rPr>
                <w:sz w:val="20"/>
                <w:szCs w:val="20"/>
              </w:rPr>
              <w:t xml:space="preserve">1.6569</w:t>
            </w:r>
          </w:p>
        </w:tc>
        <w:tc>
          <w:tcPr>
            <w:tcW w:w="0" w:type="auto"/>
          </w:tcPr>
          <w:p>
            <w:pPr>
              <w:spacing w:line="240" w:lineRule="auto" w:before="0" w:after="0"/>
              <w:pStyle w:val="Compact"/>
            </w:pPr>
            <w:r>
              <w:rPr>
                <w:sz w:val="20"/>
                <w:szCs w:val="20"/>
              </w:rPr>
              <w:t xml:space="preserve">0.0975</w:t>
            </w:r>
          </w:p>
        </w:tc>
        <w:tc>
          <w:tcPr>
            <w:tcW w:w="0" w:type="auto"/>
          </w:tcPr>
          <w:p>
            <w:pPr>
              <w:spacing w:line="240" w:lineRule="auto" w:before="0" w:after="0"/>
              <w:pStyle w:val="Compact"/>
            </w:pPr>
            <w:r>
              <w:rPr>
                <w:sz w:val="20"/>
                <w:szCs w:val="20"/>
              </w:rPr>
              <w:t xml:space="preserve">[-0.2387, 2.8484]</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2.5884</w:t>
            </w:r>
          </w:p>
        </w:tc>
        <w:tc>
          <w:tcPr>
            <w:tcW w:w="0" w:type="auto"/>
          </w:tcPr>
          <w:p>
            <w:pPr>
              <w:spacing w:line="240" w:lineRule="auto" w:before="0" w:after="0"/>
              <w:pStyle w:val="Compact"/>
            </w:pPr>
            <w:r>
              <w:rPr>
                <w:sz w:val="20"/>
                <w:szCs w:val="20"/>
              </w:rPr>
              <w:t xml:space="preserve">1.8962</w:t>
            </w:r>
          </w:p>
        </w:tc>
        <w:tc>
          <w:tcPr>
            <w:tcW w:w="0" w:type="auto"/>
          </w:tcPr>
          <w:p>
            <w:pPr>
              <w:spacing w:line="240" w:lineRule="auto" w:before="0" w:after="0"/>
              <w:pStyle w:val="Compact"/>
            </w:pPr>
            <w:r>
              <w:rPr>
                <w:sz w:val="20"/>
                <w:szCs w:val="20"/>
              </w:rPr>
              <w:t xml:space="preserve">1.3651</w:t>
            </w:r>
          </w:p>
        </w:tc>
        <w:tc>
          <w:tcPr>
            <w:tcW w:w="0" w:type="auto"/>
          </w:tcPr>
          <w:p>
            <w:pPr>
              <w:spacing w:line="240" w:lineRule="auto" w:before="0" w:after="0"/>
              <w:pStyle w:val="Compact"/>
            </w:pPr>
            <w:r>
              <w:rPr>
                <w:sz w:val="20"/>
                <w:szCs w:val="20"/>
              </w:rPr>
              <w:t xml:space="preserve">0.1722</w:t>
            </w:r>
          </w:p>
        </w:tc>
        <w:tc>
          <w:tcPr>
            <w:tcW w:w="0" w:type="auto"/>
          </w:tcPr>
          <w:p>
            <w:pPr>
              <w:spacing w:line="240" w:lineRule="auto" w:before="0" w:after="0"/>
              <w:pStyle w:val="Compact"/>
            </w:pPr>
            <w:r>
              <w:rPr>
                <w:sz w:val="20"/>
                <w:szCs w:val="20"/>
              </w:rPr>
              <w:t xml:space="preserve">[-1.128, 6.3049]</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4.1768</w:t>
            </w:r>
          </w:p>
        </w:tc>
        <w:tc>
          <w:tcPr>
            <w:tcW w:w="0" w:type="auto"/>
          </w:tcPr>
          <w:p>
            <w:pPr>
              <w:spacing w:line="240" w:lineRule="auto" w:before="0" w:after="0"/>
              <w:pStyle w:val="Compact"/>
            </w:pPr>
            <w:r>
              <w:rPr>
                <w:sz w:val="20"/>
                <w:szCs w:val="20"/>
              </w:rPr>
              <w:t xml:space="preserve">1.7655</w:t>
            </w:r>
          </w:p>
        </w:tc>
        <w:tc>
          <w:tcPr>
            <w:tcW w:w="0" w:type="auto"/>
          </w:tcPr>
          <w:p>
            <w:pPr>
              <w:spacing w:line="240" w:lineRule="auto" w:before="0" w:after="0"/>
              <w:pStyle w:val="Compact"/>
            </w:pPr>
            <w:r>
              <w:rPr>
                <w:sz w:val="20"/>
                <w:szCs w:val="20"/>
              </w:rPr>
              <w:t xml:space="preserve">2.3658</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[0.7165, 7.6371]</w:t>
            </w:r>
          </w:p>
        </w:tc>
      </w:tr>
    </w:tbl>
    <w:p>
      <w:pPr>
        <w:pStyle w:val="BodyText"/>
        <w:spacing w:line="480" w:lineRule="auto"/>
        <w:ind w:firstLine="720"/>
      </w:pPr>
      <w:r>
        <w:t xml:space="preserve">Fit: N = 72 pseudo_R2 = 0.3624 LL = -29.2226</w:t>
      </w:r>
    </w:p>
    <w:bookmarkEnd w:id="212"/>
    <w:bookmarkStart w:id="21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robability that a shell enters the top occupancy fee tier as active payload concentration rises." title="" id="214" name="Picture"/>
            <a:graphic>
              <a:graphicData uri="http://schemas.openxmlformats.org/drawingml/2006/picture">
                <pic:pic>
                  <pic:nvPicPr>
                    <pic:cNvPr descr="D:/Claude_Code/brain/collegium/candidates/dissertations/SPACE_ECON_01/research_papers/p2/paper_fig1.png" id="215" name="Picture"/>
                    <pic:cNvPicPr>
                      <a:picLocks noChangeArrowheads="1" noChangeAspect="1"/>
                    </pic:cNvPicPr>
                  </pic:nvPicPr>
                  <pic:blipFill>
                    <a:blip r:embed="rId21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Probability that a shell enters the top occupancy fee tier as active payload concentration rises.</w:t>
      </w:r>
    </w:p>
    <w:bookmarkEnd w:id="216"/>
    <w:bookmarkStart w:id="21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tracked_count</w:t>
            </w:r>
          </w:p>
        </w:tc>
        <w:tc>
          <w:tcPr>
            <w:tcW w:w="0" w:type="auto"/>
          </w:tcPr>
          <w:p>
            <w:pPr>
              <w:spacing w:line="240" w:lineRule="auto" w:before="0" w:after="0"/>
              <w:pStyle w:val="Compact"/>
            </w:pPr>
            <w:r>
              <w:rPr>
                <w:sz w:val="20"/>
                <w:szCs w:val="20"/>
              </w:rPr>
              <w:t xml:space="preserve">top_fee_shell</w:t>
            </w:r>
          </w:p>
        </w:tc>
        <w:tc>
          <w:tcPr>
            <w:tcW w:w="0" w:type="auto"/>
          </w:tcPr>
          <w:p>
            <w:pPr>
              <w:spacing w:line="240" w:lineRule="auto" w:before="0" w:after="0"/>
              <w:pStyle w:val="Compact"/>
            </w:pPr>
            <w:r>
              <w:rPr>
                <w:sz w:val="20"/>
                <w:szCs w:val="20"/>
              </w:rPr>
              <w:t xml:space="preserve">top_fee_threshold_count</w:t>
            </w:r>
          </w:p>
        </w:tc>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200_300_equatorial</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200_300_mid_inclination</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200_300_sso_polar</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0.0345</w:t>
            </w:r>
          </w:p>
        </w:tc>
        <w:tc>
          <w:tcPr>
            <w:tcW w:w="0" w:type="auto"/>
          </w:tcPr>
          <w:p>
            <w:pPr>
              <w:spacing w:line="240" w:lineRule="auto" w:before="0" w:after="0"/>
              <w:pStyle w:val="Compact"/>
            </w:pPr>
            <w:r>
              <w:rPr>
                <w:sz w:val="20"/>
                <w:szCs w:val="20"/>
              </w:rPr>
              <w:t xml:space="preserve">0.8966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200_300_retrograde_high</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300_400_equatorial</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300_400_mid_inclination</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993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0.9708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300_400_sso_polar</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0.0803</w:t>
            </w:r>
          </w:p>
        </w:tc>
        <w:tc>
          <w:tcPr>
            <w:tcW w:w="0" w:type="auto"/>
          </w:tcPr>
          <w:p>
            <w:pPr>
              <w:spacing w:line="240" w:lineRule="auto" w:before="0" w:after="0"/>
              <w:pStyle w:val="Compact"/>
            </w:pPr>
            <w:r>
              <w:rPr>
                <w:sz w:val="20"/>
                <w:szCs w:val="20"/>
              </w:rPr>
              <w:t xml:space="preserve">0.7482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300_400_retrograde_high</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400_500_equatorial</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400_500_mid_inclination</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6811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0.9938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400_500_sso_polar</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1596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0.0677</w:t>
            </w:r>
          </w:p>
        </w:tc>
        <w:tc>
          <w:tcPr>
            <w:tcW w:w="0" w:type="auto"/>
          </w:tcPr>
          <w:p>
            <w:pPr>
              <w:spacing w:line="240" w:lineRule="auto" w:before="0" w:after="0"/>
              <w:pStyle w:val="Compact"/>
            </w:pPr>
            <w:r>
              <w:rPr>
                <w:sz w:val="20"/>
                <w:szCs w:val="20"/>
              </w:rPr>
              <w:t xml:space="preserve">0.8697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400_500_retrograde_high</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500_600_equatorial</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0.7742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500_600_mid_inclination</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0.9514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500_600_sso_polar</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0.8368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500_600_retrograde_high</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600_700_equatorial</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0.2917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600_700_mid_inclination</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0.1259</w:t>
            </w:r>
          </w:p>
        </w:tc>
        <w:tc>
          <w:tcPr>
            <w:tcW w:w="0" w:type="auto"/>
          </w:tcPr>
          <w:p>
            <w:pPr>
              <w:spacing w:line="240" w:lineRule="auto" w:before="0" w:after="0"/>
              <w:pStyle w:val="Compact"/>
            </w:pPr>
            <w:r>
              <w:rPr>
                <w:sz w:val="20"/>
                <w:szCs w:val="20"/>
              </w:rPr>
              <w:t xml:space="preserve">0.7852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600_700_sso_polar</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1444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0.6676</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600_700_retrograde_high</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700_800_equatorial</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0.3125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700_800_mid_inclination</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0.635</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700_800_sso_polar</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2441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0.8095</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700_800_retrograde_high</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800_900_equatorial</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0.4167</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800_900_mid_inclination</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0.5723</w:t>
            </w:r>
          </w:p>
        </w:tc>
        <w:tc>
          <w:tcPr>
            <w:tcW w:w="0" w:type="auto"/>
          </w:tcPr>
          <w:p>
            <w:pPr>
              <w:spacing w:line="240" w:lineRule="auto" w:before="0" w:after="0"/>
              <w:pStyle w:val="Compact"/>
            </w:pPr>
            <w:r>
              <w:rPr>
                <w:sz w:val="20"/>
                <w:szCs w:val="20"/>
              </w:rPr>
              <w:t xml:space="preserve">0.2704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800_900_sso_polar</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2757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0.8792</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800_900_retrograde_high</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900_1000_equatorial</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900_1000_mid_inclination</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0.6342</w:t>
            </w:r>
          </w:p>
        </w:tc>
        <w:tc>
          <w:tcPr>
            <w:tcW w:w="0" w:type="auto"/>
          </w:tcPr>
          <w:p>
            <w:pPr>
              <w:spacing w:line="240" w:lineRule="auto" w:before="0" w:after="0"/>
              <w:pStyle w:val="Compact"/>
            </w:pPr>
            <w:r>
              <w:rPr>
                <w:sz w:val="20"/>
                <w:szCs w:val="20"/>
              </w:rPr>
              <w:t xml:space="preserve">0.1158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900_1000_sso_polar</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1477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0.6615</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900_1000_retrograde_high</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1000_1100_equatorial</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0.5625</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1000_1100_mid_inclination</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0.6386</w:t>
            </w:r>
          </w:p>
        </w:tc>
        <w:tc>
          <w:tcPr>
            <w:tcW w:w="0" w:type="auto"/>
          </w:tcPr>
          <w:p>
            <w:pPr>
              <w:spacing w:line="240" w:lineRule="auto" w:before="0" w:after="0"/>
              <w:pStyle w:val="Compact"/>
            </w:pPr>
            <w:r>
              <w:rPr>
                <w:sz w:val="20"/>
                <w:szCs w:val="20"/>
              </w:rPr>
              <w:t xml:space="preserve">0.1782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1000_1100_sso_polar</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711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0.7342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1000_1100_retrograde_high</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1100_1200_equatorial</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0.6429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1100_1200_mid_inclination</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0.3364</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1100_1200_sso_polar</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0.4202</w:t>
            </w:r>
          </w:p>
        </w:tc>
        <w:tc>
          <w:tcPr>
            <w:tcW w:w="0" w:type="auto"/>
          </w:tcPr>
          <w:p>
            <w:pPr>
              <w:spacing w:line="240" w:lineRule="auto" w:before="0" w:after="0"/>
              <w:pStyle w:val="Compact"/>
            </w:pPr>
            <w:r>
              <w:rPr>
                <w:sz w:val="20"/>
                <w:szCs w:val="20"/>
              </w:rPr>
              <w:t xml:space="preserve">0.5133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1100_1200_retrograde_high</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1200_1300_equatorial</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1200_1300_mid_inclination</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1200_1300_sso_polar</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0.4738</w:t>
            </w:r>
          </w:p>
        </w:tc>
        <w:tc>
          <w:tcPr>
            <w:tcW w:w="0" w:type="auto"/>
          </w:tcPr>
          <w:p>
            <w:pPr>
              <w:spacing w:line="240" w:lineRule="auto" w:before="0" w:after="0"/>
              <w:pStyle w:val="Compact"/>
            </w:pPr>
            <w:r>
              <w:rPr>
                <w:sz w:val="20"/>
                <w:szCs w:val="20"/>
              </w:rPr>
              <w:t xml:space="preserve">0.5067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1200_1300_retrograde_high</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1300_1400_equatorial</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1300_1400_mid_inclination</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0.0462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1300_1400_sso_polar</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0.7572</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1300_1400_retrograde_high</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1400_1500_equatorial</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1400_1500_mid_inclination</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0.5856</w:t>
            </w:r>
          </w:p>
        </w:tc>
        <w:tc>
          <w:tcPr>
            <w:tcW w:w="0" w:type="auto"/>
          </w:tcPr>
          <w:p>
            <w:pPr>
              <w:spacing w:line="240" w:lineRule="auto" w:before="0" w:after="0"/>
              <w:pStyle w:val="Compact"/>
            </w:pPr>
            <w:r>
              <w:rPr>
                <w:sz w:val="20"/>
                <w:szCs w:val="20"/>
              </w:rPr>
              <w:t xml:space="preserve">0.2432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1400_1500_sso_polar</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844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0.3306</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1400_1500_retrograde_high</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1500_1600_equatorial</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1500_1600_mid_inclination</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0.0263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1500_1600_sso_polar</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0.7246</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1500_1600_retrograde_high</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1600_1700_equatorial</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1600_1700_mid_inclination</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1600_1700_sso_polar</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0.8776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1600_1700_retrograde_high</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1700_1800_equatorial</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1700_1800_mid_inclination</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1700_1800_sso_polar</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1700_1800_retrograde_high</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1800_1900_equatorial</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1800_1900_mid_inclination</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1800_1900_sso_polar</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1800_1900_retrograde_high</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1900_2000_equatorial</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1900_2000_mid_inclination</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0.7692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1900_2000_sso_polar</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1900_2000_retrograde_high</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217"/>
    <w:bookmarkStart w:id="21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top_fee_shell</w:t>
            </w:r>
          </w:p>
        </w:tc>
        <w:tc>
          <w:tcPr>
            <w:tcW w:w="0" w:type="auto"/>
          </w:tcPr>
          <w:p>
            <w:pPr>
              <w:spacing w:line="240" w:lineRule="auto" w:before="0" w:after="0"/>
              <w:pStyle w:val="Compact"/>
            </w:pPr>
            <w:r>
              <w:rPr>
                <w:sz w:val="20"/>
                <w:szCs w:val="20"/>
              </w:rPr>
              <w:t xml:space="preserve">Indicator equal to one when tracked shell occupancy is in the top tercile of the 72 shell-regime observations, which here means at least 91 tracked objects</w:t>
            </w:r>
          </w:p>
        </w:tc>
        <w:tc>
          <w:tcPr>
            <w:tcW w:w="0" w:type="auto"/>
          </w:tcPr>
          <w:p>
            <w:pPr>
              <w:spacing w:line="240" w:lineRule="auto" w:before="0" w:after="0"/>
              <w:pStyle w:val="Compact"/>
            </w:pPr>
            <w:r>
              <w:rPr>
                <w:sz w:val="20"/>
                <w:szCs w:val="20"/>
              </w:rPr>
              <w:t xml:space="preserve">Constructed from the shell-level tracked_count distribution in the SATCAT-derived dataset</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Indicator for the sun-synchronous or polar inclination regime</w:t>
            </w:r>
          </w:p>
        </w:tc>
        <w:tc>
          <w:tcPr>
            <w:tcW w:w="0" w:type="auto"/>
          </w:tcPr>
          <w:p>
            <w:pPr>
              <w:spacing w:line="240" w:lineRule="auto" w:before="0" w:after="0"/>
              <w:pStyle w:val="Compact"/>
            </w:pPr>
            <w:r>
              <w:rPr>
                <w:sz w:val="20"/>
                <w:szCs w:val="20"/>
              </w:rPr>
              <w:t xml:space="preserve">Derived from SATCAT inclination field</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Indicator for shell midpoint from 500 km to less than 900 km</w:t>
            </w:r>
          </w:p>
        </w:tc>
        <w:tc>
          <w:tcPr>
            <w:tcW w:w="0" w:type="auto"/>
          </w:tcPr>
          <w:p>
            <w:pPr>
              <w:spacing w:line="240" w:lineRule="auto" w:before="0" w:after="0"/>
              <w:pStyle w:val="Compact"/>
            </w:pPr>
            <w:r>
              <w:rPr>
                <w:sz w:val="20"/>
                <w:szCs w:val="20"/>
              </w:rPr>
              <w:t xml:space="preserve">Policy-critical traffic band used in LEO congestion discussions</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Share of tracked objects in the shell classified as debris</w:t>
            </w:r>
          </w:p>
        </w:tc>
        <w:tc>
          <w:tcPr>
            <w:tcW w:w="0" w:type="auto"/>
          </w:tcPr>
          <w:p>
            <w:pPr>
              <w:spacing w:line="240" w:lineRule="auto" w:before="0" w:after="0"/>
              <w:pStyle w:val="Compact"/>
            </w:pPr>
            <w:r>
              <w:rPr>
                <w:sz w:val="20"/>
                <w:szCs w:val="20"/>
              </w:rPr>
              <w:t xml:space="preserve">OBJECT_TYPE DEB divided by tracked_count</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Share of tracked objects that are operational or partially operational payloads</w:t>
            </w:r>
          </w:p>
        </w:tc>
        <w:tc>
          <w:tcPr>
            <w:tcW w:w="0" w:type="auto"/>
          </w:tcPr>
          <w:p>
            <w:pPr>
              <w:spacing w:line="240" w:lineRule="auto" w:before="0" w:after="0"/>
              <w:pStyle w:val="Compact"/>
            </w:pPr>
            <w:r>
              <w:rPr>
                <w:sz w:val="20"/>
                <w:szCs w:val="20"/>
              </w:rPr>
              <w:t xml:space="preserve">OBJECT_TYPE PAY with active status divided by tracked_count</w:t>
            </w:r>
          </w:p>
        </w:tc>
      </w:tr>
    </w:tbl>
    <w:bookmarkEnd w:id="218"/>
    <w:bookmarkEnd w:id="219"/>
    <w:bookmarkEnd w:id="22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5" Type="http://schemas.openxmlformats.org/officeDocument/2006/relationships/image" Target="media/rId205.png"/><Relationship Id="rId213" Type="http://schemas.openxmlformats.org/officeDocument/2006/relationships/image" Target="media/rId213.png"/><Relationship Id="rId189" Type="http://schemas.openxmlformats.org/officeDocument/2006/relationships/hyperlink" Target="https://doi.org/10.1016/j.actaastro.2018.04.040" TargetMode="External"/><Relationship Id="rId197" Type="http://schemas.openxmlformats.org/officeDocument/2006/relationships/hyperlink" Target="https://doi.org/10.1016/j.actaastro.2019.06.025" TargetMode="External"/><Relationship Id="rId195" Type="http://schemas.openxmlformats.org/officeDocument/2006/relationships/hyperlink" Target="https://doi.org/10.1016/j.actaastro.2021.01.049" TargetMode="External"/><Relationship Id="rId191" Type="http://schemas.openxmlformats.org/officeDocument/2006/relationships/hyperlink" Target="https://doi.org/10.1016/j.actaastro.2022.04.001" TargetMode="External"/><Relationship Id="rId163" Type="http://schemas.openxmlformats.org/officeDocument/2006/relationships/hyperlink" Target="https://doi.org/10.1016/j.actaastro.2022.05.045" TargetMode="External"/><Relationship Id="rId193" Type="http://schemas.openxmlformats.org/officeDocument/2006/relationships/hyperlink" Target="https://doi.org/10.1016/j.actaastro.2024.08.035" TargetMode="External"/><Relationship Id="rId201" Type="http://schemas.openxmlformats.org/officeDocument/2006/relationships/hyperlink" Target="https://doi.org/10.1016/j.actaastro.2024.12.022" TargetMode="External"/><Relationship Id="rId169" Type="http://schemas.openxmlformats.org/officeDocument/2006/relationships/hyperlink" Target="https://doi.org/10.1016/j.actaastro.2025.03.034" TargetMode="External"/><Relationship Id="rId167" Type="http://schemas.openxmlformats.org/officeDocument/2006/relationships/hyperlink" Target="https://doi.org/10.1016/j.actaastro.2025.06.029" TargetMode="External"/><Relationship Id="rId199" Type="http://schemas.openxmlformats.org/officeDocument/2006/relationships/hyperlink" Target="https://doi.org/10.1016/j.actaastro.2026.03.026" TargetMode="External"/><Relationship Id="rId174" Type="http://schemas.openxmlformats.org/officeDocument/2006/relationships/hyperlink" Target="https://doi.org/10.1257/jep.32.2.173" TargetMode="External"/><Relationship Id="rId176" Type="http://schemas.openxmlformats.org/officeDocument/2006/relationships/hyperlink" Target="https://doi.org/10.64861/DYBG6563" TargetMode="External"/><Relationship Id="rId172" Type="http://schemas.openxmlformats.org/officeDocument/2006/relationships/hyperlink" Target="https://doi.org/10.64861/FKER7625" TargetMode="External"/><Relationship Id="rId182" Type="http://schemas.openxmlformats.org/officeDocument/2006/relationships/hyperlink" Target="https://doi.org/10.64861/FLPY4016" TargetMode="External"/><Relationship Id="rId165" Type="http://schemas.openxmlformats.org/officeDocument/2006/relationships/hyperlink" Target="https://doi.org/10.64861/IGYM9299" TargetMode="External"/><Relationship Id="rId179" Type="http://schemas.openxmlformats.org/officeDocument/2006/relationships/hyperlink" Target="https://doi.org/10.64861/JLQE7584" TargetMode="External"/><Relationship Id="rId184" Type="http://schemas.openxmlformats.org/officeDocument/2006/relationships/hyperlink" Target="https://doi.org/10.64861/VZRK7654" TargetMode="External"/></Relationships>
</file>

<file path=word/_rels/footnotes.xml.rels><?xml version='1.0' encoding='UTF-8' standalone='yes'?>
<Relationships xmlns="http://schemas.openxmlformats.org/package/2006/relationships"><Relationship Id="rId189" Type="http://schemas.openxmlformats.org/officeDocument/2006/relationships/hyperlink" Target="https://doi.org/10.1016/j.actaastro.2018.04.040" TargetMode="External"/><Relationship Id="rId197" Type="http://schemas.openxmlformats.org/officeDocument/2006/relationships/hyperlink" Target="https://doi.org/10.1016/j.actaastro.2019.06.025" TargetMode="External"/><Relationship Id="rId195" Type="http://schemas.openxmlformats.org/officeDocument/2006/relationships/hyperlink" Target="https://doi.org/10.1016/j.actaastro.2021.01.049" TargetMode="External"/><Relationship Id="rId191" Type="http://schemas.openxmlformats.org/officeDocument/2006/relationships/hyperlink" Target="https://doi.org/10.1016/j.actaastro.2022.04.001" TargetMode="External"/><Relationship Id="rId163" Type="http://schemas.openxmlformats.org/officeDocument/2006/relationships/hyperlink" Target="https://doi.org/10.1016/j.actaastro.2022.05.045" TargetMode="External"/><Relationship Id="rId193" Type="http://schemas.openxmlformats.org/officeDocument/2006/relationships/hyperlink" Target="https://doi.org/10.1016/j.actaastro.2024.08.035" TargetMode="External"/><Relationship Id="rId201" Type="http://schemas.openxmlformats.org/officeDocument/2006/relationships/hyperlink" Target="https://doi.org/10.1016/j.actaastro.2024.12.022" TargetMode="External"/><Relationship Id="rId169" Type="http://schemas.openxmlformats.org/officeDocument/2006/relationships/hyperlink" Target="https://doi.org/10.1016/j.actaastro.2025.03.034" TargetMode="External"/><Relationship Id="rId167" Type="http://schemas.openxmlformats.org/officeDocument/2006/relationships/hyperlink" Target="https://doi.org/10.1016/j.actaastro.2025.06.029" TargetMode="External"/><Relationship Id="rId199" Type="http://schemas.openxmlformats.org/officeDocument/2006/relationships/hyperlink" Target="https://doi.org/10.1016/j.actaastro.2026.03.026" TargetMode="External"/><Relationship Id="rId174" Type="http://schemas.openxmlformats.org/officeDocument/2006/relationships/hyperlink" Target="https://doi.org/10.1257/jep.32.2.173" TargetMode="External"/><Relationship Id="rId176" Type="http://schemas.openxmlformats.org/officeDocument/2006/relationships/hyperlink" Target="https://doi.org/10.64861/DYBG6563" TargetMode="External"/><Relationship Id="rId172" Type="http://schemas.openxmlformats.org/officeDocument/2006/relationships/hyperlink" Target="https://doi.org/10.64861/FKER7625" TargetMode="External"/><Relationship Id="rId182" Type="http://schemas.openxmlformats.org/officeDocument/2006/relationships/hyperlink" Target="https://doi.org/10.64861/FLPY4016" TargetMode="External"/><Relationship Id="rId165" Type="http://schemas.openxmlformats.org/officeDocument/2006/relationships/hyperlink" Target="https://doi.org/10.64861/IGYM9299" TargetMode="External"/><Relationship Id="rId179" Type="http://schemas.openxmlformats.org/officeDocument/2006/relationships/hyperlink" Target="https://doi.org/10.64861/JLQE7584" TargetMode="External"/><Relationship Id="rId184" Type="http://schemas.openxmlformats.org/officeDocument/2006/relationships/hyperlink" Target="https://doi.org/10.64861/VZRK76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Pricing the Orbital Commons: An Empirical Orbital-Use-Fee Schedule from Collision-Risk Shadow Prices</dc:title>
  <dc:creator>Eleanor Sklar (1B-ECO-154)</dc:creator>
  <cp:keywords/>
  <dcterms:created xsi:type="dcterms:W3CDTF">2026-07-03T16:47:16Z</dcterms:created>
  <dcterms:modified xsi:type="dcterms:W3CDTF">2026-07-03T16:47:16Z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