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DEFENSE SPENDING AND COUNTERSPACE CAPABILITY: A CLIOMETRIC TEST OF WHETHER BUDGE</w:t>
      </w:r>
    </w:p>
    <w:p>
      <w:pPr>
        <w:jc w:val="center"/>
      </w:pPr>
    </w:p>
    <w:p>
      <w:pPr>
        <w:jc w:val="center"/>
      </w:pPr>
      <w:r>
        <w:rPr>
          <w:rFonts w:ascii="Times New Roman" w:hAnsi="Times New Roman"/>
          <w:sz w:val="24"/>
        </w:rPr>
        <w:t>by</w:t>
      </w:r>
    </w:p>
    <w:p>
      <w:pPr>
        <w:jc w:val="center"/>
      </w:pPr>
      <w:r>
        <w:rPr>
          <w:rFonts w:ascii="Times New Roman" w:hAnsi="Times New Roman"/>
          <w:b/>
          <w:sz w:val="28"/>
        </w:rPr>
        <w:t>Mei Acosta</w:t>
      </w:r>
    </w:p>
    <w:p>
      <w:pPr>
        <w:jc w:val="center"/>
      </w:pPr>
      <w:r>
        <w:rPr>
          <w:rFonts w:ascii="Times New Roman" w:hAnsi="Times New Roman"/>
          <w:sz w:val="24"/>
        </w:rPr>
        <w:t>1B-SEC-165</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9" w:name="chapter-1-introduction"/>
    <w:p>
      <w:pPr>
        <w:pStyle w:val="Heading1"/>
        <w:spacing w:line="480" w:lineRule="auto"/>
      </w:pPr>
      <w:r>
        <w:t xml:space="preserve">Chapter 1: Introduction</w:t>
      </w:r>
    </w:p>
    <w:p>
      <w:pPr>
        <w:pStyle w:val="FirstParagraph"/>
        <w:spacing w:line="480" w:lineRule="auto"/>
      </w:pPr>
      <w:r>
        <w:t xml:space="preserve">Space security has become a crowded conversation. Analysts write about counterspace weapons, allied burden sharing, strategic stability in geostationary orbit, and the norms that might restrain a widening set of state and commercial actors</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4">
        <w:r>
          <w:rPr>
            <w:rStyle w:val="Hyperlink"/>
          </w:rPr>
          <w:t xml:space="preserve">[4]</w:t>
        </w:r>
      </w:hyperlink>
      <w:r>
        <w:t xml:space="preserve">. Policy audiences increasingly treat these strands as if they add up to a single, maturing body of knowledge. The assumption is comfortable. It is rarely examined. It is also the assumption this dissertation sets out to test.</w:t>
      </w:r>
    </w:p>
    <w:p>
      <w:pPr>
        <w:pStyle w:val="BodyText"/>
        <w:spacing w:line="480" w:lineRule="auto"/>
        <w:ind w:firstLine="720"/>
      </w:pPr>
      <w:r>
        <w:t xml:space="preserve">The core claim I interrogate is deceptively simple. When observers speak of a space-security literature, they imply that a set of adjacent debates has consolidated into something cumulative: a shared vocabulary, a recognizable set of problems, and an attention structure that rewards contributions in a patterned way. Consolidation is not automatic. Conference papers, journal articles, and think-tank analyses can all orbit the same broad theme, counterspace capability and its governance, while pulling in different directions on mechanism, evidence, and prescription. Before treating that discourse as settled, we should ask what its internal structure actually looks like.</w:t>
      </w:r>
    </w:p>
    <w:p>
      <w:pPr>
        <w:pStyle w:val="BodyText"/>
        <w:spacing w:line="480" w:lineRule="auto"/>
        <w:ind w:firstLine="720"/>
      </w:pPr>
      <w:r>
        <w:t xml:space="preserve">This is a study of discourse formation, executed with quantitative tools. It does not claim that any single paper changed a defense budget or shifted an alliance posture. That kind of direct policy-effect claim would overreach the evidence available in a bounded retrieved corpus. What the design can support is narrower and, I will argue, more honest. It is a measurement of whether the security literature retrieved for this candidate topic exhibits the thematic sorting and attention curve that a consolidating field would produce</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Start w:id="61" w:name="the-problem"/>
    <w:p>
      <w:pPr>
        <w:pStyle w:val="Heading2"/>
        <w:spacing w:line="480" w:lineRule="auto"/>
      </w:pPr>
      <w:r>
        <w:t xml:space="preserve">1.1 The Problem</w:t>
      </w:r>
    </w:p>
    <w:p>
      <w:pPr>
        <w:pStyle w:val="FirstParagraph"/>
        <w:spacing w:line="480" w:lineRule="auto"/>
      </w:pPr>
      <w:r>
        <w:t xml:space="preserve">Space-security scholarship has a self-image problem. Its participants routinely describe the field as emergent, urgent, and rapidly cohering around deterrence and space domain awareness. The Japan case study on space situational awareness capability, for instance, frames national SSA investment as part of a broader security architecture that other growing space actors are expected to join</w:t>
      </w:r>
      <w:r>
        <w:t xml:space="preserve"> </w:t>
      </w:r>
      <w:hyperlink w:anchor="ref-2">
        <w:r>
          <w:rPr>
            <w:rStyle w:val="Hyperlink"/>
          </w:rPr>
          <w:t xml:space="preserve">[2]</w:t>
        </w:r>
      </w:hyperlink>
      <w:r>
        <w:t xml:space="preserve"> </w:t>
      </w:r>
      <w:hyperlink w:anchor="ref-6">
        <w:r>
          <w:rPr>
            <w:rStyle w:val="Hyperlink"/>
          </w:rPr>
          <w:t xml:space="preserve">[6]</w:t>
        </w:r>
      </w:hyperlink>
      <w:r>
        <w:t xml:space="preserve">. Work on space debris and nuclear strategic stability ties collision risk and attribution ambiguity in GEO to escalation dynamics</w:t>
      </w:r>
      <w:r>
        <w:t xml:space="preserve"> </w:t>
      </w:r>
      <w:hyperlink w:anchor="ref-3">
        <w:r>
          <w:rPr>
            <w:rStyle w:val="Hyperlink"/>
          </w:rPr>
          <w:t xml:space="preserve">[3]</w:t>
        </w:r>
      </w:hyperlink>
      <w:r>
        <w:t xml:space="preserve"> </w:t>
      </w:r>
      <w:hyperlink w:anchor="ref-8">
        <w:r>
          <w:rPr>
            <w:rStyle w:val="Hyperlink"/>
          </w:rPr>
          <w:t xml:space="preserve">[8]</w:t>
        </w:r>
      </w:hyperlink>
      <w:r>
        <w:t xml:space="preserve">. Analyses of allied burden sharing treat orbital defense as a distributed responsibility across partner states</w:t>
      </w:r>
      <w:r>
        <w:t xml:space="preserve"> </w:t>
      </w:r>
      <w:hyperlink w:anchor="ref-7">
        <w:r>
          <w:rPr>
            <w:rStyle w:val="Hyperlink"/>
          </w:rPr>
          <w:t xml:space="preserve">[7]</w:t>
        </w:r>
      </w:hyperlink>
      <w:r>
        <w:t xml:space="preserve">. Each of these contributions is coherent on its own terms. Whether they cohere with one another is a separate question.</w:t>
      </w:r>
    </w:p>
    <w:p>
      <w:pPr>
        <w:pStyle w:val="BodyText"/>
        <w:spacing w:line="480" w:lineRule="auto"/>
        <w:ind w:firstLine="720"/>
      </w:pPr>
      <w:r>
        <w:t xml:space="preserve">The temptation is to answer that question by reading closely and asserting a synthesis. Close reading is indispensable, but it is also susceptible to the analyst’s prior conviction that the field is converging. A reader who expects consolidation will find it. Confirmation is cheap. The alternative is to convert the corpus into an empirical object and let its measurable structure, thematic density, venue distribution, and citation accumulation, either support or resist the consolidation story. That is the move this dissertation makes. The corpus becomes the witness.</w:t>
      </w:r>
    </w:p>
    <w:p>
      <w:pPr>
        <w:pStyle w:val="BodyText"/>
        <w:spacing w:line="480" w:lineRule="auto"/>
        <w:ind w:firstLine="720"/>
      </w:pPr>
      <w:r>
        <w:t xml:space="preserve">Two features of the space-security literature make it a good candidate for this treatment. It is institutionally split. A large share of the operationally minded work appears at the Advanced Maui Optical and Space Surveillance conference, while a parallel stream of more synthetic, governance-facing work appears in journals such as Acta Astronautica</w:t>
      </w:r>
      <w:r>
        <w:t xml:space="preserve"> </w:t>
      </w:r>
      <w:hyperlink w:anchor="ref-5">
        <w:r>
          <w:rPr>
            <w:rStyle w:val="Hyperlink"/>
          </w:rPr>
          <w:t xml:space="preserve">[5]</w:t>
        </w:r>
      </w:hyperlink>
      <w:r>
        <w:t xml:space="preserve"> </w:t>
      </w:r>
      <w:hyperlink w:anchor="ref-16">
        <w:r>
          <w:rPr>
            <w:rStyle w:val="Hyperlink"/>
          </w:rPr>
          <w:t xml:space="preserve">[16]</w:t>
        </w:r>
      </w:hyperlink>
      <w:r>
        <w:t xml:space="preserve">. If the field were fully consolidated, we would expect thematic signal to be distributed across venues rather than concentrated in one. The literature also spans nearly two decades, from mid-2000s observatory and sensor papers to very recent work on cyber operations and laser governance in orbit</w:t>
      </w:r>
      <w:r>
        <w:t xml:space="preserve"> </w:t>
      </w:r>
      <w:hyperlink w:anchor="ref-12">
        <w:r>
          <w:rPr>
            <w:rStyle w:val="Hyperlink"/>
          </w:rPr>
          <w:t xml:space="preserve">[12]</w:t>
        </w:r>
      </w:hyperlink>
      <w:r>
        <w:t xml:space="preserve"> </w:t>
      </w:r>
      <w:hyperlink w:anchor="ref-15">
        <w:r>
          <w:rPr>
            <w:rStyle w:val="Hyperlink"/>
          </w:rPr>
          <w:t xml:space="preserve">[15]</w:t>
        </w:r>
      </w:hyperlink>
      <w:r>
        <w:t xml:space="preserve"> </w:t>
      </w:r>
      <w:hyperlink w:anchor="ref-17">
        <w:r>
          <w:rPr>
            <w:rStyle w:val="Hyperlink"/>
          </w:rPr>
          <w:t xml:space="preserve">[17]</w:t>
        </w:r>
      </w:hyperlink>
      <w:r>
        <w:t xml:space="preserve">. That temporal spread lets us ask whether attention accumulates with age in the regular way a cumulative field would show.</w:t>
      </w:r>
    </w:p>
    <w:bookmarkEnd w:id="61"/>
    <w:bookmarkStart w:id="62" w:name="why-it-matters"/>
    <w:p>
      <w:pPr>
        <w:pStyle w:val="Heading2"/>
        <w:spacing w:line="480" w:lineRule="auto"/>
      </w:pPr>
      <w:r>
        <w:t xml:space="preserve">1.2 Why It Matters</w:t>
      </w:r>
    </w:p>
    <w:p>
      <w:pPr>
        <w:pStyle w:val="FirstParagraph"/>
        <w:spacing w:line="480" w:lineRule="auto"/>
      </w:pPr>
      <w:r>
        <w:t xml:space="preserve">The stakes here are partly scholarly and partly practical. Scholarly, because the habit of declaring a field mature before testing its structure produces literature reviews that flatter their subject and obscure real fragmentation. Practical, because policymakers who lean on space-security scholarship deserve to know whether they are drawing on a consolidated evidence base or on a loose federation of institutional conversations that happen to share keywords.</w:t>
      </w:r>
    </w:p>
    <w:p>
      <w:pPr>
        <w:pStyle w:val="BodyText"/>
        <w:spacing w:line="480" w:lineRule="auto"/>
        <w:ind w:firstLine="720"/>
      </w:pPr>
      <w:r>
        <w:t xml:space="preserve">Consider the deterrence debate. If the arguments linking counterspace capability to strategic stability rest on a genuinely cumulative literature, then a policymaker can treat convergent findings as robust. If, instead, those arguments are concentrated in a single venue community and have not accumulated cross-cutting attention, the apparent consensus may be an artifact of where the conversation happens rather than a signal of validated knowledge</w:t>
      </w:r>
      <w:r>
        <w:t xml:space="preserve"> </w:t>
      </w:r>
      <w:hyperlink w:anchor="ref-4">
        <w:r>
          <w:rPr>
            <w:rStyle w:val="Hyperlink"/>
          </w:rPr>
          <w:t xml:space="preserve">[4]</w:t>
        </w:r>
      </w:hyperlink>
      <w:r>
        <w:t xml:space="preserve"> </w:t>
      </w:r>
      <w:hyperlink w:anchor="ref-10">
        <w:r>
          <w:rPr>
            <w:rStyle w:val="Hyperlink"/>
          </w:rPr>
          <w:t xml:space="preserve">[10]</w:t>
        </w:r>
      </w:hyperlink>
      <w:r>
        <w:t xml:space="preserve">. The difference is not academic hair-splitting. It is consequential. It changes how much confidence a defense planner should place in the field’s collective judgment. The stakes are real.</w:t>
      </w:r>
    </w:p>
    <w:p>
      <w:pPr>
        <w:pStyle w:val="BodyText"/>
        <w:spacing w:line="480" w:lineRule="auto"/>
        <w:ind w:firstLine="720"/>
      </w:pPr>
      <w:r>
        <w:t xml:space="preserve">The same logic applies to burden sharing and to space traffic management as a security instrument. Norms-focused work argues that the development of STM norms can strengthen security in space by reducing ambiguity and building shared expectations</w:t>
      </w:r>
      <w:r>
        <w:t xml:space="preserve"> </w:t>
      </w:r>
      <w:hyperlink w:anchor="ref-4">
        <w:r>
          <w:rPr>
            <w:rStyle w:val="Hyperlink"/>
          </w:rPr>
          <w:t xml:space="preserve">[4]</w:t>
        </w:r>
      </w:hyperlink>
      <w:r>
        <w:t xml:space="preserve"> </w:t>
      </w:r>
      <w:hyperlink w:anchor="ref-10">
        <w:r>
          <w:rPr>
            <w:rStyle w:val="Hyperlink"/>
          </w:rPr>
          <w:t xml:space="preserve">[10]</w:t>
        </w:r>
      </w:hyperlink>
      <w:r>
        <w:t xml:space="preserve">. That argument is attractive. Its evidentiary weight depends on whether the norms literature is integrated with the counterspace and stability literatures or sits beside them as a parallel track. Measuring the structure of the retrieved corpus is a way to check.</w:t>
      </w:r>
    </w:p>
    <w:p>
      <w:pPr>
        <w:pStyle w:val="BodyText"/>
        <w:spacing w:line="480" w:lineRule="auto"/>
        <w:ind w:firstLine="720"/>
      </w:pPr>
      <w:r>
        <w:t xml:space="preserve">There is a further reason to care. Space-security investment is expensive and increasingly urgent, and acquisition programs for space domain awareness draw explicitly on the analytic case that the field builds</w:t>
      </w:r>
      <w:r>
        <w:t xml:space="preserve"> </w:t>
      </w:r>
      <w:hyperlink w:anchor="ref-11">
        <w:r>
          <w:rPr>
            <w:rStyle w:val="Hyperlink"/>
          </w:rPr>
          <w:t xml:space="preserve">[11]</w:t>
        </w:r>
      </w:hyperlink>
      <w:r>
        <w:t xml:space="preserve">. When a defense organization buys sensors, tasks telescopes, or funds attribution research, it is acting on a claim that the underlying knowledge base is sound</w:t>
      </w:r>
      <w:r>
        <w:t xml:space="preserve"> </w:t>
      </w:r>
      <w:hyperlink w:anchor="ref-13">
        <w:r>
          <w:rPr>
            <w:rStyle w:val="Hyperlink"/>
          </w:rPr>
          <w:t xml:space="preserve">[13]</w:t>
        </w:r>
      </w:hyperlink>
      <w:r>
        <w:t xml:space="preserve">. A field that looks consolidated but is actually clustered may still be right, yet the appearance of consensus should not be mistaken for the fact of it.</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I commit to one falsifiable proposition, and I state it plainly so that a reader can see exactly what would refute it.</w:t>
      </w:r>
    </w:p>
    <w:p>
      <w:pPr>
        <w:pStyle w:val="BodyText"/>
        <w:spacing w:line="480" w:lineRule="auto"/>
        <w:ind w:firstLine="720"/>
      </w:pPr>
      <w:r>
        <w:t xml:space="preserve">The null hypothesis holds that topic-signal intensity and citation accumulation in the retrieved security literature are unrelated to publication timing and venue structure. The working hypothesis holds that the retrieved corpus shows measurable thematic sorting and an interpretable, age-based attention curve. If the corpus is consolidating in the way its participants often assume, we should see both: denser topic signal organized along an interpretable dimension, and citation accumulation that tracks article age with a measurable elasticity.</w:t>
      </w:r>
    </w:p>
    <w:p>
      <w:pPr>
        <w:pStyle w:val="BodyText"/>
        <w:spacing w:line="480" w:lineRule="auto"/>
        <w:ind w:firstLine="720"/>
      </w:pPr>
      <w:r>
        <w:t xml:space="preserve">The contribution is deliberately modest in scope and sharp in form. Two empirical papers, built on the same thirty-record candidate panel, supply the test. The first estimates whether the composite topic-signal score varies with publication recency, citation attention, and venue family, using ordinary least squares. The second estimates whether citation accumulation follows a log-log learning curve in article age. Together they let me characterize the corpus along two independent axes: what organizes its thematic density, and what, if anything, organizes its attention.</w:t>
      </w:r>
    </w:p>
    <w:p>
      <w:pPr>
        <w:pStyle w:val="BodyText"/>
        <w:spacing w:line="480" w:lineRule="auto"/>
        <w:ind w:firstLine="720"/>
      </w:pPr>
      <w:r>
        <w:t xml:space="preserve">I want to be candid about what a null on either axis would mean. A field can be intellectually alive and still fail these tests. Fragmentation is not failure; it is a stage, and often a productive one. Many fields dwell there. The value of the test is that it replaces an assertion about consolidation with a measurement, and it lets the corpus answer rather than the analyst. A null on the attention axis, paired with structure on the thematic axis, would describe a specific and recognizable condition: a literature clustered by institution but not yet cumulative in the way citation-mature fields are.</w:t>
      </w:r>
    </w:p>
    <w:bookmarkEnd w:id="63"/>
    <w:bookmarkStart w:id="64" w:name="X42e1ec739308b396a6600eb244dc7d3ed180313"/>
    <w:p>
      <w:pPr>
        <w:pStyle w:val="Heading2"/>
        <w:spacing w:line="480" w:lineRule="auto"/>
      </w:pPr>
      <w:r>
        <w:t xml:space="preserve">1.3a Situating the Claim Against the Field’s Rhetoric</w:t>
      </w:r>
    </w:p>
    <w:p>
      <w:pPr>
        <w:pStyle w:val="FirstParagraph"/>
        <w:spacing w:line="480" w:lineRule="auto"/>
      </w:pPr>
      <w:r>
        <w:t xml:space="preserve">It helps to be concrete about the rhetoric this dissertation pushes against. Space-security writing is saturated with the language of arrival. Papers describe a domain that has</w:t>
      </w:r>
      <w:r>
        <w:t xml:space="preserve"> </w:t>
      </w:r>
      <w:r>
        <w:t xml:space="preserve">“come of age,”</w:t>
      </w:r>
      <w:r>
        <w:t xml:space="preserve"> </w:t>
      </w:r>
      <w:r>
        <w:t xml:space="preserve">a discipline that is</w:t>
      </w:r>
      <w:r>
        <w:t xml:space="preserve"> </w:t>
      </w:r>
      <w:r>
        <w:t xml:space="preserve">“rapidly maturing,”</w:t>
      </w:r>
      <w:r>
        <w:t xml:space="preserve"> </w:t>
      </w:r>
      <w:r>
        <w:t xml:space="preserve">and a set of concerns that have</w:t>
      </w:r>
      <w:r>
        <w:t xml:space="preserve"> </w:t>
      </w:r>
      <w:r>
        <w:t xml:space="preserve">“converged”</w:t>
      </w:r>
      <w:r>
        <w:t xml:space="preserve"> </w:t>
      </w:r>
      <w:r>
        <w:t xml:space="preserve">around deterrence and domain awareness</w:t>
      </w:r>
      <w:r>
        <w:t xml:space="preserve"> </w:t>
      </w:r>
      <w:hyperlink w:anchor="ref-1">
        <w:r>
          <w:rPr>
            <w:rStyle w:val="Hyperlink"/>
          </w:rPr>
          <w:t xml:space="preserve">[1]</w:t>
        </w:r>
      </w:hyperlink>
      <w:r>
        <w:t xml:space="preserve"> </w:t>
      </w:r>
      <w:hyperlink w:anchor="ref-2">
        <w:r>
          <w:rPr>
            <w:rStyle w:val="Hyperlink"/>
          </w:rPr>
          <w:t xml:space="preserve">[2]</w:t>
        </w:r>
      </w:hyperlink>
      <w:r>
        <w:t xml:space="preserve">. This vocabulary of maturation is doing analytic work. It tells the reader that the field’s findings can be trusted as a body, that convergence has already occurred, and that the burden of proof lies with anyone who doubts the consensus. The rhetoric, in other words, presumes consolidation and asks the skeptic to disprove it.</w:t>
      </w:r>
    </w:p>
    <w:p>
      <w:pPr>
        <w:pStyle w:val="BodyText"/>
        <w:spacing w:line="480" w:lineRule="auto"/>
        <w:ind w:firstLine="720"/>
      </w:pPr>
      <w:r>
        <w:t xml:space="preserve">I invert that burden. The presumption should run the other way: a field is a loose set of adjacent conversations until its structure demonstrates otherwise. That inversion is not hostile to the space-security literature. It is the ordinary posture of any study that treats a claim as falsifiable rather than assumed. If the corpus shows the fingerprint of consolidation, the maturation rhetoric earns its keep. If it does not, the rhetoric was running ahead of the evidence, and naming that gap is a service to the field rather than an attack on it</w:t>
      </w:r>
      <w:r>
        <w:t xml:space="preserve"> </w:t>
      </w:r>
      <w:hyperlink w:anchor="ref-9">
        <w:r>
          <w:rPr>
            <w:rStyle w:val="Hyperlink"/>
          </w:rPr>
          <w:t xml:space="preserve">[9]</w:t>
        </w:r>
      </w:hyperlink>
      <w:r>
        <w:t xml:space="preserve">.</w:t>
      </w:r>
    </w:p>
    <w:p>
      <w:pPr>
        <w:pStyle w:val="BodyText"/>
        <w:spacing w:line="480" w:lineRule="auto"/>
        <w:ind w:firstLine="720"/>
      </w:pPr>
      <w:r>
        <w:t xml:space="preserve">The inversion also disciplines the analyst. When consolidation is presumed, every shared keyword reads as evidence of convergence, and the reviewer’s integrative reading becomes self-confirming. When consolidation must be demonstrated, shared keywords become a hypothesis to test rather than a conclusion to assert. The topic-signal score and the citation-accumulation curve are the instruments that carry out that test, and they can return a verdict the analyst did not want. That capacity to disappoint is what makes the design worth running A test that cannot fail is no test.</w:t>
      </w:r>
      <w:r>
        <w:t xml:space="preserve"> </w:t>
      </w:r>
      <w:hyperlink w:anchor="ref-4">
        <w:r>
          <w:rPr>
            <w:rStyle w:val="Hyperlink"/>
          </w:rPr>
          <w:t xml:space="preserve">[4]</w:t>
        </w:r>
      </w:hyperlink>
      <w:r>
        <w:t xml:space="preserve"> </w:t>
      </w:r>
      <w:hyperlink w:anchor="ref-11">
        <w:r>
          <w:rPr>
            <w:rStyle w:val="Hyperlink"/>
          </w:rPr>
          <w:t xml:space="preserve">[11]</w:t>
        </w:r>
      </w:hyperlink>
      <w:r>
        <w:t xml:space="preserve">.</w:t>
      </w:r>
    </w:p>
    <w:bookmarkEnd w:id="64"/>
    <w:bookmarkStart w:id="65" w:name="X7f583bb6ef1eebea3fd5726849a9311e26a33df"/>
    <w:p>
      <w:pPr>
        <w:pStyle w:val="Heading2"/>
        <w:spacing w:line="480" w:lineRule="auto"/>
      </w:pPr>
      <w:r>
        <w:t xml:space="preserve">1.3b The Corpus as an Object, Not an Illustration</w:t>
      </w:r>
    </w:p>
    <w:p>
      <w:pPr>
        <w:pStyle w:val="FirstParagraph"/>
        <w:spacing w:line="480" w:lineRule="auto"/>
      </w:pPr>
      <w:r>
        <w:t xml:space="preserve">A methodological commitment underlies the whole study, and stating it early prevents confusion later. I treat the retrieved corpus as an empirical object in its own right, not as an illustration of a prior argument. The distinction is easy to blur. Much space-security scholarship gathers a set of papers to illustrate a thesis the author already holds, selecting records that support the claim and reading them as confirmation</w:t>
      </w:r>
      <w:r>
        <w:t xml:space="preserve"> </w:t>
      </w:r>
      <w:hyperlink w:anchor="ref-2">
        <w:r>
          <w:rPr>
            <w:rStyle w:val="Hyperlink"/>
          </w:rPr>
          <w:t xml:space="preserve">[2]</w:t>
        </w:r>
      </w:hyperlink>
      <w:r>
        <w:t xml:space="preserve"> </w:t>
      </w:r>
      <w:hyperlink w:anchor="ref-5">
        <w:r>
          <w:rPr>
            <w:rStyle w:val="Hyperlink"/>
          </w:rPr>
          <w:t xml:space="preserve">[5]</w:t>
        </w:r>
      </w:hyperlink>
      <w:r>
        <w:t xml:space="preserve">. That is legitimate as exposition, but it cannot test consolidation, because the selection and the reading both bend toward the conclusion.</w:t>
      </w:r>
    </w:p>
    <w:p>
      <w:pPr>
        <w:pStyle w:val="BodyText"/>
        <w:spacing w:line="480" w:lineRule="auto"/>
        <w:ind w:firstLine="720"/>
      </w:pPr>
      <w:r>
        <w:t xml:space="preserve">Treating the corpus as an object means accepting whatever the retrieval produced and asking the data to speak. The thirty records are not curated to prove that the field has or has not consolidated. They are the bounded retrieved set, and their composition, thematic density, venue distribution, and citation profile are facts about the discourse rather than choices about the argument</w:t>
      </w:r>
      <w:r>
        <w:t xml:space="preserve"> </w:t>
      </w:r>
      <w:hyperlink w:anchor="ref-3">
        <w:r>
          <w:rPr>
            <w:rStyle w:val="Hyperlink"/>
          </w:rPr>
          <w:t xml:space="preserve">[3]</w:t>
        </w:r>
      </w:hyperlink>
      <w:r>
        <w:t xml:space="preserve">. This posture has a cost, which Chapter 5 develops: the corpus inherits the retrieval’s gaps and cannot claim to represent the full field. It also has a decisive benefit. The verdict does not depend on the analyst’s convictions, because the analyst did not choose the records to fit a story.</w:t>
      </w:r>
    </w:p>
    <w:p>
      <w:pPr>
        <w:pStyle w:val="BodyText"/>
        <w:spacing w:line="480" w:lineRule="auto"/>
        <w:ind w:firstLine="720"/>
      </w:pPr>
      <w:r>
        <w:t xml:space="preserve">This is why the study can support a genuinely falsifiable contribution. A falsifiable claim requires that the evidence be capable of contradicting it, and evidence curated to illustrate a thesis cannot contradict that thesis. By fixing the corpus first and specifying the tests second, the design creates the conditions under which the data can say no. The chapters that follow honor that structure: theory before results, specification before estimation, and a results chapter that reports the numbers exactly as they came, including the null</w:t>
      </w:r>
      <w:r>
        <w:t xml:space="preserve"> </w:t>
      </w:r>
      <w:hyperlink w:anchor="ref-8">
        <w:r>
          <w:rPr>
            <w:rStyle w:val="Hyperlink"/>
          </w:rPr>
          <w:t xml:space="preserve">[8]</w:t>
        </w:r>
      </w:hyperlink>
      <w:r>
        <w:t xml:space="preserve"> </w:t>
      </w:r>
      <w:hyperlink w:anchor="ref-14">
        <w:r>
          <w:rPr>
            <w:rStyle w:val="Hyperlink"/>
          </w:rPr>
          <w:t xml:space="preserve">[14]</w:t>
        </w:r>
      </w:hyperlink>
      <w:r>
        <w:t xml:space="preserve">.</w:t>
      </w:r>
    </w:p>
    <w:bookmarkEnd w:id="65"/>
    <w:bookmarkStart w:id="66" w:name="roadmap"/>
    <w:p>
      <w:pPr>
        <w:pStyle w:val="Heading2"/>
        <w:spacing w:line="480" w:lineRule="auto"/>
      </w:pPr>
      <w:r>
        <w:t xml:space="preserve">1.4 Roadmap</w:t>
      </w:r>
    </w:p>
    <w:p>
      <w:pPr>
        <w:pStyle w:val="FirstParagraph"/>
        <w:spacing w:line="480" w:lineRule="auto"/>
      </w:pPr>
      <w:r>
        <w:t xml:space="preserve">The dissertation proceeds in eight chapters. Chapter 2 situates the study against prior work, treating the space-security literature both as a subject and as a set of methodological precedents for turning discourse into data</w:t>
      </w:r>
      <w:r>
        <w:t xml:space="preserve"> </w:t>
      </w:r>
      <w:hyperlink w:anchor="ref-1">
        <w:r>
          <w:rPr>
            <w:rStyle w:val="Hyperlink"/>
          </w:rPr>
          <w:t xml:space="preserve">[1]</w:t>
        </w:r>
      </w:hyperlink>
      <w:r>
        <w:t xml:space="preserve"> </w:t>
      </w:r>
      <w:hyperlink w:anchor="ref-9">
        <w:r>
          <w:rPr>
            <w:rStyle w:val="Hyperlink"/>
          </w:rPr>
          <w:t xml:space="preserve">[9]</w:t>
        </w:r>
      </w:hyperlink>
      <w:r>
        <w:t xml:space="preserve"> </w:t>
      </w:r>
      <w:hyperlink w:anchor="ref-11">
        <w:r>
          <w:rPr>
            <w:rStyle w:val="Hyperlink"/>
          </w:rPr>
          <w:t xml:space="preserve">[11]</w:t>
        </w:r>
      </w:hyperlink>
      <w:r>
        <w:t xml:space="preserve">. It maps the counterspace and stability strand, the SSA and sensor strand, and the norms and governance strand, and it identifies the gap: prior work rarely turns a candidate-specific corpus into an empirical object and tests consolidation directly.</w:t>
      </w:r>
    </w:p>
    <w:p>
      <w:pPr>
        <w:pStyle w:val="BodyText"/>
        <w:spacing w:line="480" w:lineRule="auto"/>
        <w:ind w:firstLine="720"/>
      </w:pPr>
      <w:r>
        <w:t xml:space="preserve">Chapter 3 develops the theory. It specifies the mechanism by which a consolidating field would generate denser topic signal in later records and a regular age-based attention curve, and it derives the testable predictions that the two papers evaluate. The chapter is explicit about the alternative outcomes, including the institutional-clustering pattern that a venue-concentrated field would produce.</w:t>
      </w:r>
    </w:p>
    <w:p>
      <w:pPr>
        <w:pStyle w:val="BodyText"/>
        <w:spacing w:line="480" w:lineRule="auto"/>
        <w:ind w:firstLine="720"/>
      </w:pPr>
      <w:r>
        <w:t xml:space="preserve">Chapter 4 sets out the methodology and the identification logic. It explains the OLS specification for Paper 1 and the log-log learning-curve specification for Paper 2, and it argues, carefully and with stated caveats, for what each estimator can and cannot identify given a bounded observational panel.</w:t>
      </w:r>
    </w:p>
    <w:p>
      <w:pPr>
        <w:pStyle w:val="BodyText"/>
        <w:spacing w:line="480" w:lineRule="auto"/>
        <w:ind w:firstLine="720"/>
      </w:pPr>
      <w:r>
        <w:t xml:space="preserve">Chapter 5 describes the data and measurement. It documents the thirty-record panel, the construction of the composite topic-signal score, the recency and age indices, the citation field, and the ordinal venue-family score, and it traces every row back to its source. Chapter 6 reports results, reproducing the estimator output from both papers exactly and interpreting the signs and magnitudes. Chapter 7 discusses what the findings mean and confronts the threats to validity, including the gap between metadata signal and substantive argument quality. Chapter 8 draws conclusions, states the contribution, connects it to governance and program relevance, and sketches the future work that a larger corpus would make possible</w:t>
      </w:r>
      <w:r>
        <w:t xml:space="preserve"> </w:t>
      </w:r>
      <w:hyperlink w:anchor="ref-18">
        <w:r>
          <w:rPr>
            <w:rStyle w:val="Hyperlink"/>
          </w:rPr>
          <w:t xml:space="preserve">[18]</w:t>
        </w:r>
      </w:hyperlink>
      <w:r>
        <w:t xml:space="preserve"> </w:t>
      </w:r>
      <w:hyperlink w:anchor="ref-19">
        <w:r>
          <w:rPr>
            <w:rStyle w:val="Hyperlink"/>
          </w:rPr>
          <w:t xml:space="preserve">[19]</w:t>
        </w:r>
      </w:hyperlink>
      <w:r>
        <w:t xml:space="preserve">.</w:t>
      </w:r>
    </w:p>
    <w:bookmarkEnd w:id="66"/>
    <w:bookmarkStart w:id="67" w:name="a-the-two-papers-as-a-single-instrument"/>
    <w:p>
      <w:pPr>
        <w:pStyle w:val="Heading2"/>
        <w:spacing w:line="480" w:lineRule="auto"/>
      </w:pPr>
      <w:r>
        <w:t xml:space="preserve">1.4a The Two Papers as a Single Instrument</w:t>
      </w:r>
    </w:p>
    <w:p>
      <w:pPr>
        <w:pStyle w:val="FirstParagraph"/>
        <w:spacing w:line="480" w:lineRule="auto"/>
      </w:pPr>
      <w:r>
        <w:t xml:space="preserve">The two empirical papers are best understood not as separate studies but as two halves of a single instrument for reading the corpus. Each half targets a distinct structural property, and neither alone would answer the consolidation question</w:t>
      </w:r>
      <w:r>
        <w:t xml:space="preserve"> </w:t>
      </w:r>
      <w:hyperlink w:anchor="ref-1">
        <w:r>
          <w:rPr>
            <w:rStyle w:val="Hyperlink"/>
          </w:rPr>
          <w:t xml:space="preserve">[1]</w:t>
        </w:r>
      </w:hyperlink>
      <w:r>
        <w:t xml:space="preserve"> </w:t>
      </w:r>
      <w:hyperlink w:anchor="ref-11">
        <w:r>
          <w:rPr>
            <w:rStyle w:val="Hyperlink"/>
          </w:rPr>
          <w:t xml:space="preserve">[11]</w:t>
        </w:r>
      </w:hyperlink>
      <w:r>
        <w:t xml:space="preserve">. The first half reads thematic density: it asks what organizes how densely each record is written into the shared security frame, testing recency, citation attention, and venue as candidate organizers. The second half reads attention accumulation: it asks whether citation attention grows with article age in the patterned way a cumulative field produces.</w:t>
      </w:r>
    </w:p>
    <w:p>
      <w:pPr>
        <w:pStyle w:val="BodyText"/>
        <w:spacing w:line="480" w:lineRule="auto"/>
        <w:ind w:firstLine="720"/>
      </w:pPr>
      <w:r>
        <w:t xml:space="preserve">Pairing the halves is what gives the instrument its diagnostic power. A field consolidating on both properties would register on both halves, with recency driving thematic density and age driving attention</w:t>
      </w:r>
      <w:r>
        <w:t xml:space="preserve"> </w:t>
      </w:r>
      <w:hyperlink w:anchor="ref-3">
        <w:r>
          <w:rPr>
            <w:rStyle w:val="Hyperlink"/>
          </w:rPr>
          <w:t xml:space="preserve">[3]</w:t>
        </w:r>
      </w:hyperlink>
      <w:r>
        <w:t xml:space="preserve">. A field clustered by institution but not yet cumulative would register on the first half through venue and go flat on the second. A genuinely heterogeneous discourse would go flat on both. The three outcomes are distinguishable only because the instrument reads two properties at once, and this is why the design refuses to collapse them into a single consolidation index</w:t>
      </w:r>
      <w:r>
        <w:t xml:space="preserve"> </w:t>
      </w:r>
      <w:hyperlink w:anchor="ref-5">
        <w:r>
          <w:rPr>
            <w:rStyle w:val="Hyperlink"/>
          </w:rPr>
          <w:t xml:space="preserve">[5]</w:t>
        </w:r>
      </w:hyperlink>
      <w:r>
        <w:t xml:space="preserve">. Chapter 3 formalizes these outcomes, and Chapter 6 reports which one the corpus produces.</w:t>
      </w:r>
    </w:p>
    <w:p>
      <w:pPr>
        <w:pStyle w:val="BodyText"/>
        <w:spacing w:line="480" w:lineRule="auto"/>
        <w:ind w:firstLine="720"/>
      </w:pPr>
      <w:r>
        <w:t xml:space="preserve">The instrument is also deliberately blunt, and its bluntness is a virtue here. Both halves use simple, transparent estimators over deterministic variables, so the reader can trace every result back to the raw panel without trusting an opaque model</w:t>
      </w:r>
      <w:r>
        <w:t xml:space="preserve"> </w:t>
      </w:r>
      <w:hyperlink w:anchor="ref-2">
        <w:r>
          <w:rPr>
            <w:rStyle w:val="Hyperlink"/>
          </w:rPr>
          <w:t xml:space="preserve">[2]</w:t>
        </w:r>
      </w:hyperlink>
      <w:r>
        <w:t xml:space="preserve">. A blunt instrument that the reader can fully audit is more persuasive, for a falsifiable structural claim, than a refined one whose inner workings must be taken on faith. The dissertation trades statistical sophistication for auditability, and Chapter 4 defends that trade in detail</w:t>
      </w:r>
      <w:r>
        <w:t xml:space="preserve"> </w:t>
      </w:r>
      <w:hyperlink w:anchor="ref-14">
        <w:r>
          <w:rPr>
            <w:rStyle w:val="Hyperlink"/>
          </w:rPr>
          <w:t xml:space="preserve">[14]</w:t>
        </w:r>
      </w:hyperlink>
      <w:r>
        <w:t xml:space="preserve">.</w:t>
      </w:r>
    </w:p>
    <w:bookmarkEnd w:id="67"/>
    <w:bookmarkStart w:id="68" w:name="a-note-on-what-success-looks-like"/>
    <w:p>
      <w:pPr>
        <w:pStyle w:val="Heading2"/>
        <w:spacing w:line="480" w:lineRule="auto"/>
      </w:pPr>
      <w:r>
        <w:t xml:space="preserve">1.5 A Note on What Success Looks Like</w:t>
      </w:r>
    </w:p>
    <w:p>
      <w:pPr>
        <w:pStyle w:val="FirstParagraph"/>
        <w:spacing w:line="480" w:lineRule="auto"/>
      </w:pPr>
      <w:r>
        <w:t xml:space="preserve">Because the design accepts a null as a legitimate outcome, it is worth saying in advance what a successful dissertation looks like here, so that the reader does not mistake a null for a failure of the study. Success is a clean, well-documented answer to the consolidation question, whatever that answer turns out to be. If the corpus displays the full consolidation fingerprint, the study succeeds by confirming the field’s self-image with evidence rather than assertion. If the corpus displays institutional clustering without cumulative attention, the study succeeds by naming a specific structural condition the field’s rhetoric obscures</w:t>
      </w:r>
      <w:r>
        <w:t xml:space="preserve"> </w:t>
      </w:r>
      <w:hyperlink w:anchor="ref-1">
        <w:r>
          <w:rPr>
            <w:rStyle w:val="Hyperlink"/>
          </w:rPr>
          <w:t xml:space="preserve">[1]</w:t>
        </w:r>
      </w:hyperlink>
      <w:r>
        <w:t xml:space="preserve"> </w:t>
      </w:r>
      <w:hyperlink w:anchor="ref-4">
        <w:r>
          <w:rPr>
            <w:rStyle w:val="Hyperlink"/>
          </w:rPr>
          <w:t xml:space="preserve">[4]</w:t>
        </w:r>
      </w:hyperlink>
      <w:r>
        <w:t xml:space="preserve">. If the corpus shows nothing, no thematic structure and no attention structure, the study succeeds by demonstrating that the retrieved discourse is genuinely heterogeneous.</w:t>
      </w:r>
    </w:p>
    <w:p>
      <w:pPr>
        <w:pStyle w:val="BodyText"/>
        <w:spacing w:line="480" w:lineRule="auto"/>
        <w:ind w:firstLine="720"/>
      </w:pPr>
      <w:r>
        <w:t xml:space="preserve">Each of these outcomes is a result. None is a disappointment. A null still teaches. The only way this design fails is by producing an answer the analyst manufactured rather than the data supplied, and the deterministic variable construction and transparent estimators are precisely the safeguards against that failure</w:t>
      </w:r>
      <w:r>
        <w:t xml:space="preserve"> </w:t>
      </w:r>
      <w:hyperlink w:anchor="ref-2">
        <w:r>
          <w:rPr>
            <w:rStyle w:val="Hyperlink"/>
          </w:rPr>
          <w:t xml:space="preserve">[2]</w:t>
        </w:r>
      </w:hyperlink>
      <w:r>
        <w:t xml:space="preserve"> </w:t>
      </w:r>
      <w:hyperlink w:anchor="ref-5">
        <w:r>
          <w:rPr>
            <w:rStyle w:val="Hyperlink"/>
          </w:rPr>
          <w:t xml:space="preserve">[5]</w:t>
        </w:r>
      </w:hyperlink>
      <w:r>
        <w:t xml:space="preserve">. When Chapter 6 reports a large, significant venue coefficient alongside a flat, insignificant age elasticity, the reader should recognize that pattern as one of the outcomes named here in advance, not as a surprise reverse-engineered after the fact.</w:t>
      </w:r>
    </w:p>
    <w:p>
      <w:pPr>
        <w:pStyle w:val="BodyText"/>
        <w:spacing w:line="480" w:lineRule="auto"/>
        <w:ind w:firstLine="720"/>
      </w:pPr>
      <w:r>
        <w:t xml:space="preserve">There is a second sense in which the study aims to succeed. Beyond answering the consolidation question for this corpus, it offers a portable procedure for asking the same question of any emerging security or technology discourse</w:t>
      </w:r>
      <w:r>
        <w:t xml:space="preserve"> </w:t>
      </w:r>
      <w:hyperlink w:anchor="ref-18">
        <w:r>
          <w:rPr>
            <w:rStyle w:val="Hyperlink"/>
          </w:rPr>
          <w:t xml:space="preserve">[18]</w:t>
        </w:r>
      </w:hyperlink>
      <w:r>
        <w:t xml:space="preserve"> </w:t>
      </w:r>
      <w:hyperlink w:anchor="ref-19">
        <w:r>
          <w:rPr>
            <w:rStyle w:val="Hyperlink"/>
          </w:rPr>
          <w:t xml:space="preserve">[19]</w:t>
        </w:r>
      </w:hyperlink>
      <w:r>
        <w:t xml:space="preserve">. The two-axis test, thematic density and attention accumulation, is not specific to space security, and its value would survive even if this particular corpus proved idiosyncratic. A method that lets a field check its own consolidation claim, cheaply and transparently, is a contribution independent of what any single corpus reveals.</w:t>
      </w:r>
    </w:p>
    <w:p>
      <w:pPr>
        <w:pStyle w:val="BodyText"/>
        <w:spacing w:line="480" w:lineRule="auto"/>
        <w:ind w:firstLine="720"/>
      </w:pPr>
      <w:r>
        <w:t xml:space="preserve">A single thread runs through all of it. The space-security field talks about itself as if it were already whole. This dissertation asks the corpus whether that is true, accepts whatever answer the data give, and treats a null result as information rather than disappointment. The chapters that follow build the case slowly, from prior literature to theory to method to measurement, so that by the time the estimates arrive in Chapter 6 the reader can judge them against a fully specified set of expectations rather than a bare table of numbers.</w:t>
      </w:r>
    </w:p>
    <w:bookmarkEnd w:id="68"/>
    <w:bookmarkEnd w:id="69"/>
    <w:bookmarkStart w:id="79" w:name="chapter-2-literature-review"/>
    <w:p>
      <w:pPr>
        <w:pStyle w:val="Heading1"/>
        <w:spacing w:line="480" w:lineRule="auto"/>
      </w:pPr>
      <w:r>
        <w:t xml:space="preserve">Chapter 2: Literature Review</w:t>
      </w:r>
    </w:p>
    <w:p>
      <w:pPr>
        <w:pStyle w:val="FirstParagraph"/>
        <w:spacing w:line="480" w:lineRule="auto"/>
      </w:pPr>
      <w:r>
        <w:t xml:space="preserve">The literature this dissertation engages is both its subject and its support. It is the subject because the empirical object under study is a retrieved corpus of space-security scholarship. It is the supporting frame because the study borrows, from that same body of work and from adjacent bibliometric traditions, the idea that a discourse can be characterized rather than merely summarized. This chapter maps the terrain in three strands and then names the gap that the two empirical papers are built to fill.</w:t>
      </w:r>
    </w:p>
    <w:bookmarkStart w:id="70" w:name="X45886e821f218a280cf968ff687e2f6e42a6e00"/>
    <w:p>
      <w:pPr>
        <w:pStyle w:val="Heading2"/>
        <w:spacing w:line="480" w:lineRule="auto"/>
      </w:pPr>
      <w:r>
        <w:t xml:space="preserve">2.1 The Counterspace and Strategic Stability Strand</w:t>
      </w:r>
    </w:p>
    <w:p>
      <w:pPr>
        <w:pStyle w:val="FirstParagraph"/>
        <w:spacing w:line="480" w:lineRule="auto"/>
      </w:pPr>
      <w:r>
        <w:t xml:space="preserve">The most self-consciously security-oriented strand treats space as a domain of potential conflict and asks what counterspace capability does to strategic stability. Harrison’s survey of international perspectives on space weapons is a useful anchor: it catalogs how different states frame the weaponization question and shows that even the vocabulary of counterspace is contested across national security cultures</w:t>
      </w:r>
      <w:r>
        <w:t xml:space="preserve"> </w:t>
      </w:r>
      <w:hyperlink w:anchor="ref-1">
        <w:r>
          <w:rPr>
            <w:rStyle w:val="Hyperlink"/>
          </w:rPr>
          <w:t xml:space="preserve">[1]</w:t>
        </w:r>
      </w:hyperlink>
      <w:r>
        <w:t xml:space="preserve"> </w:t>
      </w:r>
      <w:hyperlink w:anchor="ref-9">
        <w:r>
          <w:rPr>
            <w:rStyle w:val="Hyperlink"/>
          </w:rPr>
          <w:t xml:space="preserve">[9]</w:t>
        </w:r>
      </w:hyperlink>
      <w:r>
        <w:t xml:space="preserve">. The paper does not settle the deterrence debate. It documents its dispersion, which is exactly the condition a consolidation test should be sensitive to.</w:t>
      </w:r>
    </w:p>
    <w:p>
      <w:pPr>
        <w:pStyle w:val="BodyText"/>
        <w:spacing w:line="480" w:lineRule="auto"/>
        <w:ind w:firstLine="720"/>
      </w:pPr>
      <w:r>
        <w:t xml:space="preserve">Work on space debris and nuclear strategic stability sharpens the escalation stakes. Dalal, Boley, and Byers argue that collision risk and attribution ambiguity in geostationary orbit create a distinct pathway to instability, because a debris-generating event in GEO can be difficult to attribute and therefore difficult to deter or de-escalate</w:t>
      </w:r>
      <w:r>
        <w:t xml:space="preserve"> </w:t>
      </w:r>
      <w:hyperlink w:anchor="ref-3">
        <w:r>
          <w:rPr>
            <w:rStyle w:val="Hyperlink"/>
          </w:rPr>
          <w:t xml:space="preserve">[3]</w:t>
        </w:r>
      </w:hyperlink>
      <w:r>
        <w:t xml:space="preserve"> </w:t>
      </w:r>
      <w:hyperlink w:anchor="ref-8">
        <w:r>
          <w:rPr>
            <w:rStyle w:val="Hyperlink"/>
          </w:rPr>
          <w:t xml:space="preserve">[8]</w:t>
        </w:r>
      </w:hyperlink>
      <w:r>
        <w:t xml:space="preserve">. The contribution is mechanism-rich. It ties a physical phenomenon, fragmentation and conjunction risk, to a strategic outcome. Related empirical work on the Cosmos 1408 fragmentation quantifies how a single debris-generating event propagates risk to inhabited stations and large constellations, giving the attribution argument a concrete evidentiary base</w:t>
      </w:r>
      <w:r>
        <w:t xml:space="preserve"> </w:t>
      </w:r>
      <w:hyperlink w:anchor="ref-14">
        <w:r>
          <w:rPr>
            <w:rStyle w:val="Hyperlink"/>
          </w:rPr>
          <w:t xml:space="preserve">[14]</w:t>
        </w:r>
      </w:hyperlink>
      <w:r>
        <w:t xml:space="preserve">.</w:t>
      </w:r>
    </w:p>
    <w:p>
      <w:pPr>
        <w:pStyle w:val="BodyText"/>
        <w:spacing w:line="480" w:lineRule="auto"/>
        <w:ind w:firstLine="720"/>
      </w:pPr>
      <w:r>
        <w:t xml:space="preserve">Burden sharing forms a third node in this strand. Analyses of allied space policy, including Australia’s emerging posture, treat orbital defense as a distributed responsibility in which partner states contribute sensors, tracking capacity, and political commitment</w:t>
      </w:r>
      <w:r>
        <w:t xml:space="preserve"> </w:t>
      </w:r>
      <w:hyperlink w:anchor="ref-7">
        <w:r>
          <w:rPr>
            <w:rStyle w:val="Hyperlink"/>
          </w:rPr>
          <w:t xml:space="preserve">[7]</w:t>
        </w:r>
      </w:hyperlink>
      <w:r>
        <w:t xml:space="preserve">. The burden-sharing frame is attractive to alliance managers because it converts an expensive capability problem into a coalition problem. Whether the burden-sharing literature is integrated with the stability literature, or sits beside it, is one of the structural questions this dissertation can help answer.</w:t>
      </w:r>
    </w:p>
    <w:p>
      <w:pPr>
        <w:pStyle w:val="BodyText"/>
        <w:spacing w:line="480" w:lineRule="auto"/>
        <w:ind w:firstLine="720"/>
      </w:pPr>
      <w:r>
        <w:t xml:space="preserve">A security logic unites this strand. Mechanism divides it. The tension is instructive. Some contributions emphasize weapons and intent, others emphasize physical risk and attribution, others emphasize coalition design. A consolidating field would knit these mechanisms into a shared frame. A clustered field would keep them in separate institutional conversations. That contrast motivates the venue variable in Paper 1.</w:t>
      </w:r>
    </w:p>
    <w:bookmarkEnd w:id="70"/>
    <w:bookmarkStart w:id="71" w:name="the-ssa-sensor-and-acquisition-strand"/>
    <w:p>
      <w:pPr>
        <w:pStyle w:val="Heading2"/>
        <w:spacing w:line="480" w:lineRule="auto"/>
      </w:pPr>
      <w:r>
        <w:t xml:space="preserve">2.2 The SSA, Sensor, and Acquisition Strand</w:t>
      </w:r>
    </w:p>
    <w:p>
      <w:pPr>
        <w:pStyle w:val="FirstParagraph"/>
        <w:spacing w:line="480" w:lineRule="auto"/>
      </w:pPr>
      <w:r>
        <w:t xml:space="preserve">A second strand is more operational. It concerns the instruments of space situational awareness: telescopes, radar, atmospheric support for observation, and the acquisition programs that fund them. White’s account of atmospheric support for space situational awareness and space control at the US Naval Observatory is one of the older records in the retrieved corpus, and it reflects an era when SSA was framed primarily as an astronomical and observational problem rather than a security one</w:t>
      </w:r>
      <w:r>
        <w:t xml:space="preserve"> </w:t>
      </w:r>
      <w:hyperlink w:anchor="ref-12">
        <w:r>
          <w:rPr>
            <w:rStyle w:val="Hyperlink"/>
          </w:rPr>
          <w:t xml:space="preserve">[12]</w:t>
        </w:r>
      </w:hyperlink>
      <w:r>
        <w:t xml:space="preserve">. The transformation of the Space Surveillance Telescope into a dedicated sensor in the Space Surveillance Network marks a later moment, when observational assets were explicitly repurposed for domain awareness</w:t>
      </w:r>
      <w:r>
        <w:t xml:space="preserve"> </w:t>
      </w:r>
      <w:hyperlink w:anchor="ref-13">
        <w:r>
          <w:rPr>
            <w:rStyle w:val="Hyperlink"/>
          </w:rPr>
          <w:t xml:space="preserve">[13]</w:t>
        </w:r>
      </w:hyperlink>
      <w:r>
        <w:t xml:space="preserve">.</w:t>
      </w:r>
    </w:p>
    <w:p>
      <w:pPr>
        <w:pStyle w:val="BodyText"/>
        <w:spacing w:line="480" w:lineRule="auto"/>
        <w:ind w:firstLine="720"/>
      </w:pPr>
      <w:r>
        <w:t xml:space="preserve">The acquisition dimension links this strand back to security. Johnson and Daniels’ analysis of trends in US space domain awareness acquisition treats SSA not as a scientific enterprise but as a procurement program with budgetary momentum and institutional stakeholders</w:t>
      </w:r>
      <w:r>
        <w:t xml:space="preserve"> </w:t>
      </w:r>
      <w:hyperlink w:anchor="ref-11">
        <w:r>
          <w:rPr>
            <w:rStyle w:val="Hyperlink"/>
          </w:rPr>
          <w:t xml:space="preserve">[11]</w:t>
        </w:r>
      </w:hyperlink>
      <w:r>
        <w:t xml:space="preserve">. This is important for the present study because acquisition-facing analysis is where discourse meets money. If the security literature is consolidating, we would expect the acquisition strand to draw on and cite the stability and norms strands. If it is clustered, the acquisition conversation may proceed on its own institutional track.</w:t>
      </w:r>
    </w:p>
    <w:p>
      <w:pPr>
        <w:pStyle w:val="BodyText"/>
        <w:spacing w:line="480" w:lineRule="auto"/>
        <w:ind w:firstLine="720"/>
      </w:pPr>
      <w:r>
        <w:t xml:space="preserve">The SSA strand also carries the field’s most concrete capabilities discussion. Radar heritage work, including accounts of the Arecibo Observatory’s legacy and future radar capabilities, documents the physical infrastructure on which attribution and tracking depend</w:t>
      </w:r>
      <w:r>
        <w:t xml:space="preserve"> </w:t>
      </w:r>
      <w:hyperlink w:anchor="ref-20">
        <w:r>
          <w:rPr>
            <w:rStyle w:val="Hyperlink"/>
          </w:rPr>
          <w:t xml:space="preserve">[20]</w:t>
        </w:r>
      </w:hyperlink>
      <w:r>
        <w:t xml:space="preserve">. These are not security papers in the deterrence sense. They are enabling-technology papers, and their presence in a retrieved security corpus raises a measurement question that Chapter 5 confronts directly: how much of the corpus’s thematic signal comes from security argument versus enabling-technology description.</w:t>
      </w:r>
    </w:p>
    <w:p>
      <w:pPr>
        <w:pStyle w:val="BodyText"/>
        <w:spacing w:line="480" w:lineRule="auto"/>
        <w:ind w:firstLine="720"/>
      </w:pPr>
      <w:r>
        <w:t xml:space="preserve">The Japan case study bridges the operational and strategic strands. Young frames national SSA capability as a security good that growing space actors acquire partly to signal alignment and partly to contribute to a shared awareness architecture</w:t>
      </w:r>
      <w:r>
        <w:t xml:space="preserve"> </w:t>
      </w:r>
      <w:hyperlink w:anchor="ref-2">
        <w:r>
          <w:rPr>
            <w:rStyle w:val="Hyperlink"/>
          </w:rPr>
          <w:t xml:space="preserve">[2]</w:t>
        </w:r>
      </w:hyperlink>
      <w:r>
        <w:t xml:space="preserve"> </w:t>
      </w:r>
      <w:hyperlink w:anchor="ref-6">
        <w:r>
          <w:rPr>
            <w:rStyle w:val="Hyperlink"/>
          </w:rPr>
          <w:t xml:space="preserve">[6]</w:t>
        </w:r>
      </w:hyperlink>
      <w:r>
        <w:t xml:space="preserve">. The framing is explicitly comparative and forward-looking, and it treats SSA capability as a marker of a state’s arrival as a serious space-security actor. That framing is precisely the kind of consolidation claim the dissertation tests.</w:t>
      </w:r>
    </w:p>
    <w:bookmarkEnd w:id="71"/>
    <w:bookmarkStart w:id="72" w:name="X8b2c9df09d469f07e3636b3f4cc4e3d3bea6f61"/>
    <w:p>
      <w:pPr>
        <w:pStyle w:val="Heading2"/>
        <w:spacing w:line="480" w:lineRule="auto"/>
      </w:pPr>
      <w:r>
        <w:t xml:space="preserve">2.3 The Norms, Governance, and Hybrid-Threat Strand</w:t>
      </w:r>
    </w:p>
    <w:p>
      <w:pPr>
        <w:pStyle w:val="FirstParagraph"/>
        <w:spacing w:line="480" w:lineRule="auto"/>
      </w:pPr>
      <w:r>
        <w:t xml:space="preserve">The third strand turns from capability to restraint. Porras and Zarkan Cesari argue that the development of space traffic management norms can strengthen security in space, because shared behavioral expectations reduce the ambiguity that drives worst-case interpretation</w:t>
      </w:r>
      <w:r>
        <w:t xml:space="preserve"> </w:t>
      </w:r>
      <w:hyperlink w:anchor="ref-4">
        <w:r>
          <w:rPr>
            <w:rStyle w:val="Hyperlink"/>
          </w:rPr>
          <w:t xml:space="preserve">[4]</w:t>
        </w:r>
      </w:hyperlink>
      <w:r>
        <w:t xml:space="preserve"> </w:t>
      </w:r>
      <w:hyperlink w:anchor="ref-10">
        <w:r>
          <w:rPr>
            <w:rStyle w:val="Hyperlink"/>
          </w:rPr>
          <w:t xml:space="preserve">[10]</w:t>
        </w:r>
      </w:hyperlink>
      <w:r>
        <w:t xml:space="preserve">. The claim is that governance is a security instrument, not merely a safety one. This is a bridging argument by design. It reaches across strands. It tries to connect the safety and security conversations that often run in parallel.</w:t>
      </w:r>
    </w:p>
    <w:p>
      <w:pPr>
        <w:pStyle w:val="BodyText"/>
        <w:spacing w:line="480" w:lineRule="auto"/>
        <w:ind w:firstLine="720"/>
      </w:pPr>
      <w:r>
        <w:t xml:space="preserve">Reis extends the governance conversation into the hybrid-threat space, analyzing European Union defense and security strategy for space and ground-based systems against hybrid threats</w:t>
      </w:r>
      <w:r>
        <w:t xml:space="preserve"> </w:t>
      </w:r>
      <w:hyperlink w:anchor="ref-5">
        <w:r>
          <w:rPr>
            <w:rStyle w:val="Hyperlink"/>
          </w:rPr>
          <w:t xml:space="preserve">[5]</w:t>
        </w:r>
      </w:hyperlink>
      <w:r>
        <w:t xml:space="preserve"> </w:t>
      </w:r>
      <w:hyperlink w:anchor="ref-16">
        <w:r>
          <w:rPr>
            <w:rStyle w:val="Hyperlink"/>
          </w:rPr>
          <w:t xml:space="preserve">[16]</w:t>
        </w:r>
      </w:hyperlink>
      <w:r>
        <w:t xml:space="preserve">. The hybrid-threat framing matters because it blurs the line between counterspace attack and cyber or electronic interference, which complicates attribution and therefore deterrence. Poirier’s work on establishing governance for cyber operations in outer space pushes further, examining the institutional challenges that space and cyber commands face when their mandates overlap</w:t>
      </w:r>
      <w:r>
        <w:t xml:space="preserve"> </w:t>
      </w:r>
      <w:hyperlink w:anchor="ref-17">
        <w:r>
          <w:rPr>
            <w:rStyle w:val="Hyperlink"/>
          </w:rPr>
          <w:t xml:space="preserve">[17]</w:t>
        </w:r>
      </w:hyperlink>
      <w:r>
        <w:t xml:space="preserve">. Together these contributions describe a governance frontier where the security stakes are rising faster than the institutional architecture.</w:t>
      </w:r>
    </w:p>
    <w:p>
      <w:pPr>
        <w:pStyle w:val="BodyText"/>
        <w:spacing w:line="480" w:lineRule="auto"/>
        <w:ind w:firstLine="720"/>
      </w:pPr>
      <w:r>
        <w:t xml:space="preserve">Two more governance-adjacent contributions round out the strand. Long and Chen analyze the institutional bottlenecks and prospects for laser utilization in outer space, a topic that sits at the intersection of capability and restraint because laser systems have both benign and counterspace applications</w:t>
      </w:r>
      <w:r>
        <w:t xml:space="preserve"> </w:t>
      </w:r>
      <w:hyperlink w:anchor="ref-15">
        <w:r>
          <w:rPr>
            <w:rStyle w:val="Hyperlink"/>
          </w:rPr>
          <w:t xml:space="preserve">[15]</w:t>
        </w:r>
      </w:hyperlink>
      <w:r>
        <w:t xml:space="preserve">. Giannopapa and colleagues frame space as an enabler for sustainable digital transformation, situating the new space race within a broader development narrative</w:t>
      </w:r>
      <w:r>
        <w:t xml:space="preserve"> </w:t>
      </w:r>
      <w:hyperlink w:anchor="ref-18">
        <w:r>
          <w:rPr>
            <w:rStyle w:val="Hyperlink"/>
          </w:rPr>
          <w:t xml:space="preserve">[18]</w:t>
        </w:r>
      </w:hyperlink>
      <w:r>
        <w:t xml:space="preserve">. These records widen the corpus beyond pure security, and their presence tests whether the retrieved literature is a tight security conversation or a broader space-policy conversation with a security tint.</w:t>
      </w:r>
    </w:p>
    <w:bookmarkEnd w:id="72"/>
    <w:bookmarkStart w:id="73" w:name="X9b43996baaba5e81a05776cfaf1d4df7906a743"/>
    <w:p>
      <w:pPr>
        <w:pStyle w:val="Heading2"/>
        <w:spacing w:line="480" w:lineRule="auto"/>
      </w:pPr>
      <w:r>
        <w:t xml:space="preserve">2.4 Bibliometric and Discourse-Structure Precedents</w:t>
      </w:r>
    </w:p>
    <w:p>
      <w:pPr>
        <w:pStyle w:val="FirstParagraph"/>
        <w:spacing w:line="480" w:lineRule="auto"/>
      </w:pPr>
      <w:r>
        <w:t xml:space="preserve">The methodological move at the heart of this dissertation, treating a corpus as an empirical object and testing its structure, has precedent in how the field measures its own instruments and outputs. Systematic reviews in the space engineering literature, such as the review of engineering and testing approaches for radiation hardness assurance in commercial space avionics, demonstrate that the field is comfortable turning a body of technical work into a structured, countable object</w:t>
      </w:r>
      <w:r>
        <w:t xml:space="preserve"> </w:t>
      </w:r>
      <w:hyperlink w:anchor="ref-21">
        <w:r>
          <w:rPr>
            <w:rStyle w:val="Hyperlink"/>
          </w:rPr>
          <w:t xml:space="preserve">[21]</w:t>
        </w:r>
      </w:hyperlink>
      <w:r>
        <w:t xml:space="preserve">. The planetary defense literature offers a parallel, where DART’s results are assessed against a forward-looking program rather than in isolation</w:t>
      </w:r>
      <w:r>
        <w:t xml:space="preserve"> </w:t>
      </w:r>
      <w:hyperlink w:anchor="ref-19">
        <w:r>
          <w:rPr>
            <w:rStyle w:val="Hyperlink"/>
          </w:rPr>
          <w:t xml:space="preserve">[19]</w:t>
        </w:r>
      </w:hyperlink>
      <w:r>
        <w:t xml:space="preserve">. These are not discourse-structure studies, but they establish that quantitative characterization of a literature is a recognized analytic form within space research.</w:t>
      </w:r>
    </w:p>
    <w:p>
      <w:pPr>
        <w:pStyle w:val="BodyText"/>
        <w:spacing w:line="480" w:lineRule="auto"/>
        <w:ind w:firstLine="720"/>
      </w:pPr>
      <w:r>
        <w:t xml:space="preserve">What these precedents share is a willingness to count, classify, and compare rather than only to narrate. The present study applies that disposition to the security discourse itself. Instead of counting radiation-hardness test methods or impact-mission outcomes, it counts thematic-signal density and citation accumulation across a bounded security corpus, and it asks whether those counts show the pattern a consolidating field would produce.</w:t>
      </w:r>
    </w:p>
    <w:bookmarkEnd w:id="73"/>
    <w:bookmarkStart w:id="74" w:name="Xf02ef8ea821cf2a1a5ab0cf5875e40dabdd9e4f"/>
    <w:p>
      <w:pPr>
        <w:pStyle w:val="Heading2"/>
        <w:spacing w:line="480" w:lineRule="auto"/>
      </w:pPr>
      <w:r>
        <w:t xml:space="preserve">2.4a How the Three Strands Talk Past One Another</w:t>
      </w:r>
    </w:p>
    <w:p>
      <w:pPr>
        <w:pStyle w:val="FirstParagraph"/>
        <w:spacing w:line="480" w:lineRule="auto"/>
      </w:pPr>
      <w:r>
        <w:t xml:space="preserve">Mapping the strands separately understates the analytic point. What matters for consolidation is not that each strand is developed but whether the strands engage one another, and a close reading suggests they often do not. The counterspace-and-stability strand speaks the language of escalation, attribution, and deterrence, and it treats space as a theater of potential conflict</w:t>
      </w:r>
      <w:r>
        <w:t xml:space="preserve"> </w:t>
      </w:r>
      <w:hyperlink w:anchor="ref-3">
        <w:r>
          <w:rPr>
            <w:rStyle w:val="Hyperlink"/>
          </w:rPr>
          <w:t xml:space="preserve">[3]</w:t>
        </w:r>
      </w:hyperlink>
      <w:r>
        <w:t xml:space="preserve"> </w:t>
      </w:r>
      <w:hyperlink w:anchor="ref-9">
        <w:r>
          <w:rPr>
            <w:rStyle w:val="Hyperlink"/>
          </w:rPr>
          <w:t xml:space="preserve">[9]</w:t>
        </w:r>
      </w:hyperlink>
      <w:r>
        <w:t xml:space="preserve">. The SSA-and-sensor strand speaks the language of tracking accuracy, sensor tasking, and acquisition programs, and it treats space as a domain to be observed</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The norms-and-governance strand speaks the language of behavioral expectations, institutional design, and restraint, and it treats space as a commons to be regulated</w:t>
      </w:r>
      <w:r>
        <w:t xml:space="preserve"> </w:t>
      </w:r>
      <w:hyperlink w:anchor="ref-4">
        <w:r>
          <w:rPr>
            <w:rStyle w:val="Hyperlink"/>
          </w:rPr>
          <w:t xml:space="preserve">[4]</w:t>
        </w:r>
      </w:hyperlink>
      <w:r>
        <w:t xml:space="preserve"> </w:t>
      </w:r>
      <w:hyperlink w:anchor="ref-10">
        <w:r>
          <w:rPr>
            <w:rStyle w:val="Hyperlink"/>
          </w:rPr>
          <w:t xml:space="preserve">[10]</w:t>
        </w:r>
      </w:hyperlink>
      <w:r>
        <w:t xml:space="preserve">. These are three distinct idioms, and a paper fluent in one is frequently silent in the others. The idioms rarely translate.</w:t>
      </w:r>
    </w:p>
    <w:p>
      <w:pPr>
        <w:pStyle w:val="BodyText"/>
        <w:spacing w:line="480" w:lineRule="auto"/>
        <w:ind w:firstLine="720"/>
      </w:pPr>
      <w:r>
        <w:t xml:space="preserve">The silence is not accidental. It is structural. Each idiom is anchored in a different institutional home with its own reviewers, conferences, and evaluative standards. The acquisition analyst writing for a defense-procurement audience has little incentive to engage the normative-restraint literature, and the norms scholar writing for a governance audience rarely cites sensor-transformation papers</w:t>
      </w:r>
      <w:r>
        <w:t xml:space="preserve"> </w:t>
      </w:r>
      <w:hyperlink w:anchor="ref-11">
        <w:r>
          <w:rPr>
            <w:rStyle w:val="Hyperlink"/>
          </w:rPr>
          <w:t xml:space="preserve">[11]</w:t>
        </w:r>
      </w:hyperlink>
      <w:r>
        <w:t xml:space="preserve"> </w:t>
      </w:r>
      <w:hyperlink w:anchor="ref-17">
        <w:r>
          <w:rPr>
            <w:rStyle w:val="Hyperlink"/>
          </w:rPr>
          <w:t xml:space="preserve">[17]</w:t>
        </w:r>
      </w:hyperlink>
      <w:r>
        <w:t xml:space="preserve">. The result is a discourse that shares a subject, counterspace capability and its consequences, while fragmenting into idioms that do not readily translate. A consolidating field would build the translation layer that lets the idioms speak; a clustered field leaves the idioms in their separate homes.</w:t>
      </w:r>
    </w:p>
    <w:p>
      <w:pPr>
        <w:pStyle w:val="BodyText"/>
        <w:spacing w:line="480" w:lineRule="auto"/>
        <w:ind w:firstLine="720"/>
      </w:pPr>
      <w:r>
        <w:t xml:space="preserve">This is exactly the condition a structural test can detect. If the idioms remain venue-bound, thematic-signal density should concentrate by venue, because each venue community deposits its own idiom’s vocabulary most densely</w:t>
      </w:r>
      <w:r>
        <w:t xml:space="preserve"> </w:t>
      </w:r>
      <w:hyperlink w:anchor="ref-5">
        <w:r>
          <w:rPr>
            <w:rStyle w:val="Hyperlink"/>
          </w:rPr>
          <w:t xml:space="preserve">[5]</w:t>
        </w:r>
      </w:hyperlink>
      <w:r>
        <w:t xml:space="preserve">. If the idioms have begun to translate, thematic signal should distribute across venues as a shared vocabulary emerges. The venue variable in Paper 1 is therefore not an incidental control. It is the instrument that measures whether the three idioms have started to merge or remain apart, and the literature reviewed here gives ample reason to expect the latter.</w:t>
      </w:r>
    </w:p>
    <w:bookmarkEnd w:id="74"/>
    <w:bookmarkStart w:id="75" w:name="Xcb86098346a30ef51ce92f2ffa29b0d373b9e46"/>
    <w:p>
      <w:pPr>
        <w:pStyle w:val="Heading2"/>
        <w:spacing w:line="480" w:lineRule="auto"/>
      </w:pPr>
      <w:r>
        <w:t xml:space="preserve">2.4b Attention as a Second, Independent Signal</w:t>
      </w:r>
    </w:p>
    <w:p>
      <w:pPr>
        <w:pStyle w:val="FirstParagraph"/>
        <w:spacing w:line="480" w:lineRule="auto"/>
      </w:pPr>
      <w:r>
        <w:t xml:space="preserve">Thematic density is one signal of consolidation; the distribution of citation attention is another, and the two are logically independent. A field could develop a shared vocabulary without developing a cumulative citation structure, or accumulate attention around a few foundational works without converging on a common frame</w:t>
      </w:r>
      <w:r>
        <w:t xml:space="preserve"> </w:t>
      </w:r>
      <w:hyperlink w:anchor="ref-11">
        <w:r>
          <w:rPr>
            <w:rStyle w:val="Hyperlink"/>
          </w:rPr>
          <w:t xml:space="preserve">[11]</w:t>
        </w:r>
      </w:hyperlink>
      <w:r>
        <w:t xml:space="preserve"> </w:t>
      </w:r>
      <w:hyperlink w:anchor="ref-14">
        <w:r>
          <w:rPr>
            <w:rStyle w:val="Hyperlink"/>
          </w:rPr>
          <w:t xml:space="preserve">[14]</w:t>
        </w:r>
      </w:hyperlink>
      <w:r>
        <w:t xml:space="preserve">. Because the signals are independent, a complete structural test must examine both, and the prior literature offers reasons to expect them to diverge in the space-security case.</w:t>
      </w:r>
    </w:p>
    <w:p>
      <w:pPr>
        <w:pStyle w:val="BodyText"/>
        <w:spacing w:line="480" w:lineRule="auto"/>
        <w:ind w:firstLine="720"/>
      </w:pPr>
      <w:r>
        <w:t xml:space="preserve">Citation attention in this literature is concentrated in the journal stream, where indexing is thorough and where a handful of records, on debris fragmentation, on space as an enabler of digital transformation, on planetary defense, have gathered substantial counts</w:t>
      </w:r>
      <w:r>
        <w:t xml:space="preserve"> </w:t>
      </w:r>
      <w:hyperlink w:anchor="ref-14">
        <w:r>
          <w:rPr>
            <w:rStyle w:val="Hyperlink"/>
          </w:rPr>
          <w:t xml:space="preserve">[14]</w:t>
        </w:r>
      </w:hyperlink>
      <w:r>
        <w:t xml:space="preserve"> </w:t>
      </w:r>
      <w:hyperlink w:anchor="ref-18">
        <w:r>
          <w:rPr>
            <w:rStyle w:val="Hyperlink"/>
          </w:rPr>
          <w:t xml:space="preserve">[18]</w:t>
        </w:r>
      </w:hyperlink>
      <w:r>
        <w:t xml:space="preserve"> </w:t>
      </w:r>
      <w:hyperlink w:anchor="ref-19">
        <w:r>
          <w:rPr>
            <w:rStyle w:val="Hyperlink"/>
          </w:rPr>
          <w:t xml:space="preserve">[19]</w:t>
        </w:r>
      </w:hyperlink>
      <w:r>
        <w:t xml:space="preserve">. The conference stream, where the security idiom is densest, is less consistently indexed for citation, so its attention is systematically undercounted</w:t>
      </w:r>
      <w:r>
        <w:t xml:space="preserve"> </w:t>
      </w:r>
      <w:hyperlink w:anchor="ref-1">
        <w:r>
          <w:rPr>
            <w:rStyle w:val="Hyperlink"/>
          </w:rPr>
          <w:t xml:space="preserve">[1]</w:t>
        </w:r>
      </w:hyperlink>
      <w:r>
        <w:t xml:space="preserve">. This asymmetry means the two signals may point in opposite directions: the security frame concentrates where citation attention is thinnest, and citation attention concentrates where the security frame is most diffuse. Detecting that inversion is one of the things the two-paper design is built to do.</w:t>
      </w:r>
    </w:p>
    <w:p>
      <w:pPr>
        <w:pStyle w:val="BodyText"/>
        <w:spacing w:line="480" w:lineRule="auto"/>
        <w:ind w:firstLine="720"/>
      </w:pPr>
      <w:r>
        <w:t xml:space="preserve">The bibliometric precedent for reading attention as a structural signal is well established in the field’s own systematic reviews, which routinely treat citation and coverage as measurable properties of a literature rather than as incidental metadata</w:t>
      </w:r>
      <w:r>
        <w:t xml:space="preserve"> </w:t>
      </w:r>
      <w:hyperlink w:anchor="ref-21">
        <w:r>
          <w:rPr>
            <w:rStyle w:val="Hyperlink"/>
          </w:rPr>
          <w:t xml:space="preserve">[21]</w:t>
        </w:r>
      </w:hyperlink>
      <w:r>
        <w:t xml:space="preserve">. The present study extends that habit from technical review to discourse structure, asking not how often a method is tested but whether attention across the security corpus accumulates in the patterned way a cumulative field would produce. The prior literature, read carefully, predicts that it does not.</w:t>
      </w:r>
    </w:p>
    <w:bookmarkEnd w:id="75"/>
    <w:bookmarkStart w:id="76" w:name="the-gap"/>
    <w:p>
      <w:pPr>
        <w:pStyle w:val="Heading2"/>
        <w:spacing w:line="480" w:lineRule="auto"/>
      </w:pPr>
      <w:r>
        <w:t xml:space="preserve">2.5 The Gap</w:t>
      </w:r>
    </w:p>
    <w:p>
      <w:pPr>
        <w:pStyle w:val="FirstParagraph"/>
        <w:spacing w:line="480" w:lineRule="auto"/>
      </w:pPr>
      <w:r>
        <w:t xml:space="preserve">The three strands are individually well developed. Each stands on its own. Each has coherent internal debates, recognizable contributors, and a defensible claim to importance. What the strands lack is a demonstration that they cohere with one another into a consolidated field rather than persisting as adjacent institutional conversations. That demonstration is missing. Reviews of the space-security literature typically assert consolidation through synthesis: the reviewer reads across the strands, notices shared concerns, and declares a field. That method cannot distinguish genuine consolidation from the reviewer’s own integrative reading.</w:t>
      </w:r>
    </w:p>
    <w:p>
      <w:pPr>
        <w:pStyle w:val="BodyText"/>
        <w:spacing w:line="480" w:lineRule="auto"/>
        <w:ind w:firstLine="720"/>
      </w:pPr>
      <w:r>
        <w:t xml:space="preserve">The specific gap is this. No prior work in the retrieved corpus turns a candidate-specific source set into an empirical object and tests, directly, whether the discourse is consolidating along measurable dimensions of recency, venue, and attention accumulation</w:t>
      </w:r>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11">
        <w:r>
          <w:rPr>
            <w:rStyle w:val="Hyperlink"/>
          </w:rPr>
          <w:t xml:space="preserve">[11]</w:t>
        </w:r>
      </w:hyperlink>
      <w:r>
        <w:t xml:space="preserve">. The consolidation claim is everywhere assumed and nowhere measured. This dissertation fills that gap with two narrow, falsifiable tests. Paper 1 asks what organizes thematic-signal density across the corpus. Paper 2 asks whether citation attention accumulates with article age in the regular way a cumulative field would show. The chapters that follow specify the mechanism, the identification, and the measurement that make those tests interpretable, and Chapter 6 reports what the corpus actually reveals when asked.</w:t>
      </w:r>
    </w:p>
    <w:bookmarkEnd w:id="76"/>
    <w:bookmarkStart w:id="77" w:name="what-this-review-deliberately-excludes"/>
    <w:p>
      <w:pPr>
        <w:pStyle w:val="Heading2"/>
        <w:spacing w:line="480" w:lineRule="auto"/>
      </w:pPr>
      <w:r>
        <w:t xml:space="preserve">2.6 What This Review Deliberately Excludes</w:t>
      </w:r>
    </w:p>
    <w:p>
      <w:pPr>
        <w:pStyle w:val="FirstParagraph"/>
        <w:spacing w:line="480" w:lineRule="auto"/>
      </w:pPr>
      <w:r>
        <w:t xml:space="preserve">A responsible literature review states its boundaries. This one excludes several adjacent bodies of work, and the exclusions are principled rather than incidental. It does not survey the general international-relations deterrence literature, because the object of study is the retrieved space-security corpus, not the theory of deterrence at large</w:t>
      </w:r>
      <w:r>
        <w:t xml:space="preserve"> </w:t>
      </w:r>
      <w:hyperlink w:anchor="ref-1">
        <w:r>
          <w:rPr>
            <w:rStyle w:val="Hyperlink"/>
          </w:rPr>
          <w:t xml:space="preserve">[1]</w:t>
        </w:r>
      </w:hyperlink>
      <w:r>
        <w:t xml:space="preserve"> </w:t>
      </w:r>
      <w:hyperlink w:anchor="ref-9">
        <w:r>
          <w:rPr>
            <w:rStyle w:val="Hyperlink"/>
          </w:rPr>
          <w:t xml:space="preserve">[9]</w:t>
        </w:r>
      </w:hyperlink>
      <w:r>
        <w:t xml:space="preserve">. It does not survey the technical astrodynamics literature except where a record enters the retrieved corpus, because the study measures discourse structure rather than orbital mechanics</w:t>
      </w:r>
      <w:r>
        <w:t xml:space="preserve"> </w:t>
      </w:r>
      <w:hyperlink w:anchor="ref-14">
        <w:r>
          <w:rPr>
            <w:rStyle w:val="Hyperlink"/>
          </w:rPr>
          <w:t xml:space="preserve">[14]</w:t>
        </w:r>
      </w:hyperlink>
      <w:r>
        <w:t xml:space="preserve"> </w:t>
      </w:r>
      <w:hyperlink w:anchor="ref-20">
        <w:r>
          <w:rPr>
            <w:rStyle w:val="Hyperlink"/>
          </w:rPr>
          <w:t xml:space="preserve">[20]</w:t>
        </w:r>
      </w:hyperlink>
      <w:r>
        <w:t xml:space="preserve">. And it does not attempt a comprehensive census of space policy, because the panel is a bounded retrieved set and the review is scoped to the records that panel contains</w:t>
      </w:r>
      <w:r>
        <w:t xml:space="preserve"> </w:t>
      </w:r>
      <w:hyperlink w:anchor="ref-18">
        <w:r>
          <w:rPr>
            <w:rStyle w:val="Hyperlink"/>
          </w:rPr>
          <w:t xml:space="preserve">[18]</w:t>
        </w:r>
      </w:hyperlink>
      <w:r>
        <w:t xml:space="preserve">.</w:t>
      </w:r>
    </w:p>
    <w:p>
      <w:pPr>
        <w:pStyle w:val="BodyText"/>
        <w:spacing w:line="480" w:lineRule="auto"/>
        <w:ind w:firstLine="720"/>
      </w:pPr>
      <w:r>
        <w:t xml:space="preserve">These exclusions matter for interpreting the results. A reader might object that the space-security field is broader than the reviewed strands, and that objection is correct. The dissertation does not claim to characterize the entire field. It claims to characterize the retrieved corpus, and the review is bounded to the literature that corpus draws on so that the empirical object and its scholarly context remain aligned</w:t>
      </w:r>
      <w:r>
        <w:t xml:space="preserve"> </w:t>
      </w:r>
      <w:hyperlink w:anchor="ref-3">
        <w:r>
          <w:rPr>
            <w:rStyle w:val="Hyperlink"/>
          </w:rPr>
          <w:t xml:space="preserve">[3]</w:t>
        </w:r>
      </w:hyperlink>
      <w:r>
        <w:t xml:space="preserve">. Chapter 5 makes this alignment explicit by tracing every panel record to its source, and Chapter 8 treats the extension to a broader, differently sampled corpus as the primary avenue for future work.</w:t>
      </w:r>
    </w:p>
    <w:p>
      <w:pPr>
        <w:pStyle w:val="BodyText"/>
        <w:spacing w:line="480" w:lineRule="auto"/>
        <w:ind w:firstLine="720"/>
      </w:pPr>
      <w:r>
        <w:t xml:space="preserve">The review also excludes evaluation of substantive argument quality, and this exclusion is the most consequential. Nothing in the reviewed strands is assessed for whether its deterrence claim is sound or its governance proposal is workable</w:t>
      </w:r>
      <w:r>
        <w:t xml:space="preserve"> </w:t>
      </w:r>
      <w:hyperlink w:anchor="ref-4">
        <w:r>
          <w:rPr>
            <w:rStyle w:val="Hyperlink"/>
          </w:rPr>
          <w:t xml:space="preserve">[4]</w:t>
        </w:r>
      </w:hyperlink>
      <w:r>
        <w:t xml:space="preserve"> </w:t>
      </w:r>
      <w:hyperlink w:anchor="ref-10">
        <w:r>
          <w:rPr>
            <w:rStyle w:val="Hyperlink"/>
          </w:rPr>
          <w:t xml:space="preserve">[10]</w:t>
        </w:r>
      </w:hyperlink>
      <w:r>
        <w:t xml:space="preserve">. That restraint is deliberate. The study measures where the security vocabulary concentrates and how attention accumulates, not which arguments are correct. A field could be institutionally clustered and still house its most rigorous work in the diffusely framed journal stream, and the structural test would neither detect nor deny that possibility. Keeping quality assessment out of scope is what allows the thematic-density and attention measures to remain clean structural signals</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77"/>
    <w:bookmarkStart w:id="78" w:name="X3c0dc169b3b69fab84501794b40dad78ea77bcb"/>
    <w:p>
      <w:pPr>
        <w:pStyle w:val="Heading2"/>
        <w:spacing w:line="480" w:lineRule="auto"/>
      </w:pPr>
      <w:r>
        <w:t xml:space="preserve">2.7 The Enabling-Technology Records and Their Role</w:t>
      </w:r>
    </w:p>
    <w:p>
      <w:pPr>
        <w:pStyle w:val="FirstParagraph"/>
        <w:spacing w:line="480" w:lineRule="auto"/>
      </w:pPr>
      <w:r>
        <w:t xml:space="preserve">A subset of the reviewed literature sits uneasily between security argument and enabling-technology description, and the review must account for it because these records populate the corpus. Radar heritage work on the Arecibo Observatory, sensor-transformation work on the Space Surveillance Telescope, and radiation-hardness review of commercial avionics are not security papers in the deterrence sense</w:t>
      </w:r>
      <w:r>
        <w:t xml:space="preserve"> </w:t>
      </w:r>
      <w:hyperlink w:anchor="ref-13">
        <w:r>
          <w:rPr>
            <w:rStyle w:val="Hyperlink"/>
          </w:rPr>
          <w:t xml:space="preserve">[13]</w:t>
        </w:r>
      </w:hyperlink>
      <w:r>
        <w:t xml:space="preserve"> </w:t>
      </w:r>
      <w:hyperlink w:anchor="ref-20">
        <w:r>
          <w:rPr>
            <w:rStyle w:val="Hyperlink"/>
          </w:rPr>
          <w:t xml:space="preserve">[20]</w:t>
        </w:r>
      </w:hyperlink>
      <w:r>
        <w:t xml:space="preserve"> </w:t>
      </w:r>
      <w:hyperlink w:anchor="ref-21">
        <w:r>
          <w:rPr>
            <w:rStyle w:val="Hyperlink"/>
          </w:rPr>
          <w:t xml:space="preserve">[21]</w:t>
        </w:r>
      </w:hyperlink>
      <w:r>
        <w:t xml:space="preserve">. They describe the physical and engineering substrate on which domain awareness and attribution depend. Their presence in a retrieved security corpus is itself informative about how the field defines its own boundaries.</w:t>
      </w:r>
    </w:p>
    <w:p>
      <w:pPr>
        <w:pStyle w:val="BodyText"/>
        <w:spacing w:line="480" w:lineRule="auto"/>
        <w:ind w:firstLine="720"/>
      </w:pPr>
      <w:r>
        <w:t xml:space="preserve">Two readings of these records are possible, and the structural test can help adjudicate between them. On one reading, the enabling-technology records are integral to the security discourse, because deterrence and attribution are impossible without the sensing infrastructure they document</w:t>
      </w:r>
      <w:r>
        <w:t xml:space="preserve"> </w:t>
      </w:r>
      <w:hyperlink w:anchor="ref-12">
        <w:r>
          <w:rPr>
            <w:rStyle w:val="Hyperlink"/>
          </w:rPr>
          <w:t xml:space="preserve">[12]</w:t>
        </w:r>
      </w:hyperlink>
      <w:r>
        <w:t xml:space="preserve"> </w:t>
      </w:r>
      <w:hyperlink w:anchor="ref-20">
        <w:r>
          <w:rPr>
            <w:rStyle w:val="Hyperlink"/>
          </w:rPr>
          <w:t xml:space="preserve">[20]</w:t>
        </w:r>
      </w:hyperlink>
      <w:r>
        <w:t xml:space="preserve">. On this view, a consolidating field would weave the technology records into the security frame, and their thematic signal would rise alongside the explicitly strategic records. On the competing reading, the technology records are a parallel engineering conversation that the retrieval swept in, adjacent to security rather than part of it. On this view, they would deposit sparse security-frame vocabulary and sit at the low end of the topic-signal distribution.</w:t>
      </w:r>
    </w:p>
    <w:p>
      <w:pPr>
        <w:pStyle w:val="BodyText"/>
        <w:spacing w:line="480" w:lineRule="auto"/>
        <w:ind w:firstLine="720"/>
      </w:pPr>
      <w:r>
        <w:t xml:space="preserve">Which reading holds is an empirical question the corpus can answer, and it bears directly on the consolidation claim. If the enabling-technology records carry dense security signal, the field has integrated its infrastructure into its strategic frame, a mark of consolidation</w:t>
      </w:r>
      <w:r>
        <w:t xml:space="preserve"> </w:t>
      </w:r>
      <w:hyperlink w:anchor="ref-11">
        <w:r>
          <w:rPr>
            <w:rStyle w:val="Hyperlink"/>
          </w:rPr>
          <w:t xml:space="preserve">[11]</w:t>
        </w:r>
      </w:hyperlink>
      <w:r>
        <w:t xml:space="preserve">. If they carry sparse signal, the field’s security discourse and its engineering substrate remain distinct conversations, a mark of clustering</w:t>
      </w:r>
      <w:r>
        <w:t xml:space="preserve"> </w:t>
      </w:r>
      <w:hyperlink w:anchor="ref-21">
        <w:r>
          <w:rPr>
            <w:rStyle w:val="Hyperlink"/>
          </w:rPr>
          <w:t xml:space="preserve">[21]</w:t>
        </w:r>
      </w:hyperlink>
      <w:r>
        <w:t xml:space="preserve">. The topic-signal score measures exactly this, and Chapter 5 documents where these records fall in the distribution, giving the review’s boundary question a quantitative answer rather than an assumed one</w:t>
      </w:r>
      <w:r>
        <w:t xml:space="preserve"> </w:t>
      </w:r>
      <w:hyperlink w:anchor="ref-5">
        <w:r>
          <w:rPr>
            <w:rStyle w:val="Hyperlink"/>
          </w:rPr>
          <w:t xml:space="preserve">[5]</w:t>
        </w:r>
      </w:hyperlink>
      <w:r>
        <w:t xml:space="preserve">.</w:t>
      </w:r>
    </w:p>
    <w:bookmarkEnd w:id="78"/>
    <w:bookmarkEnd w:id="79"/>
    <w:bookmarkStart w:id="89" w:name="chapter-3-theory-and-hypotheses"/>
    <w:p>
      <w:pPr>
        <w:pStyle w:val="Heading1"/>
        <w:spacing w:line="480" w:lineRule="auto"/>
      </w:pPr>
      <w:r>
        <w:t xml:space="preserve">Chapter 3: Theory and Hypotheses</w:t>
      </w:r>
    </w:p>
    <w:p>
      <w:pPr>
        <w:pStyle w:val="FirstParagraph"/>
        <w:spacing w:line="480" w:lineRule="auto"/>
      </w:pPr>
      <w:r>
        <w:t xml:space="preserve">A dissertation that measures whether a literature is consolidating needs a theory of what consolidation would do to the observable structure of that literature. Without such a theory the empirical tests are just correlations in search of a story. This chapter supplies the mechanism, derives the testable predictions, and states the alternatives clearly enough that a reader can see what pattern would confirm consolidation and what pattern would refute it.</w:t>
      </w:r>
    </w:p>
    <w:bookmarkStart w:id="80" w:name="what-consolidation-means-here"/>
    <w:p>
      <w:pPr>
        <w:pStyle w:val="Heading2"/>
        <w:spacing w:line="480" w:lineRule="auto"/>
      </w:pPr>
      <w:r>
        <w:t xml:space="preserve">3.1 What Consolidation Means Here</w:t>
      </w:r>
    </w:p>
    <w:p>
      <w:pPr>
        <w:pStyle w:val="FirstParagraph"/>
        <w:spacing w:line="480" w:lineRule="auto"/>
      </w:pPr>
      <w:r>
        <w:t xml:space="preserve">Consolidation is not the same as activity. The two differ sharply. A field can produce many papers, attract funding, and generate conference sessions while remaining a loose set of adjacent conversations. I define consolidation structurally: a field is consolidating when its contributions increasingly share a vocabulary and a problem frame, and when attention accumulates across the field in a patterned rather than idiosyncratic way. Two observable consequences follow from that definition, and they map onto the two empirical papers.</w:t>
      </w:r>
    </w:p>
    <w:p>
      <w:pPr>
        <w:pStyle w:val="BodyText"/>
        <w:spacing w:line="480" w:lineRule="auto"/>
        <w:ind w:firstLine="720"/>
      </w:pPr>
      <w:r>
        <w:t xml:space="preserve">Start with thematic density. As a field consolidates, later contributions inherit a more stable shared vocabulary. Authors writing into a mature conversation reuse established terms, cite a recognized problem frame, and signal membership through thematic markers</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composite topic-signal score is designed to capture this. If consolidation is proceeding, thematic density should rise with recency, because newer papers write into a denser shared frame than older ones did.</w:t>
      </w:r>
    </w:p>
    <w:p>
      <w:pPr>
        <w:pStyle w:val="BodyText"/>
        <w:spacing w:line="480" w:lineRule="auto"/>
        <w:ind w:firstLine="720"/>
      </w:pPr>
      <w:r>
        <w:t xml:space="preserve">Attention is the second consequence. In a cumulative field, citation attention accumulates with age in a regular way, because foundational contributions gather citations as the field builds on them</w:t>
      </w:r>
      <w:r>
        <w:t xml:space="preserve"> </w:t>
      </w:r>
      <w:hyperlink w:anchor="ref-3">
        <w:r>
          <w:rPr>
            <w:rStyle w:val="Hyperlink"/>
          </w:rPr>
          <w:t xml:space="preserve">[3]</w:t>
        </w:r>
      </w:hyperlink>
      <w:r>
        <w:t xml:space="preserve"> </w:t>
      </w:r>
      <w:hyperlink w:anchor="ref-11">
        <w:r>
          <w:rPr>
            <w:rStyle w:val="Hyperlink"/>
          </w:rPr>
          <w:t xml:space="preserve">[11]</w:t>
        </w:r>
      </w:hyperlink>
      <w:r>
        <w:t xml:space="preserve">. A learning-curve specification formalizes this expectation: if attention accumulates regularly, the elasticity of citations with respect to article age should be measurable and interpretable. A fragmented field, by contrast, produces erratic attention, where age explains little because citations attach to particular papers for particular reasons rather than through cumulative field growth.</w:t>
      </w:r>
    </w:p>
    <w:bookmarkEnd w:id="80"/>
    <w:bookmarkStart w:id="81" w:name="the-mechanism"/>
    <w:p>
      <w:pPr>
        <w:pStyle w:val="Heading2"/>
        <w:spacing w:line="480" w:lineRule="auto"/>
      </w:pPr>
      <w:r>
        <w:t xml:space="preserve">3.2 The Mechanism</w:t>
      </w:r>
    </w:p>
    <w:p>
      <w:pPr>
        <w:pStyle w:val="FirstParagraph"/>
        <w:spacing w:line="480" w:lineRule="auto"/>
      </w:pPr>
      <w:r>
        <w:t xml:space="preserve">Consider how the mechanism runs. It works through how authors write into an existing conversation. When a security scholar drafts a paper on counterspace capability, allied SSA, or debris attribution, they make choices that reflect the state of the surrounding discourse. In a consolidating field, those choices converge. Vocabulary aligns. The author adopts the field’s canonical framing of strategic stability, reuses its established terminology for domain awareness, and situates the contribution against a recognized set of prior claims</w:t>
      </w:r>
      <w:r>
        <w:t xml:space="preserve"> </w:t>
      </w:r>
      <w:hyperlink w:anchor="ref-2">
        <w:r>
          <w:rPr>
            <w:rStyle w:val="Hyperlink"/>
          </w:rPr>
          <w:t xml:space="preserve">[2]</w:t>
        </w:r>
      </w:hyperlink>
      <w:r>
        <w:t xml:space="preserve"> </w:t>
      </w:r>
      <w:hyperlink w:anchor="ref-8">
        <w:r>
          <w:rPr>
            <w:rStyle w:val="Hyperlink"/>
          </w:rPr>
          <w:t xml:space="preserve">[8]</w:t>
        </w:r>
      </w:hyperlink>
      <w:r>
        <w:t xml:space="preserve">. Each of these choices deposits thematic signal into the paper’s title, abstract, keywords, and metadata. The signal is not a measure of quality. It is a measure of how densely the paper is written into the shared frame.</w:t>
      </w:r>
    </w:p>
    <w:p>
      <w:pPr>
        <w:pStyle w:val="BodyText"/>
        <w:spacing w:line="480" w:lineRule="auto"/>
        <w:ind w:firstLine="720"/>
      </w:pPr>
      <w:r>
        <w:t xml:space="preserve">Recency enters the mechanism because the shared frame thickens over time. A 2007 observatory paper was written before the counterspace-and-stability frame had cohered, so even a serious contribution deposits less of that specific security signal</w:t>
      </w:r>
      <w:r>
        <w:t xml:space="preserve"> </w:t>
      </w:r>
      <w:hyperlink w:anchor="ref-12">
        <w:r>
          <w:rPr>
            <w:rStyle w:val="Hyperlink"/>
          </w:rPr>
          <w:t xml:space="preserve">[12]</w:t>
        </w:r>
      </w:hyperlink>
      <w:r>
        <w:t xml:space="preserve">. A 2024 debris-attribution paper writes into a frame that has since acquired vocabulary, canonical references, and a recognized problem statement</w:t>
      </w:r>
      <w:r>
        <w:t xml:space="preserve"> </w:t>
      </w:r>
      <w:hyperlink w:anchor="ref-3">
        <w:r>
          <w:rPr>
            <w:rStyle w:val="Hyperlink"/>
          </w:rPr>
          <w:t xml:space="preserve">[3]</w:t>
        </w:r>
      </w:hyperlink>
      <w:r>
        <w:t xml:space="preserve">. If consolidation is real, this thickening should show up as a positive association between recency and thematic-signal density. The prediction is testable.</w:t>
      </w:r>
    </w:p>
    <w:p>
      <w:pPr>
        <w:pStyle w:val="BodyText"/>
        <w:spacing w:line="480" w:lineRule="auto"/>
        <w:ind w:firstLine="720"/>
      </w:pPr>
      <w:r>
        <w:t xml:space="preserve">Venue enters the mechanism because different institutions host different framings. Conference communities and journal communities develop distinct conventions for how a security argument is stated, what counts as a contribution, and which vocabulary signals membership</w:t>
      </w:r>
      <w:r>
        <w:t xml:space="preserve"> </w:t>
      </w:r>
      <w:hyperlink w:anchor="ref-5">
        <w:r>
          <w:rPr>
            <w:rStyle w:val="Hyperlink"/>
          </w:rPr>
          <w:t xml:space="preserve">[5]</w:t>
        </w:r>
      </w:hyperlink>
      <w:r>
        <w:t xml:space="preserve"> </w:t>
      </w:r>
      <w:hyperlink w:anchor="ref-16">
        <w:r>
          <w:rPr>
            <w:rStyle w:val="Hyperlink"/>
          </w:rPr>
          <w:t xml:space="preserve">[16]</w:t>
        </w:r>
      </w:hyperlink>
      <w:r>
        <w:t xml:space="preserve">. A consolidating field would gradually erode these venue differences, distributing thematic signal across venues as a common frame takes hold. A clustered field would preserve them, concentrating thematic signal in whichever venue community owns the core conversation. The venue-family score is the instrument that lets us tell these apart.</w:t>
      </w:r>
    </w:p>
    <w:p>
      <w:pPr>
        <w:pStyle w:val="BodyText"/>
        <w:spacing w:line="480" w:lineRule="auto"/>
        <w:ind w:firstLine="720"/>
      </w:pPr>
      <w:r>
        <w:t xml:space="preserve">Citation attention is the third channel, and it is the one the mechanism treats most cautiously. Citations can track thematic centrality, but they also track age, venue prestige, topical fashion, and the sheer accident of which papers get discovered. The theory does not assume that citations measure importance. It asks only whether citation attention, whatever it measures, is organized by article age in the regular way a cumulative field would produce</w:t>
      </w:r>
      <w:r>
        <w:t xml:space="preserve"> </w:t>
      </w:r>
      <w:hyperlink w:anchor="ref-11">
        <w:r>
          <w:rPr>
            <w:rStyle w:val="Hyperlink"/>
          </w:rPr>
          <w:t xml:space="preserve">[11]</w:t>
        </w:r>
      </w:hyperlink>
      <w:r>
        <w:t xml:space="preserve"> </w:t>
      </w:r>
      <w:hyperlink w:anchor="ref-14">
        <w:r>
          <w:rPr>
            <w:rStyle w:val="Hyperlink"/>
          </w:rPr>
          <w:t xml:space="preserve">[14]</w:t>
        </w:r>
      </w:hyperlink>
      <w:r>
        <w:t xml:space="preserve">.</w:t>
      </w:r>
    </w:p>
    <w:bookmarkEnd w:id="81"/>
    <w:bookmarkStart w:id="82" w:name="hypotheses-for-paper-1"/>
    <w:p>
      <w:pPr>
        <w:pStyle w:val="Heading2"/>
        <w:spacing w:line="480" w:lineRule="auto"/>
      </w:pPr>
      <w:r>
        <w:t xml:space="preserve">3.3 Hypotheses for Paper 1</w:t>
      </w:r>
    </w:p>
    <w:p>
      <w:pPr>
        <w:pStyle w:val="FirstParagraph"/>
        <w:spacing w:line="480" w:lineRule="auto"/>
      </w:pPr>
      <w:r>
        <w:t xml:space="preserve">Paper 1 tests what organizes thematic-signal density. The composite topic-signal score is regressed on recency, citation count, and venue family.</w:t>
      </w:r>
    </w:p>
    <w:p>
      <w:pPr>
        <w:pStyle w:val="BodyText"/>
        <w:spacing w:line="480" w:lineRule="auto"/>
        <w:ind w:firstLine="720"/>
      </w:pPr>
      <w:r>
        <w:t xml:space="preserve">The null hypothesis for Paper 1 holds that the topic-signal score is unrelated to publication recency, citation attention, and venue family. Under the null, thematic density is essentially random with respect to when a paper was written, how often it is cited, and where it appeared. Nothing organizes it. That would describe a discourse with no consolidating structure at all.</w:t>
      </w:r>
    </w:p>
    <w:p>
      <w:pPr>
        <w:pStyle w:val="BodyText"/>
        <w:spacing w:line="480" w:lineRule="auto"/>
        <w:ind w:firstLine="720"/>
      </w:pPr>
      <w:r>
        <w:t xml:space="preserve">The working hypothesis holds that the topic-signal score increases with recency and citation attention. Under a strong consolidation reading, newer papers write into a denser frame and more-cited papers sit closer to the thematic center, so both recency and citations should carry positive coefficients. Venue is included as a control and as a diagnostic: if venue carries a large coefficient while recency and citations do not, the pattern points toward institutional clustering rather than field-wide consolidation.</w:t>
      </w:r>
    </w:p>
    <w:p>
      <w:pPr>
        <w:pStyle w:val="BodyText"/>
        <w:spacing w:line="480" w:lineRule="auto"/>
        <w:ind w:firstLine="720"/>
      </w:pPr>
      <w:r>
        <w:t xml:space="preserve">I flag the institutional-clustering outcome in advance because it is the theoretically interesting middle case. A field can fail the strong consolidation test, with recency and citations flat, while still showing sharp venue structure. That combination would say something specific: the discourse is organized by where it happens, not by when it happens or by what attracts attention. The theory treats this as a distinct and recognizable condition, not as a mere null.</w:t>
      </w:r>
    </w:p>
    <w:bookmarkEnd w:id="82"/>
    <w:bookmarkStart w:id="83" w:name="hypotheses-for-paper-2"/>
    <w:p>
      <w:pPr>
        <w:pStyle w:val="Heading2"/>
        <w:spacing w:line="480" w:lineRule="auto"/>
      </w:pPr>
      <w:r>
        <w:t xml:space="preserve">3.4 Hypotheses for Paper 2</w:t>
      </w:r>
    </w:p>
    <w:p>
      <w:pPr>
        <w:pStyle w:val="FirstParagraph"/>
        <w:spacing w:line="480" w:lineRule="auto"/>
      </w:pPr>
      <w:r>
        <w:t xml:space="preserve">Paper 2 tests whether citation attention accumulates with age. Log citations-plus-one is regressed on log article age in a learning-curve specification.</w:t>
      </w:r>
    </w:p>
    <w:p>
      <w:pPr>
        <w:pStyle w:val="BodyText"/>
        <w:spacing w:line="480" w:lineRule="auto"/>
        <w:ind w:firstLine="720"/>
      </w:pPr>
      <w:r>
        <w:t xml:space="preserve">The null hypothesis for Paper 2 holds that citation accumulation is unrelated to article age in the retrieved topic literature. Under the null, older papers are not systematically more or less cited than newer ones after the log transformation, and age carries no interpretable elasticity.</w:t>
      </w:r>
    </w:p>
    <w:p>
      <w:pPr>
        <w:pStyle w:val="BodyText"/>
        <w:spacing w:line="480" w:lineRule="auto"/>
        <w:ind w:firstLine="720"/>
      </w:pPr>
      <w:r>
        <w:t xml:space="preserve">The working hypothesis holds that citation accumulation follows a measurable age-based curve. In a cumulative field, foundational older work accumulates attention as the field builds on it, producing a positive age elasticity. The learning-curve frame also allows for the possibility that the elasticity is measurable but modest, reflecting a field where age matters but does not dominate.</w:t>
      </w:r>
    </w:p>
    <w:p>
      <w:pPr>
        <w:pStyle w:val="BodyText"/>
        <w:spacing w:line="480" w:lineRule="auto"/>
        <w:ind w:firstLine="720"/>
      </w:pPr>
      <w:r>
        <w:t xml:space="preserve">The two papers are deliberately complementary. Paper 1 asks what organizes thematic density; Paper 2 asks what organizes attention. A field that is consolidating on both axes would show recency-driven thematic density and age-driven attention. A field that is clustered but not cumulative would show venue-driven thematic density and flat attention. Naming these joint outcomes in advance keeps the interpretation in Chapter 6 disciplined</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83"/>
    <w:bookmarkStart w:id="84" w:name="Xeb5c7045300687edeed5f94696ed798419a7b24"/>
    <w:p>
      <w:pPr>
        <w:pStyle w:val="Heading2"/>
        <w:spacing w:line="480" w:lineRule="auto"/>
      </w:pPr>
      <w:r>
        <w:t xml:space="preserve">3.4a A Formal Statement of the Consolidation Fingerprint</w:t>
      </w:r>
    </w:p>
    <w:p>
      <w:pPr>
        <w:pStyle w:val="FirstParagraph"/>
        <w:spacing w:line="480" w:lineRule="auto"/>
      </w:pPr>
      <w:r>
        <w:t xml:space="preserve">It is useful to state the consolidation fingerprint formally, because doing so makes the joint interpretation in Chapter 6 unambiguous. Let thematic density be organized primarily by recency, with a positive and meaningful recency coefficient in Paper 1, and let attention be organized by age, with a positive and meaningful elasticity in Paper 2. That joint pattern is the strong consolidation fingerprint. It says the field’s shared frame is thickening over time and its attention is accumulating cumulatively, which is what a mature, cross-venue discipline looks like</w:t>
      </w:r>
      <w:r>
        <w:t xml:space="preserve"> </w:t>
      </w:r>
      <w:hyperlink w:anchor="ref-1">
        <w:r>
          <w:rPr>
            <w:rStyle w:val="Hyperlink"/>
          </w:rPr>
          <w:t xml:space="preserve">[1]</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Three departures from that fingerprint are theoretically meaningful, and each maps to a recognizable field condition. The first departure is venue dominance: thematic density organized by venue rather than recency, with a large venue coefficient and a flat recency coefficient. That fingerprint says the field is clustered by institution, its idioms venue-bound rather than merged</w:t>
      </w:r>
      <w:r>
        <w:t xml:space="preserve"> </w:t>
      </w:r>
      <w:hyperlink w:anchor="ref-5">
        <w:r>
          <w:rPr>
            <w:rStyle w:val="Hyperlink"/>
          </w:rPr>
          <w:t xml:space="preserve">[5]</w:t>
        </w:r>
      </w:hyperlink>
      <w:r>
        <w:t xml:space="preserve">. The second departure is attention flatness: an age elasticity near zero, saying attention has not organized cumulatively</w:t>
      </w:r>
      <w:r>
        <w:t xml:space="preserve"> </w:t>
      </w:r>
      <w:hyperlink w:anchor="ref-14">
        <w:r>
          <w:rPr>
            <w:rStyle w:val="Hyperlink"/>
          </w:rPr>
          <w:t xml:space="preserve">[14]</w:t>
        </w:r>
      </w:hyperlink>
      <w:r>
        <w:t xml:space="preserve">. The third departure is total nullity: no thematic structure and no attention structure, saying the retrieved discourse is genuinely heterogeneous.</w:t>
      </w:r>
    </w:p>
    <w:p>
      <w:pPr>
        <w:pStyle w:val="BodyText"/>
        <w:spacing w:line="480" w:lineRule="auto"/>
        <w:ind w:firstLine="720"/>
      </w:pPr>
      <w:r>
        <w:t xml:space="preserve">The theory’s predictions are precise enough to distinguish these cases in advance. Venue dominance plus attention flatness is the institutional-clustering condition, a field past scatter but short of maturity. Recency dominance plus positive elasticity is strong consolidation. Total nullity is heterogeneity. By fixing these mappings before estimation, the design ensures that whatever pattern Chapter 6 reports can be read as one of a pre-specified set of conditions rather than as a post hoc story fitted to the coefficients</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84"/>
    <w:bookmarkStart w:id="85" w:name="Xb89d419b15e01fed621f1053dc05a5309e77af2"/>
    <w:p>
      <w:pPr>
        <w:pStyle w:val="Heading2"/>
        <w:spacing w:line="480" w:lineRule="auto"/>
      </w:pPr>
      <w:r>
        <w:t xml:space="preserve">3.4b Why Two Independent Axes Rather Than One Index</w:t>
      </w:r>
    </w:p>
    <w:p>
      <w:pPr>
        <w:pStyle w:val="FirstParagraph"/>
        <w:spacing w:line="480" w:lineRule="auto"/>
      </w:pPr>
      <w:r>
        <w:t xml:space="preserve">A reasonable alternative would collapse thematic density and citation attention into a single consolidation index. The theory rejects that collapse deliberately, because the two axes carry independent information and averaging them would destroy exactly the contrast the study exists to detect</w:t>
      </w:r>
      <w:r>
        <w:t xml:space="preserve"> </w:t>
      </w:r>
      <w:hyperlink w:anchor="ref-11">
        <w:r>
          <w:rPr>
            <w:rStyle w:val="Hyperlink"/>
          </w:rPr>
          <w:t xml:space="preserve">[11]</w:t>
        </w:r>
      </w:hyperlink>
      <w:r>
        <w:t xml:space="preserve"> </w:t>
      </w:r>
      <w:hyperlink w:anchor="ref-14">
        <w:r>
          <w:rPr>
            <w:rStyle w:val="Hyperlink"/>
          </w:rPr>
          <w:t xml:space="preserve">[14]</w:t>
        </w:r>
      </w:hyperlink>
      <w:r>
        <w:t xml:space="preserve">. Thematic density measures how densely a record is written into the shared frame. Citation attention measures how much the field has taken up a record. A paper can score high on one and low on the other, and the space-security literature offers vivid instances of that divergence in both directions.</w:t>
      </w:r>
    </w:p>
    <w:p>
      <w:pPr>
        <w:pStyle w:val="BodyText"/>
        <w:spacing w:line="480" w:lineRule="auto"/>
        <w:ind w:firstLine="720"/>
      </w:pPr>
      <w:r>
        <w:t xml:space="preserve">Keeping the axes separate lets the design detect the inverted pattern that a single index would hide: a security frame concentrated where citation attention is thinnest, and citation attention concentrated where the frame is most diffuse</w:t>
      </w:r>
      <w:r>
        <w:t xml:space="preserve"> </w:t>
      </w:r>
      <w:hyperlink w:anchor="ref-1">
        <w:r>
          <w:rPr>
            <w:rStyle w:val="Hyperlink"/>
          </w:rPr>
          <w:t xml:space="preserve">[1]</w:t>
        </w:r>
      </w:hyperlink>
      <w:r>
        <w:t xml:space="preserve"> </w:t>
      </w:r>
      <w:hyperlink w:anchor="ref-16">
        <w:r>
          <w:rPr>
            <w:rStyle w:val="Hyperlink"/>
          </w:rPr>
          <w:t xml:space="preserve">[16]</w:t>
        </w:r>
      </w:hyperlink>
      <w:r>
        <w:t xml:space="preserve">. A collapsed index would net these out to a middling number that describes neither axis honestly. Two axes stay honest. Two estimators, each targeting one axis, preserve the structure and let the joint reading in Chapter 6 name the specific condition the corpus is in.</w:t>
      </w:r>
    </w:p>
    <w:p>
      <w:pPr>
        <w:pStyle w:val="BodyText"/>
        <w:spacing w:line="480" w:lineRule="auto"/>
        <w:ind w:firstLine="720"/>
      </w:pPr>
      <w:r>
        <w:t xml:space="preserve">The independence of the axes also protects the falsifiability of the contribution. If the two axes were combined, a null on one could be masked by structure on the other, and the study could not report the clean split verdict that the separated design makes possible</w:t>
      </w:r>
      <w:r>
        <w:t xml:space="preserve"> </w:t>
      </w:r>
      <w:hyperlink w:anchor="ref-3">
        <w:r>
          <w:rPr>
            <w:rStyle w:val="Hyperlink"/>
          </w:rPr>
          <w:t xml:space="preserve">[3]</w:t>
        </w:r>
      </w:hyperlink>
      <w:r>
        <w:t xml:space="preserve">. The theory therefore commits to two tests, run on the same panel but targeting different structural properties, and it treats the pattern of their agreement or disagreement as the substantive finding.</w:t>
      </w:r>
    </w:p>
    <w:bookmarkEnd w:id="85"/>
    <w:bookmarkStart w:id="86" w:name="Xef18cdc111e41c31dc5e91880c9ce71ba2318ac"/>
    <w:p>
      <w:pPr>
        <w:pStyle w:val="Heading2"/>
        <w:spacing w:line="480" w:lineRule="auto"/>
      </w:pPr>
      <w:r>
        <w:t xml:space="preserve">3.5 Scope Conditions and What the Theory Does Not Claim</w:t>
      </w:r>
    </w:p>
    <w:p>
      <w:pPr>
        <w:pStyle w:val="FirstParagraph"/>
        <w:spacing w:line="480" w:lineRule="auto"/>
      </w:pPr>
      <w:r>
        <w:t xml:space="preserve">The theory is scoped to the retrieved candidate corpus, and it is important to say plainly what that means. The mechanism describes how consolidation would structure the thematic density and attention of this bounded set of records. It does not claim to describe the full universe of space-security scholarship, and it does not claim that thematic signal measures the substantive quality of a security argument</w:t>
      </w:r>
      <w:r>
        <w:t xml:space="preserve"> </w:t>
      </w:r>
      <w:hyperlink w:anchor="ref-2">
        <w:r>
          <w:rPr>
            <w:rStyle w:val="Hyperlink"/>
          </w:rPr>
          <w:t xml:space="preserve">[2]</w:t>
        </w:r>
      </w:hyperlink>
      <w:r>
        <w:t xml:space="preserve"> </w:t>
      </w:r>
      <w:hyperlink w:anchor="ref-5">
        <w:r>
          <w:rPr>
            <w:rStyle w:val="Hyperlink"/>
          </w:rPr>
          <w:t xml:space="preserve">[5]</w:t>
        </w:r>
      </w:hyperlink>
      <w:r>
        <w:t xml:space="preserve">. A paper can be profound and deposit little of the specific security signal the score tracks, and a paper can be shallow and deposit a great deal. The score measures density of framing, not depth of insight.</w:t>
      </w:r>
    </w:p>
    <w:p>
      <w:pPr>
        <w:pStyle w:val="BodyText"/>
        <w:spacing w:line="480" w:lineRule="auto"/>
        <w:ind w:firstLine="720"/>
      </w:pPr>
      <w:r>
        <w:t xml:space="preserve">The theory also does not assume causation from any covariate to the topic-signal score. The associations it predicts are structural fingerprints of consolidation, not causal effects of recency or venue on how a paper is written. A positive recency coefficient would be evidence consistent with a thickening shared frame, not proof that being recent causes thematic density. This restraint matters for Chapter 4, where the identification discussion explains why the estimators support description of structure rather than causal inference.</w:t>
      </w:r>
    </w:p>
    <w:p>
      <w:pPr>
        <w:pStyle w:val="BodyText"/>
        <w:spacing w:line="480" w:lineRule="auto"/>
        <w:ind w:firstLine="720"/>
      </w:pPr>
      <w:r>
        <w:t xml:space="preserve">One more scope condition deserves emphasis. The corpus spans venues with very different citation cultures, and it includes economy and roadmap records that are only loosely security papers</w:t>
      </w:r>
      <w:r>
        <w:t xml:space="preserve"> </w:t>
      </w:r>
      <w:hyperlink w:anchor="ref-18">
        <w:r>
          <w:rPr>
            <w:rStyle w:val="Hyperlink"/>
          </w:rPr>
          <w:t xml:space="preserve">[18]</w:t>
        </w:r>
      </w:hyperlink>
      <w:r>
        <w:t xml:space="preserve">. The theory anticipates that this heterogeneity will make the attention test demanding, because citation accumulation is measured across records that accrued attention under incompatible conventions. If the age-based curve is flat, the theory offers two readings, a genuinely non-cumulative discourse or a corpus too heterogeneous for a single elasticity to fit, and Chapter 7 returns to distinguishing them.</w:t>
      </w:r>
    </w:p>
    <w:bookmarkEnd w:id="86"/>
    <w:bookmarkStart w:id="87" w:name="Xb56c72b344426ec6e1205f398a3ee79f408f5d5"/>
    <w:p>
      <w:pPr>
        <w:pStyle w:val="Heading2"/>
        <w:spacing w:line="480" w:lineRule="auto"/>
      </w:pPr>
      <w:r>
        <w:t xml:space="preserve">3.6 The Mechanism Applied to Specific Records</w:t>
      </w:r>
    </w:p>
    <w:p>
      <w:pPr>
        <w:pStyle w:val="FirstParagraph"/>
        <w:spacing w:line="480" w:lineRule="auto"/>
      </w:pPr>
      <w:r>
        <w:t xml:space="preserve">Grounding the mechanism in specific records shows that it is not an abstraction imposed on the data. Consider the observatory paper from 2007 on atmospheric support for space situational awareness</w:t>
      </w:r>
      <w:r>
        <w:t xml:space="preserve"> </w:t>
      </w:r>
      <w:hyperlink w:anchor="ref-12">
        <w:r>
          <w:rPr>
            <w:rStyle w:val="Hyperlink"/>
          </w:rPr>
          <w:t xml:space="preserve">[12]</w:t>
        </w:r>
      </w:hyperlink>
      <w:r>
        <w:t xml:space="preserve">. Written before the counterspace-and-stability frame had cohered, it deposits astronomical and observational vocabulary rather than dense security-frame vocabulary, so the mechanism predicts a modest topic-signal score despite the paper’s operational seriousness. The prediction is a direct consequence of the thickening-frame logic: a paper cannot write into a frame that does not yet exist.</w:t>
      </w:r>
    </w:p>
    <w:p>
      <w:pPr>
        <w:pStyle w:val="BodyText"/>
        <w:spacing w:line="480" w:lineRule="auto"/>
        <w:ind w:firstLine="720"/>
      </w:pPr>
      <w:r>
        <w:t xml:space="preserve">Contrast a 2024 record on debris and nuclear strategic stability, written when the attribution-and-escalation frame had acquired canonical vocabulary and a recognized problem statement</w:t>
      </w:r>
      <w:r>
        <w:t xml:space="preserve"> </w:t>
      </w:r>
      <w:hyperlink w:anchor="ref-3">
        <w:r>
          <w:rPr>
            <w:rStyle w:val="Hyperlink"/>
          </w:rPr>
          <w:t xml:space="preserve">[3]</w:t>
        </w:r>
      </w:hyperlink>
      <w:r>
        <w:t xml:space="preserve"> </w:t>
      </w:r>
      <w:hyperlink w:anchor="ref-8">
        <w:r>
          <w:rPr>
            <w:rStyle w:val="Hyperlink"/>
          </w:rPr>
          <w:t xml:space="preserve">[8]</w:t>
        </w:r>
      </w:hyperlink>
      <w:r>
        <w:t xml:space="preserve">. The mechanism predicts denser security signal, because the author inherits a stable frame to write into. If the recency coefficient in Paper 1 is positive, records like this one are part of why. The mechanism, in other words, is legible at the level of individual records, and the regression simply aggregates that record-level logic into a coefficient.</w:t>
      </w:r>
    </w:p>
    <w:p>
      <w:pPr>
        <w:pStyle w:val="BodyText"/>
        <w:spacing w:line="480" w:lineRule="auto"/>
        <w:ind w:firstLine="720"/>
      </w:pPr>
      <w:r>
        <w:t xml:space="preserve">The venue channel is equally legible in specific cases. A conference record on trends in space domain awareness acquisition deposits dense operational-security vocabulary because that is the native idiom of its venue community</w:t>
      </w:r>
      <w:r>
        <w:t xml:space="preserve"> </w:t>
      </w:r>
      <w:hyperlink w:anchor="ref-11">
        <w:r>
          <w:rPr>
            <w:rStyle w:val="Hyperlink"/>
          </w:rPr>
          <w:t xml:space="preserve">[11]</w:t>
        </w:r>
      </w:hyperlink>
      <w:r>
        <w:t xml:space="preserve">. A journal record framing space as an enabler of sustainable digital transformation deposits the security frame diffusely, because it situates security within a broader development discussion</w:t>
      </w:r>
      <w:r>
        <w:t xml:space="preserve"> </w:t>
      </w:r>
      <w:hyperlink w:anchor="ref-18">
        <w:r>
          <w:rPr>
            <w:rStyle w:val="Hyperlink"/>
          </w:rPr>
          <w:t xml:space="preserve">[18]</w:t>
        </w:r>
      </w:hyperlink>
      <w:r>
        <w:t xml:space="preserve">. The venue coefficient aggregates exactly this contrast. Seeing the mechanism work at the record level, before any estimation, is what gives confidence that a venue coefficient, if it appears, reflects a real division of idioms rather than a statistical accident</w:t>
      </w:r>
      <w:r>
        <w:t xml:space="preserve"> </w:t>
      </w:r>
      <w:hyperlink w:anchor="ref-5">
        <w:r>
          <w:rPr>
            <w:rStyle w:val="Hyperlink"/>
          </w:rPr>
          <w:t xml:space="preserve">[5]</w:t>
        </w:r>
      </w:hyperlink>
      <w:r>
        <w:t xml:space="preserve">.</w:t>
      </w:r>
    </w:p>
    <w:bookmarkEnd w:id="87"/>
    <w:bookmarkStart w:id="88" w:name="X875ed16bc8603ba7b5619c6b58786017b7cf339"/>
    <w:p>
      <w:pPr>
        <w:pStyle w:val="Heading2"/>
        <w:spacing w:line="480" w:lineRule="auto"/>
      </w:pPr>
      <w:r>
        <w:t xml:space="preserve">3.7 Rival Mechanisms and How the Design Adjudicates</w:t>
      </w:r>
    </w:p>
    <w:p>
      <w:pPr>
        <w:pStyle w:val="FirstParagraph"/>
        <w:spacing w:line="480" w:lineRule="auto"/>
      </w:pPr>
      <w:r>
        <w:t xml:space="preserve">Intellectual honesty requires naming the mechanisms that rival the consolidation account, because a coefficient consistent with consolidation may also be consistent with something else. Three rivals deserve statement. The first is a pure metadata-convention mechanism: venue differences in thematic signal could arise because conference and journal indexing deposit vocabulary differently, with no underlying difference in how densely records are written into the security frame</w:t>
      </w:r>
      <w:r>
        <w:t xml:space="preserve"> </w:t>
      </w:r>
      <w:hyperlink w:anchor="ref-2">
        <w:r>
          <w:rPr>
            <w:rStyle w:val="Hyperlink"/>
          </w:rPr>
          <w:t xml:space="preserve">[2]</w:t>
        </w:r>
      </w:hyperlink>
      <w:r>
        <w:t xml:space="preserve"> </w:t>
      </w:r>
      <w:hyperlink w:anchor="ref-5">
        <w:r>
          <w:rPr>
            <w:rStyle w:val="Hyperlink"/>
          </w:rPr>
          <w:t xml:space="preserve">[5]</w:t>
        </w:r>
      </w:hyperlink>
      <w:r>
        <w:t xml:space="preserve">. Under this rival, a venue coefficient would reflect indexing artifact rather than idiom division.</w:t>
      </w:r>
    </w:p>
    <w:p>
      <w:pPr>
        <w:pStyle w:val="BodyText"/>
        <w:spacing w:line="480" w:lineRule="auto"/>
        <w:ind w:firstLine="720"/>
      </w:pPr>
      <w:r>
        <w:t xml:space="preserve">The second rival is a fashion mechanism for citation attention. Citations might attach to records not through cumulative field growth but through topical fashion, where a debris-fragmentation or planetary-defense paper gathers attention because its subject is momentarily prominent</w:t>
      </w:r>
      <w:r>
        <w:t xml:space="preserve"> </w:t>
      </w:r>
      <w:hyperlink w:anchor="ref-14">
        <w:r>
          <w:rPr>
            <w:rStyle w:val="Hyperlink"/>
          </w:rPr>
          <w:t xml:space="preserve">[14]</w:t>
        </w:r>
      </w:hyperlink>
      <w:r>
        <w:t xml:space="preserve"> </w:t>
      </w:r>
      <w:hyperlink w:anchor="ref-19">
        <w:r>
          <w:rPr>
            <w:rStyle w:val="Hyperlink"/>
          </w:rPr>
          <w:t xml:space="preserve">[19]</w:t>
        </w:r>
      </w:hyperlink>
      <w:r>
        <w:t xml:space="preserve">. Under this rival, a flat age elasticity would reflect fashion-driven rather than age-driven attention, which looks like non-cumulativeness but has a different cause. The third rival is a composition mechanism: the corpus’s mix of operational, synthetic, and economy records could generate apparent structure that is really an artifact of which record types the retrieval included</w:t>
      </w:r>
      <w:r>
        <w:t xml:space="preserve"> </w:t>
      </w:r>
      <w:hyperlink w:anchor="ref-18">
        <w:r>
          <w:rPr>
            <w:rStyle w:val="Hyperlink"/>
          </w:rPr>
          <w:t xml:space="preserve">[18]</w:t>
        </w:r>
      </w:hyperlink>
      <w:r>
        <w:t xml:space="preserve">.</w:t>
      </w:r>
    </w:p>
    <w:p>
      <w:pPr>
        <w:pStyle w:val="BodyText"/>
        <w:spacing w:line="480" w:lineRule="auto"/>
        <w:ind w:firstLine="720"/>
      </w:pPr>
      <w:r>
        <w:t xml:space="preserve">The design adjudicates among these rivals only partially, and saying so is part of the honesty. The consolidation mechanism and the metadata-convention rival both predict a venue coefficient, and the present data cannot fully separate them; Chapter 7 concedes this and points to full-text analysis as the resolution</w:t>
      </w:r>
      <w:r>
        <w:t xml:space="preserve"> </w:t>
      </w:r>
      <w:hyperlink w:anchor="ref-5">
        <w:r>
          <w:rPr>
            <w:rStyle w:val="Hyperlink"/>
          </w:rPr>
          <w:t xml:space="preserve">[5]</w:t>
        </w:r>
      </w:hyperlink>
      <w:r>
        <w:t xml:space="preserve">. The fashion and age mechanisms both permit a flat elasticity, and the degraded citation variable makes them hard to distinguish</w:t>
      </w:r>
      <w:r>
        <w:t xml:space="preserve"> </w:t>
      </w:r>
      <w:hyperlink w:anchor="ref-14">
        <w:r>
          <w:rPr>
            <w:rStyle w:val="Hyperlink"/>
          </w:rPr>
          <w:t xml:space="preserve">[14]</w:t>
        </w:r>
      </w:hyperlink>
      <w:r>
        <w:t xml:space="preserve">. The composition rival is partly addressed by the venue control, which absorbs record-type structure into an interpretable coefficient rather than leaving it as confound</w:t>
      </w:r>
      <w:r>
        <w:t xml:space="preserve"> </w:t>
      </w:r>
      <w:hyperlink w:anchor="ref-3">
        <w:r>
          <w:rPr>
            <w:rStyle w:val="Hyperlink"/>
          </w:rPr>
          <w:t xml:space="preserve">[3]</w:t>
        </w:r>
      </w:hyperlink>
      <w:r>
        <w:t xml:space="preserve">. The theory therefore predicts a specific fingerprint while acknowledging that the fingerprint is consistent with more than one generating mechanism, and it defers the sharper adjudication to future work with better measurement.</w:t>
      </w:r>
    </w:p>
    <w:p>
      <w:pPr>
        <w:pStyle w:val="BodyText"/>
        <w:spacing w:line="480" w:lineRule="auto"/>
        <w:ind w:firstLine="720"/>
      </w:pPr>
      <w:r>
        <w:t xml:space="preserve">The rival mechanisms also clarify what a confirmation would and would not license. If the corpus shows venue dominance and attention flatness, the theory is confirmed in the weak sense that its predicted fingerprint appeared, but the confirmation does not select among the generating mechanisms that could have produced it</w:t>
      </w:r>
      <w:r>
        <w:t xml:space="preserve"> </w:t>
      </w:r>
      <w:hyperlink w:anchor="ref-5">
        <w:r>
          <w:rPr>
            <w:rStyle w:val="Hyperlink"/>
          </w:rPr>
          <w:t xml:space="preserve">[5]</w:t>
        </w:r>
      </w:hyperlink>
      <w:r>
        <w:t xml:space="preserve"> </w:t>
      </w:r>
      <w:hyperlink w:anchor="ref-14">
        <w:r>
          <w:rPr>
            <w:rStyle w:val="Hyperlink"/>
          </w:rPr>
          <w:t xml:space="preserve">[14]</w:t>
        </w:r>
      </w:hyperlink>
      <w:r>
        <w:t xml:space="preserve">. A reader is entitled to conclude that the discourse is clustered, because every candidate mechanism, idiom division, metadata convention, or composition, describes a clustered rather than consolidated field. The reader is not entitled to conclude which of those specific mechanisms drives the clustering. Holding the interpretation to that boundary is what keeps the theory honest about the difference between predicting a pattern and explaining its cause</w:t>
      </w:r>
      <w:r>
        <w:t xml:space="preserve"> </w:t>
      </w:r>
      <w:hyperlink w:anchor="ref-3">
        <w:r>
          <w:rPr>
            <w:rStyle w:val="Hyperlink"/>
          </w:rPr>
          <w:t xml:space="preserve">[3]</w:t>
        </w:r>
      </w:hyperlink>
      <w:r>
        <w:t xml:space="preserve">. With the mechanism, its rivals, and its predictions fixed, the next chapter specifies the estimators that put these hypotheses to the test</w:t>
      </w:r>
      <w:r>
        <w:t xml:space="preserve"> </w:t>
      </w:r>
      <w:hyperlink w:anchor="ref-4">
        <w:r>
          <w:rPr>
            <w:rStyle w:val="Hyperlink"/>
          </w:rPr>
          <w:t xml:space="preserve">[4]</w:t>
        </w:r>
      </w:hyperlink>
      <w:r>
        <w:t xml:space="preserve"> </w:t>
      </w:r>
      <w:hyperlink w:anchor="ref-11">
        <w:r>
          <w:rPr>
            <w:rStyle w:val="Hyperlink"/>
          </w:rPr>
          <w:t xml:space="preserve">[11]</w:t>
        </w:r>
      </w:hyperlink>
      <w:r>
        <w:t xml:space="preserve">.</w:t>
      </w:r>
    </w:p>
    <w:bookmarkEnd w:id="88"/>
    <w:bookmarkEnd w:id="89"/>
    <w:bookmarkStart w:id="99" w:name="chapter-4-methodology-and-identification"/>
    <w:p>
      <w:pPr>
        <w:pStyle w:val="Heading1"/>
        <w:spacing w:line="480" w:lineRule="auto"/>
      </w:pPr>
      <w:r>
        <w:t xml:space="preserve">Chapter 4: Methodology and Identification</w:t>
      </w:r>
    </w:p>
    <w:p>
      <w:pPr>
        <w:pStyle w:val="FirstParagraph"/>
        <w:spacing w:line="480" w:lineRule="auto"/>
      </w:pPr>
      <w:r>
        <w:t xml:space="preserve">This chapter specifies the two estimators and defends what each can identify. The design is intentionally transparent. Nothing is hidden. Both papers use the same thirty-record panel, both use robust standard errors, and both produce output that Chapter 6 reports without alteration. The methodological burden is not computational sophistication. It is honesty. It is honesty about what an observational panel of this size and construction can and cannot support</w:t>
      </w:r>
      <w:r>
        <w:t xml:space="preserve"> </w:t>
      </w:r>
      <w:hyperlink w:anchor="ref-1">
        <w:r>
          <w:rPr>
            <w:rStyle w:val="Hyperlink"/>
          </w:rPr>
          <w:t xml:space="preserve">[1]</w:t>
        </w:r>
      </w:hyperlink>
      <w:r>
        <w:t xml:space="preserve"> </w:t>
      </w:r>
      <w:hyperlink w:anchor="ref-11">
        <w:r>
          <w:rPr>
            <w:rStyle w:val="Hyperlink"/>
          </w:rPr>
          <w:t xml:space="preserve">[11]</w:t>
        </w:r>
      </w:hyperlink>
      <w:r>
        <w:t xml:space="preserve">.</w:t>
      </w:r>
    </w:p>
    <w:bookmarkStart w:id="90" w:name="design-philosophy"/>
    <w:p>
      <w:pPr>
        <w:pStyle w:val="Heading2"/>
        <w:spacing w:line="480" w:lineRule="auto"/>
      </w:pPr>
      <w:r>
        <w:t xml:space="preserve">4.1 Design Philosophy</w:t>
      </w:r>
    </w:p>
    <w:p>
      <w:pPr>
        <w:pStyle w:val="FirstParagraph"/>
        <w:spacing w:line="480" w:lineRule="auto"/>
      </w:pPr>
      <w:r>
        <w:t xml:space="preserve">The study is descriptive in the strict sense: it characterizes the structure of a retrieved corpus. That choice is deliberate and it shapes every downstream decision. A causal design would require variation that the corpus does not contain and an intervention that the study does not perform. What the corpus offers is a cross-section of records, each carrying publication year, venue family, a citation field, and a composite thematic-signal score. The right analytic posture is to ask how these observed quantities are associated, and to interpret those associations as structural fingerprints rather than treatment effects</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Two estimators serve this posture. Ordinary least squares characterizes what organizes thematic density in Paper 1. A log-log learning-curve regression characterizes whether attention accumulates with age in Paper 2. Both are simple by design. A more elaborate model would invite the reader to mistake statistical machinery for evidentiary weight that a thirty-record panel cannot bear. Parsimony wins here.</w:t>
      </w:r>
    </w:p>
    <w:bookmarkEnd w:id="90"/>
    <w:bookmarkStart w:id="91" w:name="paper-1-the-ols-specification"/>
    <w:p>
      <w:pPr>
        <w:pStyle w:val="Heading2"/>
        <w:spacing w:line="480" w:lineRule="auto"/>
      </w:pPr>
      <w:r>
        <w:t xml:space="preserve">4.2 Paper 1: The OLS Specification</w:t>
      </w:r>
    </w:p>
    <w:p>
      <w:pPr>
        <w:pStyle w:val="FirstParagraph"/>
        <w:spacing w:line="480" w:lineRule="auto"/>
      </w:pPr>
      <w:r>
        <w:t xml:space="preserve">Paper 1 estimates a linear model of the composite topic-signal score. The specification is</w:t>
      </w:r>
    </w:p>
    <w:p>
      <w:pPr>
        <w:pStyle w:val="BodyText"/>
        <w:spacing w:line="480" w:lineRule="auto"/>
        <w:ind w:firstLine="720"/>
      </w:pPr>
      <w:r>
        <w:t xml:space="preserve">SignalScore_i = alpha + beta_1 RecencyIndex_i + beta_2 Cites_i + beta_3 VenueScore_i + epsilon_i.</w:t>
      </w:r>
    </w:p>
    <w:p>
      <w:pPr>
        <w:pStyle w:val="BodyText"/>
        <w:spacing w:line="480" w:lineRule="auto"/>
        <w:ind w:firstLine="720"/>
      </w:pPr>
      <w:r>
        <w:t xml:space="preserve">The dependent variable is the composite topic-signal score for each retrieved record, a deterministic count of candidate-theme term hits across the source title, snippet, keyword field, and author metadata. The three covariates are the recency index, the reported citation count, and the ordinal venue-family score. Estimation is by ordinary least squares with heteroskedasticity-robust HC1 standard errors, because the variance of the topic-signal score is unlikely to be constant across venue families and citation levels</w:t>
      </w:r>
      <w:r>
        <w:t xml:space="preserve"> </w:t>
      </w:r>
      <w:hyperlink w:anchor="ref-5">
        <w:r>
          <w:rPr>
            <w:rStyle w:val="Hyperlink"/>
          </w:rPr>
          <w:t xml:space="preserve">[5]</w:t>
        </w:r>
      </w:hyperlink>
      <w:r>
        <w:t xml:space="preserve">.</w:t>
      </w:r>
    </w:p>
    <w:p>
      <w:pPr>
        <w:pStyle w:val="BodyText"/>
        <w:spacing w:line="480" w:lineRule="auto"/>
        <w:ind w:firstLine="720"/>
      </w:pPr>
      <w:r>
        <w:t xml:space="preserve">The choice of OLS is defensible on three grounds. The dependent variable is a bounded count that behaves, over the observed range, closely enough to continuous that a linear model gives interpretable coefficients. The sample is small, so a parsimonious estimator with well-understood inference is preferable to a nonlinear model whose asymptotic properties would be unreliable at N equal to thirty. And the coefficients answer the theoretical question directly: the recency coefficient speaks to the thickening-frame prediction, the venue coefficient speaks to the institutional-clustering alternative, and the citation coefficient speaks to whether attention tracks thematic centrality</w:t>
      </w:r>
      <w:r>
        <w:t xml:space="preserve"> </w:t>
      </w:r>
      <w:hyperlink w:anchor="ref-2">
        <w:r>
          <w:rPr>
            <w:rStyle w:val="Hyperlink"/>
          </w:rPr>
          <w:t xml:space="preserve">[2]</w:t>
        </w:r>
      </w:hyperlink>
      <w:r>
        <w:t xml:space="preserve"> </w:t>
      </w:r>
      <w:hyperlink w:anchor="ref-8">
        <w:r>
          <w:rPr>
            <w:rStyle w:val="Hyperlink"/>
          </w:rPr>
          <w:t xml:space="preserve">[8]</w:t>
        </w:r>
      </w:hyperlink>
      <w:r>
        <w:t xml:space="preserve">.</w:t>
      </w:r>
    </w:p>
    <w:p>
      <w:pPr>
        <w:pStyle w:val="BodyText"/>
        <w:spacing w:line="480" w:lineRule="auto"/>
        <w:ind w:firstLine="720"/>
      </w:pPr>
      <w:r>
        <w:t xml:space="preserve">Robust standard errors matter here for a specific reason. Variance is uneven. The venue families differ systematically in how their thematic-signal scores are distributed, because conference records and journal records deposit signal through different metadata conventions. HC1 inference protects the coefficient tests against the resulting heteroskedasticity without imposing a variance structure the data cannot justify.</w:t>
      </w:r>
    </w:p>
    <w:bookmarkEnd w:id="91"/>
    <w:bookmarkStart w:id="92" w:name="paper-2-the-learning-curve-specification"/>
    <w:p>
      <w:pPr>
        <w:pStyle w:val="Heading2"/>
        <w:spacing w:line="480" w:lineRule="auto"/>
      </w:pPr>
      <w:r>
        <w:t xml:space="preserve">4.3 Paper 2: The Learning-Curve Specification</w:t>
      </w:r>
    </w:p>
    <w:p>
      <w:pPr>
        <w:pStyle w:val="FirstParagraph"/>
        <w:spacing w:line="480" w:lineRule="auto"/>
      </w:pPr>
      <w:r>
        <w:t xml:space="preserve">Paper 2 estimates a log-log learning curve for citation accumulation. The specification is</w:t>
      </w:r>
    </w:p>
    <w:p>
      <w:pPr>
        <w:pStyle w:val="BodyText"/>
        <w:spacing w:line="480" w:lineRule="auto"/>
        <w:ind w:firstLine="720"/>
      </w:pPr>
      <w:r>
        <w:t xml:space="preserve">ln(CitesPlus1_i) = alpha + beta_1 ln(AgeIndex_i) + epsilon_i.</w:t>
      </w:r>
    </w:p>
    <w:p>
      <w:pPr>
        <w:pStyle w:val="BodyText"/>
        <w:spacing w:line="480" w:lineRule="auto"/>
        <w:ind w:firstLine="720"/>
      </w:pPr>
      <w:r>
        <w:t xml:space="preserve">The dependent variable is the natural log of citation count plus one, where the plus-one transformation ensures the logarithm is defined for the many uncited records in the corpus. The explanatory variable is the natural log of the article age index, computed as 2026 minus publication year plus one. Estimation again uses HC1 robust standard errors. The coefficient on log age is an elasticity: it reports the percentage change in citations-plus-one associated with a one-percent change in article age</w:t>
      </w:r>
      <w:r>
        <w:t xml:space="preserve"> </w:t>
      </w:r>
      <w:hyperlink w:anchor="ref-11">
        <w:r>
          <w:rPr>
            <w:rStyle w:val="Hyperlink"/>
          </w:rPr>
          <w:t xml:space="preserve">[11]</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The learning-curve frame is borrowed from the study of cumulative processes, where a regular elasticity signals that outputs accumulate in a patterned way as a function of an underlying learning variable. Applied to a literature, the frame asks whether citation attention accumulates regularly with age. A measurable positive elasticity would indicate cumulative attention. A near-zero elasticity would indicate that age does not organize attention in this corpus. The specification also reports a progress ratio, two raised to the power of the elasticity, which expresses the multiplicative change in citations associated with a doubling of article age.</w:t>
      </w:r>
    </w:p>
    <w:p>
      <w:pPr>
        <w:pStyle w:val="BodyText"/>
        <w:spacing w:line="480" w:lineRule="auto"/>
        <w:ind w:firstLine="720"/>
      </w:pPr>
      <w:r>
        <w:t xml:space="preserve">The plus-one transformation deserves a note because it shapes interpretation. Roughly two-thirds of the corpus records report zero citations, and without the plus-one the log would be undefined for all of them. Adding one preserves those records in the estimation while compressing the influence of the few heavily cited outliers. The cost is that the elasticity is estimated over a dependent variable whose floor is structural rather than observed, which Chapter 7 flags as a limitation on how literally the progress ratio can be read.</w:t>
      </w:r>
    </w:p>
    <w:bookmarkEnd w:id="92"/>
    <w:bookmarkStart w:id="93" w:name="what-these-estimators-identify"/>
    <w:p>
      <w:pPr>
        <w:pStyle w:val="Heading2"/>
        <w:spacing w:line="480" w:lineRule="auto"/>
      </w:pPr>
      <w:r>
        <w:t xml:space="preserve">4.4 What These Estimators Identify</w:t>
      </w:r>
    </w:p>
    <w:p>
      <w:pPr>
        <w:pStyle w:val="FirstParagraph"/>
        <w:spacing w:line="480" w:lineRule="auto"/>
      </w:pPr>
      <w:r>
        <w:t xml:space="preserve">Identification is where a descriptive study earns or loses its credibility, so I state the claim precisely. Neither estimator identifies a causal effect. Paper 1 does not show that recency causes thematic density, and Paper 2 does not show that age causes citations. What the estimators identify is the conditional association structure of the observed corpus: how thematic density varies with recency, citations, and venue holding the others fixed, and how citation accumulation varies with age</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That is exactly what the theory in Chapter 3 asks for. The consolidation hypothesis predicts a particular fingerprint of associations, and the estimators are built to detect that fingerprint. A positive recency coefficient is consistent with a thickening shared frame; a large venue coefficient is consistent with institutional clustering; a positive age elasticity is consistent with cumulative attention. The estimators let the corpus display or fail to display these fingerprints without requiring a causal claim the data cannot support.</w:t>
      </w:r>
    </w:p>
    <w:p>
      <w:pPr>
        <w:pStyle w:val="BodyText"/>
        <w:spacing w:line="480" w:lineRule="auto"/>
        <w:ind w:firstLine="720"/>
      </w:pPr>
      <w:r>
        <w:t xml:space="preserve">The identification also rests on the deterministic construction of the key variables, which is a strength worth naming. The topic-signal score, the recency index, the venue score, and the age index are all computed by fixed rules from source metadata, not coded by a human analyst whose judgment might drift toward the consolidation hypothesis</w:t>
      </w:r>
      <w:r>
        <w:t xml:space="preserve"> </w:t>
      </w:r>
      <w:hyperlink w:anchor="ref-2">
        <w:r>
          <w:rPr>
            <w:rStyle w:val="Hyperlink"/>
          </w:rPr>
          <w:t xml:space="preserve">[2]</w:t>
        </w:r>
      </w:hyperlink>
      <w:r>
        <w:t xml:space="preserve"> </w:t>
      </w:r>
      <w:hyperlink w:anchor="ref-5">
        <w:r>
          <w:rPr>
            <w:rStyle w:val="Hyperlink"/>
          </w:rPr>
          <w:t xml:space="preserve">[5]</w:t>
        </w:r>
      </w:hyperlink>
      <w:r>
        <w:t xml:space="preserve">. This removes one common threat to descriptive validity, the analyst’s thumb on the scale, at the cost of measurement crudeness that Chapter 7 confronts directly.</w:t>
      </w:r>
    </w:p>
    <w:bookmarkEnd w:id="93"/>
    <w:bookmarkStart w:id="94" w:name="a-why-not-a-more-elaborate-model"/>
    <w:p>
      <w:pPr>
        <w:pStyle w:val="Heading2"/>
        <w:spacing w:line="480" w:lineRule="auto"/>
      </w:pPr>
      <w:r>
        <w:t xml:space="preserve">4.4a Why Not a More Elaborate Model</w:t>
      </w:r>
    </w:p>
    <w:p>
      <w:pPr>
        <w:pStyle w:val="FirstParagraph"/>
        <w:spacing w:line="480" w:lineRule="auto"/>
      </w:pPr>
      <w:r>
        <w:t xml:space="preserve">A skeptical reader may ask why the design does not reach for a count model, a hierarchical specification, or a machine-learning approach that could squeeze more from the data. The answer is disciplined restraint. At thirty observations, the asymptotic guarantees that justify elaborate estimators do not hold, and a complex model would produce coefficients whose apparent precision is illusory</w:t>
      </w:r>
      <w:r>
        <w:t xml:space="preserve"> </w:t>
      </w:r>
      <w:hyperlink w:anchor="ref-9">
        <w:r>
          <w:rPr>
            <w:rStyle w:val="Hyperlink"/>
          </w:rPr>
          <w:t xml:space="preserve">[9]</w:t>
        </w:r>
      </w:hyperlink>
      <w:r>
        <w:t xml:space="preserve">. A Poisson or negative-binomial model for the topic-signal count, for instance, would be defensible in principle, but its variance estimates at this sample size would be unreliable, and its coefficients would not answer the theoretical question more cleanly than OLS does over the observed range</w:t>
      </w:r>
      <w:r>
        <w:t xml:space="preserve"> </w:t>
      </w:r>
      <w:hyperlink w:anchor="ref-5">
        <w:r>
          <w:rPr>
            <w:rStyle w:val="Hyperlink"/>
          </w:rPr>
          <w:t xml:space="preserve">[5]</w:t>
        </w:r>
      </w:hyperlink>
      <w:r>
        <w:t xml:space="preserve">.</w:t>
      </w:r>
    </w:p>
    <w:p>
      <w:pPr>
        <w:pStyle w:val="BodyText"/>
        <w:spacing w:line="480" w:lineRule="auto"/>
        <w:ind w:firstLine="720"/>
      </w:pPr>
      <w:r>
        <w:t xml:space="preserve">Hierarchical modeling raises a similar objection. One could nest records within venue families and estimate random effects, but with three venue families and thirty records the hierarchy has too few groups to estimate variance components stably</w:t>
      </w:r>
      <w:r>
        <w:t xml:space="preserve"> </w:t>
      </w:r>
      <w:hyperlink w:anchor="ref-11">
        <w:r>
          <w:rPr>
            <w:rStyle w:val="Hyperlink"/>
          </w:rPr>
          <w:t xml:space="preserve">[11]</w:t>
        </w:r>
      </w:hyperlink>
      <w:r>
        <w:t xml:space="preserve">. The venue-family score in the OLS specification captures the same institutional structure with a single interpretable coefficient, and that coefficient is exactly the diagnostic the theory calls for. Adding a random-effects layer would trade interpretability for a spurious sophistication the data cannot support.</w:t>
      </w:r>
    </w:p>
    <w:p>
      <w:pPr>
        <w:pStyle w:val="BodyText"/>
        <w:spacing w:line="480" w:lineRule="auto"/>
        <w:ind w:firstLine="720"/>
      </w:pPr>
      <w:r>
        <w:t xml:space="preserve">The learning-curve model is likewise the simplest specification that answers its question. A more flexible functional form, a spline in age or a polynomial, could fit local wiggles in the age-citation relationship, but with a heavily zero-inflated citation variable and thirty records, those wiggles would be noise</w:t>
      </w:r>
      <w:r>
        <w:t xml:space="preserve"> </w:t>
      </w:r>
      <w:hyperlink w:anchor="ref-14">
        <w:r>
          <w:rPr>
            <w:rStyle w:val="Hyperlink"/>
          </w:rPr>
          <w:t xml:space="preserve">[14]</w:t>
        </w:r>
      </w:hyperlink>
      <w:r>
        <w:t xml:space="preserve">. The log-log form imposes a single elasticity, which is precisely the quantity the cumulative-attention hypothesis is about. Parsimony here is not laziness. It is the correct response to a small, heterogeneous panel, and it keeps the reader’s attention on the substantive coefficients rather than on modeling machinery.</w:t>
      </w:r>
    </w:p>
    <w:bookmarkEnd w:id="94"/>
    <w:bookmarkStart w:id="95" w:name="b-inference-under-robust-standard-errors"/>
    <w:p>
      <w:pPr>
        <w:pStyle w:val="Heading2"/>
        <w:spacing w:line="480" w:lineRule="auto"/>
      </w:pPr>
      <w:r>
        <w:t xml:space="preserve">4.4b Inference Under Robust Standard Errors</w:t>
      </w:r>
    </w:p>
    <w:p>
      <w:pPr>
        <w:pStyle w:val="FirstParagraph"/>
        <w:spacing w:line="480" w:lineRule="auto"/>
      </w:pPr>
      <w:r>
        <w:t xml:space="preserve">The choice of HC1 robust standard errors deserves a fuller defense, because inference is where a small-sample study is most exposed. Classical OLS standard errors assume homoskedasticity, and that assumption is untenable here: the topic-signal score’s variance differs across venue families because conference and journal records deposit signal through different metadata conventions</w:t>
      </w:r>
      <w:r>
        <w:t xml:space="preserve"> </w:t>
      </w:r>
      <w:hyperlink w:anchor="ref-5">
        <w:r>
          <w:rPr>
            <w:rStyle w:val="Hyperlink"/>
          </w:rPr>
          <w:t xml:space="preserve">[5]</w:t>
        </w:r>
      </w:hyperlink>
      <w:r>
        <w:t xml:space="preserve">. Using classical errors would understate uncertainty for the high-variance venue groups and produce overconfident significance tests. HC1 corrects for this by allowing each observation its own error variance, at the cost of some finite-sample conservatism.</w:t>
      </w:r>
    </w:p>
    <w:p>
      <w:pPr>
        <w:pStyle w:val="BodyText"/>
        <w:spacing w:line="480" w:lineRule="auto"/>
        <w:ind w:firstLine="720"/>
      </w:pPr>
      <w:r>
        <w:t xml:space="preserve">HC1 is the appropriate variant among the heteroskedasticity-consistent family for a panel of this size. It applies a degrees-of-freedom correction that inflates the variance estimate relative to the uncorrected HC0, which matters at N equal to thirty where every degree of freedom counts</w:t>
      </w:r>
      <w:r>
        <w:t xml:space="preserve"> </w:t>
      </w:r>
      <w:hyperlink w:anchor="ref-9">
        <w:r>
          <w:rPr>
            <w:rStyle w:val="Hyperlink"/>
          </w:rPr>
          <w:t xml:space="preserve">[9]</w:t>
        </w:r>
      </w:hyperlink>
      <w:r>
        <w:t xml:space="preserve">. More aggressive corrections exist, but they can be overly conservative in small samples, and HC1 strikes the standard balance. The reader should nonetheless treat all significance claims as characterizations of this specific panel rather than as estimates that would replicate in a larger, differently composed corpus.</w:t>
      </w:r>
    </w:p>
    <w:p>
      <w:pPr>
        <w:pStyle w:val="BodyText"/>
        <w:spacing w:line="480" w:lineRule="auto"/>
        <w:ind w:firstLine="720"/>
      </w:pPr>
      <w:r>
        <w:t xml:space="preserve">For the learning curve, the same logic applies with an added wrinkle. The plus-one transformation compresses the zero-citation records to a common floor, which concentrates variance among the few cited records</w:t>
      </w:r>
      <w:r>
        <w:t xml:space="preserve"> </w:t>
      </w:r>
      <w:hyperlink w:anchor="ref-14">
        <w:r>
          <w:rPr>
            <w:rStyle w:val="Hyperlink"/>
          </w:rPr>
          <w:t xml:space="preserve">[14]</w:t>
        </w:r>
      </w:hyperlink>
      <w:r>
        <w:t xml:space="preserve">. Robust errors protect the elasticity estimate against the resulting heteroskedasticity, but they cannot manufacture information the near-constant dependent variable does not contain. When Chapter 6 reports a near-zero R-squared for the learning curve, that is not a failure of inference; it is an honest reflection of a dependent variable whose variation is structurally limited by the citation floor</w:t>
      </w:r>
      <w:r>
        <w:t xml:space="preserve"> </w:t>
      </w:r>
      <w:hyperlink w:anchor="ref-3">
        <w:r>
          <w:rPr>
            <w:rStyle w:val="Hyperlink"/>
          </w:rPr>
          <w:t xml:space="preserve">[3]</w:t>
        </w:r>
      </w:hyperlink>
      <w:r>
        <w:t xml:space="preserve">.</w:t>
      </w:r>
    </w:p>
    <w:bookmarkEnd w:id="95"/>
    <w:bookmarkStart w:id="96" w:name="threats-the-design-anticipates"/>
    <w:p>
      <w:pPr>
        <w:pStyle w:val="Heading2"/>
        <w:spacing w:line="480" w:lineRule="auto"/>
      </w:pPr>
      <w:r>
        <w:t xml:space="preserve">4.5 Threats the Design Anticipates</w:t>
      </w:r>
    </w:p>
    <w:p>
      <w:pPr>
        <w:pStyle w:val="FirstParagraph"/>
        <w:spacing w:line="480" w:lineRule="auto"/>
      </w:pPr>
      <w:r>
        <w:t xml:space="preserve">Three threats deserve preemptive treatment. The first is small-sample fragility. At N equal to thirty, individual influential records can move coefficients, and inference is more sensitive to distributional assumptions than it would be in a large panel. The robust standard errors partially address this, but the honest response is to report the results as characterizations of a specific bounded corpus rather than as estimates that would generalize to the full space-security literature</w:t>
      </w:r>
      <w:r>
        <w:t xml:space="preserve"> </w:t>
      </w:r>
      <w:hyperlink w:anchor="ref-9">
        <w:r>
          <w:rPr>
            <w:rStyle w:val="Hyperlink"/>
          </w:rPr>
          <w:t xml:space="preserve">[9]</w:t>
        </w:r>
      </w:hyperlink>
      <w:r>
        <w:t xml:space="preserve">.</w:t>
      </w:r>
    </w:p>
    <w:p>
      <w:pPr>
        <w:pStyle w:val="BodyText"/>
        <w:spacing w:line="480" w:lineRule="auto"/>
        <w:ind w:firstLine="720"/>
      </w:pPr>
      <w:r>
        <w:t xml:space="preserve">The second threat is proxy validity. Thematic-signal density is a proxy for how densely a paper is written into the shared frame, and citation count is a proxy for attention. Both proxies are imperfect. A paper can be central to the security conversation while depositing modest metadata signal, and citation counts vary across venues and years for reasons unrelated to thematic importance</w:t>
      </w:r>
      <w:r>
        <w:t xml:space="preserve"> </w:t>
      </w:r>
      <w:hyperlink w:anchor="ref-11">
        <w:r>
          <w:rPr>
            <w:rStyle w:val="Hyperlink"/>
          </w:rPr>
          <w:t xml:space="preserve">[11]</w:t>
        </w:r>
      </w:hyperlink>
      <w:r>
        <w:t xml:space="preserve">. The design does not solve this; it makes the proxies explicit so the reader can discount accordingly.</w:t>
      </w:r>
    </w:p>
    <w:p>
      <w:pPr>
        <w:pStyle w:val="BodyText"/>
        <w:spacing w:line="480" w:lineRule="auto"/>
        <w:ind w:firstLine="720"/>
      </w:pPr>
      <w:r>
        <w:t xml:space="preserve">The third threat is corpus composition. The panel mixes operational conference papers, synthetic journal articles, and loosely related economy and roadmap records</w:t>
      </w:r>
      <w:r>
        <w:t xml:space="preserve"> </w:t>
      </w:r>
      <w:hyperlink w:anchor="ref-18">
        <w:r>
          <w:rPr>
            <w:rStyle w:val="Hyperlink"/>
          </w:rPr>
          <w:t xml:space="preserve">[18]</w:t>
        </w:r>
      </w:hyperlink>
      <w:r>
        <w:t xml:space="preserve">. This heterogeneity is realistic, because the retrieved security discourse genuinely spans these forms, but it complicates the attention test in particular, since citation conventions differ sharply across the forms. The venue-family control in Paper 1 absorbs some of this, and the elasticity in Paper 2 must be read with the heterogeneity in mind.</w:t>
      </w:r>
    </w:p>
    <w:bookmarkEnd w:id="96"/>
    <w:bookmarkStart w:id="97" w:name="X7fbb0f428591d4bd6b816fa44821ae8519324ce"/>
    <w:p>
      <w:pPr>
        <w:pStyle w:val="Heading2"/>
        <w:spacing w:line="480" w:lineRule="auto"/>
      </w:pPr>
      <w:r>
        <w:t xml:space="preserve">4.6 Robustness Considerations Within the Design</w:t>
      </w:r>
    </w:p>
    <w:p>
      <w:pPr>
        <w:pStyle w:val="FirstParagraph"/>
        <w:spacing w:line="480" w:lineRule="auto"/>
      </w:pPr>
      <w:r>
        <w:t xml:space="preserve">Even a descriptive study should think about robustness, and several considerations shape how much weight the coefficients can bear. The venue coefficient is the study’s headline result, and its robustness rests on whether the AMOS-Acta-economy ordering drives the finding or merely labels it. Because the venue score is ordinal, a monotone recoding would relocate the coefficient without changing the underlying fact that conference records carry the densest signal</w:t>
      </w:r>
      <w:r>
        <w:t xml:space="preserve"> </w:t>
      </w:r>
      <w:hyperlink w:anchor="ref-5">
        <w:r>
          <w:rPr>
            <w:rStyle w:val="Hyperlink"/>
          </w:rPr>
          <w:t xml:space="preserve">[5]</w:t>
        </w:r>
      </w:hyperlink>
      <w:r>
        <w:t xml:space="preserve">. The substantive claim survives recoding; the specific coefficient magnitude is scale-dependent, and Chapter 7 treats that dependence explicitly.</w:t>
      </w:r>
    </w:p>
    <w:p>
      <w:pPr>
        <w:pStyle w:val="BodyText"/>
        <w:spacing w:line="480" w:lineRule="auto"/>
        <w:ind w:firstLine="720"/>
      </w:pPr>
      <w:r>
        <w:t xml:space="preserve">Influence is the second robustness concern. At thirty records, a single extreme observation can move a coefficient, and the corpus contains genuine outliers, chief among them the forty-citation journal record whose topic-signal score is only three</w:t>
      </w:r>
      <w:r>
        <w:t xml:space="preserve"> </w:t>
      </w:r>
      <w:hyperlink w:anchor="ref-14">
        <w:r>
          <w:rPr>
            <w:rStyle w:val="Hyperlink"/>
          </w:rPr>
          <w:t xml:space="preserve">[14]</w:t>
        </w:r>
      </w:hyperlink>
      <w:r>
        <w:t xml:space="preserve">. In Paper 1, that record pulls against any positive citation coefficient, which is part of why the citation term is small and insignificant. In Paper 2, the log transformation compresses its leverage on the elasticity, but the record remains the panel’s attention extreme. A formal influence diagnostic would confirm what inspection already shows: the results are shaped by a recognizable set of records, and they should be read as descriptions of this corpus with those records in it</w:t>
      </w:r>
      <w:r>
        <w:t xml:space="preserve"> </w:t>
      </w:r>
      <w:hyperlink w:anchor="ref-11">
        <w:r>
          <w:rPr>
            <w:rStyle w:val="Hyperlink"/>
          </w:rPr>
          <w:t xml:space="preserve">[11]</w:t>
        </w:r>
      </w:hyperlink>
      <w:r>
        <w:t xml:space="preserve">.</w:t>
      </w:r>
    </w:p>
    <w:p>
      <w:pPr>
        <w:pStyle w:val="BodyText"/>
        <w:spacing w:line="480" w:lineRule="auto"/>
        <w:ind w:firstLine="720"/>
      </w:pPr>
      <w:r>
        <w:t xml:space="preserve">The third consideration is specification stability across the two papers. The papers share a panel and a temporal variable viewed from opposite ends, recency in Paper 1 and age in Paper 2</w:t>
      </w:r>
      <w:r>
        <w:t xml:space="preserve"> </w:t>
      </w:r>
      <w:hyperlink w:anchor="ref-11">
        <w:r>
          <w:rPr>
            <w:rStyle w:val="Hyperlink"/>
          </w:rPr>
          <w:t xml:space="preserve">[11]</w:t>
        </w:r>
      </w:hyperlink>
      <w:r>
        <w:t xml:space="preserve">. That shared structure is a feature: it means the two results are not independent studies but two views of one corpus, and their joint pattern is more informative than either alone. If Paper 1 finds venue dominance and Paper 2 finds attention flatness, the two findings reinforce a single coherent reading of the corpus rather than pointing in unrelated directions. With the estimators, their identification limits, and their robustness properties fixed, the next chapter documents the data on which they operate.</w:t>
      </w:r>
    </w:p>
    <w:bookmarkEnd w:id="97"/>
    <w:bookmarkStart w:id="98" w:name="X72bb9eea87288f74c29ca516e0a58d0d6a0180b"/>
    <w:p>
      <w:pPr>
        <w:pStyle w:val="Heading2"/>
        <w:spacing w:line="480" w:lineRule="auto"/>
      </w:pPr>
      <w:r>
        <w:t xml:space="preserve">4.7 The Deterministic Variable Construction as an Identification Asset</w:t>
      </w:r>
    </w:p>
    <w:p>
      <w:pPr>
        <w:pStyle w:val="FirstParagraph"/>
        <w:spacing w:line="480" w:lineRule="auto"/>
      </w:pPr>
      <w:r>
        <w:t xml:space="preserve">The deterministic construction of the key variables is not merely a convenience; it is an identification asset that deserves its own treatment. In studies where a human analyst codes the dependent variable, the coder’s judgment can drift toward the hypothesis, and that drift is a threat to validity that is hard to rule out</w:t>
      </w:r>
      <w:r>
        <w:t xml:space="preserve"> </w:t>
      </w:r>
      <w:hyperlink w:anchor="ref-2">
        <w:r>
          <w:rPr>
            <w:rStyle w:val="Hyperlink"/>
          </w:rPr>
          <w:t xml:space="preserve">[2]</w:t>
        </w:r>
      </w:hyperlink>
      <w:r>
        <w:t xml:space="preserve">. Here the topic-signal score is computed by a fixed rule that counts candidate-theme term hits across four metadata fields, with no human choice at the point of measurement</w:t>
      </w:r>
      <w:r>
        <w:t xml:space="preserve"> </w:t>
      </w:r>
      <w:hyperlink w:anchor="ref-5">
        <w:r>
          <w:rPr>
            <w:rStyle w:val="Hyperlink"/>
          </w:rPr>
          <w:t xml:space="preserve">[5]</w:t>
        </w:r>
      </w:hyperlink>
      <w:r>
        <w:t xml:space="preserve">. The recency index, the age index, and the venue score are likewise rule-based transforms of source metadata. The analyst cannot nudge any of these toward a preferred result.</w:t>
      </w:r>
    </w:p>
    <w:p>
      <w:pPr>
        <w:pStyle w:val="BodyText"/>
        <w:spacing w:line="480" w:lineRule="auto"/>
        <w:ind w:firstLine="720"/>
      </w:pPr>
      <w:r>
        <w:t xml:space="preserve">This matters for what the estimators identify. Because the variables are constructed before any regression is run, and by rules that do not reference the outcome, the association structure the estimators recover cannot be an artifact of outcome-dependent coding</w:t>
      </w:r>
      <w:r>
        <w:t xml:space="preserve"> </w:t>
      </w:r>
      <w:hyperlink w:anchor="ref-3">
        <w:r>
          <w:rPr>
            <w:rStyle w:val="Hyperlink"/>
          </w:rPr>
          <w:t xml:space="preserve">[3]</w:t>
        </w:r>
      </w:hyperlink>
      <w:r>
        <w:t xml:space="preserve">. The venue coefficient, if large, reflects a real gradient in rule-computed thematic signal across rule-assigned venue codes, not a coder’s expectation that conference records should score higher. For a descriptive study whose credibility rests on the analyst’s restraint, mechanized measurement is the strongest available guarantee of that restraint.</w:t>
      </w:r>
    </w:p>
    <w:p>
      <w:pPr>
        <w:pStyle w:val="BodyText"/>
        <w:spacing w:line="480" w:lineRule="auto"/>
        <w:ind w:firstLine="720"/>
      </w:pPr>
      <w:r>
        <w:t xml:space="preserve">The asset comes paired with a liability that Chapter 5 develops. Rule-based measurement is only as good as its rules and its inputs, and both are crude here: the topic-signal rule counts vocabulary rather than reading argument, and the metadata inputs carry gaps that vary by venue</w:t>
      </w:r>
      <w:r>
        <w:t xml:space="preserve"> </w:t>
      </w:r>
      <w:hyperlink w:anchor="ref-5">
        <w:r>
          <w:rPr>
            <w:rStyle w:val="Hyperlink"/>
          </w:rPr>
          <w:t xml:space="preserve">[5]</w:t>
        </w:r>
      </w:hyperlink>
      <w:r>
        <w:t xml:space="preserve"> </w:t>
      </w:r>
      <w:hyperlink w:anchor="ref-11">
        <w:r>
          <w:rPr>
            <w:rStyle w:val="Hyperlink"/>
          </w:rPr>
          <w:t xml:space="preserve">[11]</w:t>
        </w:r>
      </w:hyperlink>
      <w:r>
        <w:t xml:space="preserve">. The construction removes analyst drift at the cost of measurement crudeness. That is a favorable trade for a falsifiability-focused design The trade is worth making., because analyst drift would undermine the falsifiable claim at its root, whereas measurement crudeness merely bounds how far the findings can be pushed. The identification logic thus rests on a clear principle: mechanize the measurement to protect the falsifiable claim, and confront the resulting crudeness openly rather than hide it</w:t>
      </w:r>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p>
      <w:pPr>
        <w:pStyle w:val="BodyText"/>
        <w:spacing w:line="480" w:lineRule="auto"/>
        <w:ind w:firstLine="720"/>
      </w:pPr>
      <w:r>
        <w:t xml:space="preserve">One further identification point concerns the relationship between the two papers’ shared temporal variable. Recency in Paper 1 and age in Paper 2 are monotone transforms of the same publication year, so the two estimators view one temporal dimension from opposite ends</w:t>
      </w:r>
      <w:r>
        <w:t xml:space="preserve"> </w:t>
      </w:r>
      <w:hyperlink w:anchor="ref-11">
        <w:r>
          <w:rPr>
            <w:rStyle w:val="Hyperlink"/>
          </w:rPr>
          <w:t xml:space="preserve">[11]</w:t>
        </w:r>
      </w:hyperlink>
      <w:r>
        <w:t xml:space="preserve">. This is deliberate and it strengthens identification rather than weakening it. Because the two papers ask different questions of the same underlying time variable, thematic density against recency and citation accumulation against age, a consistent story across both is harder to fake than a result from either alone</w:t>
      </w:r>
      <w:r>
        <w:t xml:space="preserve"> </w:t>
      </w:r>
      <w:hyperlink w:anchor="ref-14">
        <w:r>
          <w:rPr>
            <w:rStyle w:val="Hyperlink"/>
          </w:rPr>
          <w:t xml:space="preserve">[14]</w:t>
        </w:r>
      </w:hyperlink>
      <w:r>
        <w:t xml:space="preserve">. If time organized the corpus, it would show up as recency structure in one paper and age structure in the other; its failure to show up in both is a coherent, cross-validated null on the temporal dimension. The shared temporal variable thus turns two separate regressions into a single, more robust reading of whether time organizes this discourse</w:t>
      </w:r>
      <w:r>
        <w:t xml:space="preserve"> </w:t>
      </w:r>
      <w:hyperlink w:anchor="ref-3">
        <w:r>
          <w:rPr>
            <w:rStyle w:val="Hyperlink"/>
          </w:rPr>
          <w:t xml:space="preserve">[3]</w:t>
        </w:r>
      </w:hyperlink>
      <w:r>
        <w:t xml:space="preserve">.</w:t>
      </w:r>
    </w:p>
    <w:bookmarkEnd w:id="98"/>
    <w:bookmarkEnd w:id="99"/>
    <w:bookmarkStart w:id="109" w:name="chapter-5-data-and-measurement"/>
    <w:p>
      <w:pPr>
        <w:pStyle w:val="Heading1"/>
        <w:spacing w:line="480" w:lineRule="auto"/>
      </w:pPr>
      <w:r>
        <w:t xml:space="preserve">Chapter 5: Data and Measurement</w:t>
      </w:r>
    </w:p>
    <w:p>
      <w:pPr>
        <w:pStyle w:val="FirstParagraph"/>
        <w:spacing w:line="480" w:lineRule="auto"/>
      </w:pPr>
      <w:r>
        <w:t xml:space="preserve">The credibility of a descriptive study rests on its data documentation. This chapter accounts for every element of the thirty-record panel: where the records came from, how each variable was built, and what the resulting distributions look like. The panel is small and its construction is deterministic Every value is traceable., which makes full transparency both feasible and obligatory</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Start w:id="100" w:name="the-panel"/>
    <w:p>
      <w:pPr>
        <w:pStyle w:val="Heading2"/>
        <w:spacing w:line="480" w:lineRule="auto"/>
      </w:pPr>
      <w:r>
        <w:t xml:space="preserve">5.1 The Panel</w:t>
      </w:r>
    </w:p>
    <w:p>
      <w:pPr>
        <w:pStyle w:val="FirstParagraph"/>
        <w:spacing w:line="480" w:lineRule="auto"/>
      </w:pPr>
      <w:r>
        <w:t xml:space="preserve">The dataset is a thirty-record cross-section retrieved for this candidate topic. Each record corresponds to one source in the space-security literature, ranging from 2007 to 2025, and each preserves its source trail in a dedicated column. The sources include Advanced Maui Optical and Space Surveillance conference papers, Acta Astronautica journal articles, and a set of space-economy roadmap and forecasting documents</w:t>
      </w:r>
      <w:r>
        <w:t xml:space="preserve"> </w:t>
      </w:r>
      <w:hyperlink w:anchor="ref-5">
        <w:r>
          <w:rPr>
            <w:rStyle w:val="Hyperlink"/>
          </w:rPr>
          <w:t xml:space="preserve">[5]</w:t>
        </w:r>
      </w:hyperlink>
      <w:r>
        <w:t xml:space="preserve"> </w:t>
      </w:r>
      <w:hyperlink w:anchor="ref-11">
        <w:r>
          <w:rPr>
            <w:rStyle w:val="Hyperlink"/>
          </w:rPr>
          <w:t xml:space="preserve">[11]</w:t>
        </w:r>
      </w:hyperlink>
      <w:r>
        <w:t xml:space="preserve"> </w:t>
      </w:r>
      <w:hyperlink w:anchor="ref-18">
        <w:r>
          <w:rPr>
            <w:rStyle w:val="Hyperlink"/>
          </w:rPr>
          <w:t xml:space="preserve">[18]</w:t>
        </w:r>
      </w:hyperlink>
      <w:r>
        <w:t xml:space="preserve">. Twelve records carry AMOS provenance, twelve carry Acta provenance, and six carry space-economy provenance, which fixes the venue-family distribution used throughout the analysis.</w:t>
      </w:r>
    </w:p>
    <w:p>
      <w:pPr>
        <w:pStyle w:val="BodyText"/>
        <w:spacing w:line="480" w:lineRule="auto"/>
        <w:ind w:firstLine="720"/>
      </w:pPr>
      <w:r>
        <w:t xml:space="preserve">The records were not sampled to prove a point. They are what the retrieval returned. They are the bounded retrieved set for the candidate, and the panel preserves whatever composition the retrieval produced. This is a strength for descriptive purposes, because the panel is the discourse object under study rather than a curated illustration of it. It is also a constraint, because the panel is not a random sample of the space-security literature and its findings characterize this corpus rather than the field at large</w:t>
      </w:r>
      <w:r>
        <w:t xml:space="preserve"> </w:t>
      </w:r>
      <w:hyperlink w:anchor="ref-3">
        <w:r>
          <w:rPr>
            <w:rStyle w:val="Hyperlink"/>
          </w:rPr>
          <w:t xml:space="preserve">[3]</w:t>
        </w:r>
      </w:hyperlink>
      <w:r>
        <w:t xml:space="preserve">.</w:t>
      </w:r>
    </w:p>
    <w:p>
      <w:pPr>
        <w:pStyle w:val="BodyText"/>
        <w:spacing w:line="480" w:lineRule="auto"/>
        <w:ind w:firstLine="720"/>
      </w:pPr>
      <w:r>
        <w:t xml:space="preserve">Two records anchor the temporal range. They bracket eighteen years. The oldest, from 2007, concern atmospheric support for space situational awareness at the US Naval Observatory and an assessment of space and satellite environment and system security</w:t>
      </w:r>
      <w:r>
        <w:t xml:space="preserve"> </w:t>
      </w:r>
      <w:hyperlink w:anchor="ref-12">
        <w:r>
          <w:rPr>
            <w:rStyle w:val="Hyperlink"/>
          </w:rPr>
          <w:t xml:space="preserve">[12]</w:t>
        </w:r>
      </w:hyperlink>
      <w:r>
        <w:t xml:space="preserve">. The newest, from 2025, concern laser utilization governance, cyber operations governance, and radiation-hardness assurance review</w:t>
      </w:r>
      <w:r>
        <w:t xml:space="preserve"> </w:t>
      </w:r>
      <w:hyperlink w:anchor="ref-15">
        <w:r>
          <w:rPr>
            <w:rStyle w:val="Hyperlink"/>
          </w:rPr>
          <w:t xml:space="preserve">[15]</w:t>
        </w:r>
      </w:hyperlink>
      <w:r>
        <w:t xml:space="preserve"> </w:t>
      </w:r>
      <w:hyperlink w:anchor="ref-17">
        <w:r>
          <w:rPr>
            <w:rStyle w:val="Hyperlink"/>
          </w:rPr>
          <w:t xml:space="preserve">[17]</w:t>
        </w:r>
      </w:hyperlink>
      <w:r>
        <w:t xml:space="preserve"> </w:t>
      </w:r>
      <w:hyperlink w:anchor="ref-21">
        <w:r>
          <w:rPr>
            <w:rStyle w:val="Hyperlink"/>
          </w:rPr>
          <w:t xml:space="preserve">[21]</w:t>
        </w:r>
      </w:hyperlink>
      <w:r>
        <w:t xml:space="preserve">. This eighteen-year span is what makes the age-based attention test in Paper 2 possible.</w:t>
      </w:r>
    </w:p>
    <w:bookmarkEnd w:id="100"/>
    <w:bookmarkStart w:id="101" w:name="Xc7701ffd8269b7662db358de7ca36d263e18e7b"/>
    <w:p>
      <w:pPr>
        <w:pStyle w:val="Heading2"/>
        <w:spacing w:line="480" w:lineRule="auto"/>
      </w:pPr>
      <w:r>
        <w:t xml:space="preserve">5.2 The Dependent Variable: Composite Topic-Signal Score</w:t>
      </w:r>
    </w:p>
    <w:p>
      <w:pPr>
        <w:pStyle w:val="FirstParagraph"/>
        <w:spacing w:line="480" w:lineRule="auto"/>
      </w:pPr>
      <w:r>
        <w:t xml:space="preserve">The composite topic-signal score is the central constructed variable, and its construction is entirely rule-based. For each record, the score counts candidate-theme term hits across four metadata fields: the source title, a retrieved snippet, a keyword field, and author metadata. A record that repeatedly deposits candidate-theme vocabulary across these fields earns a high score; a record that touches the theme lightly earns a low one. No human judgment enters the count</w:t>
      </w:r>
      <w:r>
        <w:t xml:space="preserve"> </w:t>
      </w:r>
      <w:hyperlink w:anchor="ref-2">
        <w:r>
          <w:rPr>
            <w:rStyle w:val="Hyperlink"/>
          </w:rPr>
          <w:t xml:space="preserve">[2]</w:t>
        </w:r>
      </w:hyperlink>
      <w:r>
        <w:t xml:space="preserve"> </w:t>
      </w:r>
      <w:hyperlink w:anchor="ref-4">
        <w:r>
          <w:rPr>
            <w:rStyle w:val="Hyperlink"/>
          </w:rPr>
          <w:t xml:space="preserve">[4]</w:t>
        </w:r>
      </w:hyperlink>
      <w:r>
        <w:t xml:space="preserve">. The rule decides.</w:t>
      </w:r>
    </w:p>
    <w:p>
      <w:pPr>
        <w:pStyle w:val="BodyText"/>
        <w:spacing w:line="480" w:lineRule="auto"/>
        <w:ind w:firstLine="720"/>
      </w:pPr>
      <w:r>
        <w:t xml:space="preserve">The observed scores range from one to twelve. At the low end sit the space-economy roadmap records, several of which score one because they carry a title but no snippet, keyword, or theme-hit metadata in the retrieved set. At the high end sits a 2024 Acta record on European Union defense and security strategy against hybrid threats, which scores twelve, and a 2022 AMOS record on trends in US space domain awareness acquisition, which scores eleven</w:t>
      </w:r>
      <w:r>
        <w:t xml:space="preserve"> </w:t>
      </w:r>
      <w:hyperlink w:anchor="ref-5">
        <w:r>
          <w:rPr>
            <w:rStyle w:val="Hyperlink"/>
          </w:rPr>
          <w:t xml:space="preserve">[5]</w:t>
        </w:r>
      </w:hyperlink>
      <w:r>
        <w:t xml:space="preserve"> </w:t>
      </w:r>
      <w:hyperlink w:anchor="ref-11">
        <w:r>
          <w:rPr>
            <w:rStyle w:val="Hyperlink"/>
          </w:rPr>
          <w:t xml:space="preserve">[11]</w:t>
        </w:r>
      </w:hyperlink>
      <w:r>
        <w:t xml:space="preserve"> </w:t>
      </w:r>
      <w:hyperlink w:anchor="ref-16">
        <w:r>
          <w:rPr>
            <w:rStyle w:val="Hyperlink"/>
          </w:rPr>
          <w:t xml:space="preserve">[16]</w:t>
        </w:r>
      </w:hyperlink>
      <w:r>
        <w:t xml:space="preserve">. The score’s spread across venue families is the empirical fact that Paper 1 exists to explain.</w:t>
      </w:r>
    </w:p>
    <w:p>
      <w:pPr>
        <w:pStyle w:val="BodyText"/>
        <w:spacing w:line="480" w:lineRule="auto"/>
        <w:ind w:firstLine="720"/>
      </w:pPr>
      <w:r>
        <w:t xml:space="preserve">An important measurement caveat belongs here. The score measures density of thematic framing in metadata, not the depth or quality of the security argument in the full text. A record can advance a serious counterspace argument while depositing modest metadata signal, and a record can deposit dense signal while contributing little that is new</w:t>
      </w:r>
      <w:r>
        <w:t xml:space="preserve"> </w:t>
      </w:r>
      <w:hyperlink w:anchor="ref-8">
        <w:r>
          <w:rPr>
            <w:rStyle w:val="Hyperlink"/>
          </w:rPr>
          <w:t xml:space="preserve">[8]</w:t>
        </w:r>
      </w:hyperlink>
      <w:r>
        <w:t xml:space="preserve">. The score is a fingerprint of framing, and it should be read as exactly that.</w:t>
      </w:r>
    </w:p>
    <w:bookmarkEnd w:id="101"/>
    <w:bookmarkStart w:id="102" w:name="the-covariates"/>
    <w:p>
      <w:pPr>
        <w:pStyle w:val="Heading2"/>
        <w:spacing w:line="480" w:lineRule="auto"/>
      </w:pPr>
      <w:r>
        <w:t xml:space="preserve">5.3 The Covariates</w:t>
      </w:r>
    </w:p>
    <w:p>
      <w:pPr>
        <w:pStyle w:val="FirstParagraph"/>
        <w:spacing w:line="480" w:lineRule="auto"/>
      </w:pPr>
      <w:r>
        <w:t xml:space="preserve">Four covariates enter the two specifications, and each is computed deterministically from source metadata.</w:t>
      </w:r>
    </w:p>
    <w:p>
      <w:pPr>
        <w:pStyle w:val="BodyText"/>
        <w:spacing w:line="480" w:lineRule="auto"/>
        <w:ind w:firstLine="720"/>
      </w:pPr>
      <w:r>
        <w:t xml:space="preserve">The recency index is publication year minus the minimum publication year in the sample plus one. With the earliest records at 2007, the 2007 records take a recency index of one, and the 2025 records take a recency index of nineteen. The index is a monotone re-expression of publication year that keeps the intercept interpretable and the coefficient in convenient units.</w:t>
      </w:r>
    </w:p>
    <w:p>
      <w:pPr>
        <w:pStyle w:val="BodyText"/>
        <w:spacing w:line="480" w:lineRule="auto"/>
        <w:ind w:firstLine="720"/>
      </w:pPr>
      <w:r>
        <w:t xml:space="preserve">The citation count is parsed from the local brain index and set to zero when the index reports no count. The distribution is sharply skewed. Twenty of the thirty records report zero citations, while a small number of Acta records carry substantial counts: forty for a 2019 record, twenty-one for a 2023 record, seventeen for a 2022 record, and sixteen for a 2024 record</w:t>
      </w:r>
      <w:r>
        <w:t xml:space="preserve"> </w:t>
      </w:r>
      <w:hyperlink w:anchor="ref-14">
        <w:r>
          <w:rPr>
            <w:rStyle w:val="Hyperlink"/>
          </w:rPr>
          <w:t xml:space="preserve">[14]</w:t>
        </w:r>
      </w:hyperlink>
      <w:r>
        <w:t xml:space="preserve"> </w:t>
      </w:r>
      <w:hyperlink w:anchor="ref-18">
        <w:r>
          <w:rPr>
            <w:rStyle w:val="Hyperlink"/>
          </w:rPr>
          <w:t xml:space="preserve">[18]</w:t>
        </w:r>
      </w:hyperlink>
      <w:r>
        <w:t xml:space="preserve"> </w:t>
      </w:r>
      <w:hyperlink w:anchor="ref-19">
        <w:r>
          <w:rPr>
            <w:rStyle w:val="Hyperlink"/>
          </w:rPr>
          <w:t xml:space="preserve">[19]</w:t>
        </w:r>
      </w:hyperlink>
      <w:r>
        <w:t xml:space="preserve">. This skew is the reason Paper 2 uses a log transformation and a plus-one adjustment. The skew is severe.</w:t>
      </w:r>
    </w:p>
    <w:p>
      <w:pPr>
        <w:pStyle w:val="BodyText"/>
        <w:spacing w:line="480" w:lineRule="auto"/>
        <w:ind w:firstLine="720"/>
      </w:pPr>
      <w:r>
        <w:t xml:space="preserve">The venue-family score is an ordinal code: AMOS equals one, Acta Astronautica equals two, and space economy equals three. The code is not a quality ranking. It records which institutional conversation a source belongs to, so that Paper 1 can test whether thematic density is organized by venue</w:t>
      </w:r>
      <w:r>
        <w:t xml:space="preserve"> </w:t>
      </w:r>
      <w:hyperlink w:anchor="ref-5">
        <w:r>
          <w:rPr>
            <w:rStyle w:val="Hyperlink"/>
          </w:rPr>
          <w:t xml:space="preserve">[5]</w:t>
        </w:r>
      </w:hyperlink>
      <w:r>
        <w:t xml:space="preserve">. Because the code is ordinal and the venue families differ in citation culture and metadata convention, its coefficient in Paper 1 is the diagnostic for institutional clustering.</w:t>
      </w:r>
    </w:p>
    <w:p>
      <w:pPr>
        <w:pStyle w:val="BodyText"/>
        <w:spacing w:line="480" w:lineRule="auto"/>
        <w:ind w:firstLine="720"/>
      </w:pPr>
      <w:r>
        <w:t xml:space="preserve">The age index, used only in Paper 2, is 2026 minus publication year plus one. The 2025 records take an age index of two, and the 2007 records take an age index of twenty. Age and recency are monotone transforms of the same underlying year, so the two papers view the temporal dimension from opposite ends: Paper 1 asks whether newer means denser, and Paper 2 asks whether older means more cited.</w:t>
      </w:r>
    </w:p>
    <w:bookmarkEnd w:id="102"/>
    <w:bookmarkStart w:id="103" w:name="distributions-and-notable-records"/>
    <w:p>
      <w:pPr>
        <w:pStyle w:val="Heading2"/>
        <w:spacing w:line="480" w:lineRule="auto"/>
      </w:pPr>
      <w:r>
        <w:t xml:space="preserve">5.4 Distributions and Notable Records</w:t>
      </w:r>
    </w:p>
    <w:p>
      <w:pPr>
        <w:pStyle w:val="FirstParagraph"/>
        <w:spacing w:line="480" w:lineRule="auto"/>
      </w:pPr>
      <w:r>
        <w:t xml:space="preserve">Reading the panel by hand is feasible at this scale Thirty records fit on a page., and doing so surfaces the structure the estimators will formalize. The AMOS records cluster at moderate-to-high topic-signal scores and zero citations, reflecting a conference community that deposits dense security vocabulary but whose papers are not indexed for citation in the local brain</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Acta records show the opposite profile: lower average topic-signal scores but the only substantial citation counts in the panel</w:t>
      </w:r>
      <w:r>
        <w:t xml:space="preserve"> </w:t>
      </w:r>
      <w:hyperlink w:anchor="ref-14">
        <w:r>
          <w:rPr>
            <w:rStyle w:val="Hyperlink"/>
          </w:rPr>
          <w:t xml:space="preserve">[14]</w:t>
        </w:r>
      </w:hyperlink>
      <w:r>
        <w:t xml:space="preserve"> </w:t>
      </w:r>
      <w:hyperlink w:anchor="ref-16">
        <w:r>
          <w:rPr>
            <w:rStyle w:val="Hyperlink"/>
          </w:rPr>
          <w:t xml:space="preserve">[16]</w:t>
        </w:r>
      </w:hyperlink>
      <w:r>
        <w:t xml:space="preserve">. The space-economy records sit apart, with minimal metadata and low scores, and they function partly as a low-signal comparison group</w:t>
      </w:r>
      <w:r>
        <w:t xml:space="preserve"> </w:t>
      </w:r>
      <w:hyperlink w:anchor="ref-18">
        <w:r>
          <w:rPr>
            <w:rStyle w:val="Hyperlink"/>
          </w:rPr>
          <w:t xml:space="preserve">[18]</w:t>
        </w:r>
      </w:hyperlink>
      <w:r>
        <w:t xml:space="preserve">.</w:t>
      </w:r>
    </w:p>
    <w:p>
      <w:pPr>
        <w:pStyle w:val="BodyText"/>
        <w:spacing w:line="480" w:lineRule="auto"/>
        <w:ind w:firstLine="720"/>
      </w:pPr>
      <w:r>
        <w:t xml:space="preserve">Several individual records repay attention. The 2019 Acta record with forty citations is the panel’s attention outlier, and its topic-signal score is only three, which foreshadows the weak link between citations and thematic density</w:t>
      </w:r>
      <w:r>
        <w:t xml:space="preserve"> </w:t>
      </w:r>
      <w:hyperlink w:anchor="ref-14">
        <w:r>
          <w:rPr>
            <w:rStyle w:val="Hyperlink"/>
          </w:rPr>
          <w:t xml:space="preserve">[14]</w:t>
        </w:r>
      </w:hyperlink>
      <w:r>
        <w:t xml:space="preserve">. The 2024 hybrid-threat record pairs the panel’s highest topic-signal score of twelve with just two citations, the inverse pattern</w:t>
      </w:r>
      <w:r>
        <w:t xml:space="preserve"> </w:t>
      </w:r>
      <w:hyperlink w:anchor="ref-16">
        <w:r>
          <w:rPr>
            <w:rStyle w:val="Hyperlink"/>
          </w:rPr>
          <w:t xml:space="preserve">[16]</w:t>
        </w:r>
      </w:hyperlink>
      <w:r>
        <w:t xml:space="preserve">. These two records, sitting at opposite corners of the signal-attention plane, illustrate why Paper 1 finds citations uninformative about thematic density and why the two axes must be tested separately.</w:t>
      </w:r>
    </w:p>
    <w:p>
      <w:pPr>
        <w:pStyle w:val="BodyText"/>
        <w:spacing w:line="480" w:lineRule="auto"/>
        <w:ind w:firstLine="720"/>
      </w:pPr>
      <w:r>
        <w:t xml:space="preserve">The venue split is the panel’s dominant regularity. It is visible at a glance. Topic-signal density is visibly higher among the venue-one AMOS records than among the venue-two and venue-three records, and this gradient is what Paper 1’s venue coefficient will quantify</w:t>
      </w:r>
      <w:r>
        <w:t xml:space="preserve"> </w:t>
      </w:r>
      <w:hyperlink w:anchor="ref-11">
        <w:r>
          <w:rPr>
            <w:rStyle w:val="Hyperlink"/>
          </w:rPr>
          <w:t xml:space="preserve">[11]</w:t>
        </w:r>
      </w:hyperlink>
      <w:r>
        <w:t xml:space="preserve">. That the pattern is visible by inspection, before any regression, is reassuring: the estimator will formalize a structure the raw data already display rather than manufacture one.</w:t>
      </w:r>
    </w:p>
    <w:bookmarkEnd w:id="103"/>
    <w:bookmarkStart w:id="104" w:name="a-the-venue-families-in-detail"/>
    <w:p>
      <w:pPr>
        <w:pStyle w:val="Heading2"/>
        <w:spacing w:line="480" w:lineRule="auto"/>
      </w:pPr>
      <w:r>
        <w:t xml:space="preserve">5.4a The Venue Families in Detail</w:t>
      </w:r>
    </w:p>
    <w:p>
      <w:pPr>
        <w:pStyle w:val="FirstParagraph"/>
        <w:spacing w:line="480" w:lineRule="auto"/>
      </w:pPr>
      <w:r>
        <w:t xml:space="preserve">Because venue is the analytical fulcrum, each family deserves a closer accounting. The twelve AMOS records are conference papers drawn from the Advanced Maui Optical and Space Surveillance community, spanning 2007 to 2023</w:t>
      </w:r>
      <w:r>
        <w:t xml:space="preserve"> </w:t>
      </w:r>
      <w:hyperlink w:anchor="ref-1">
        <w:r>
          <w:rPr>
            <w:rStyle w:val="Hyperlink"/>
          </w:rPr>
          <w:t xml:space="preserve">[1]</w:t>
        </w:r>
      </w:hyperlink>
      <w:r>
        <w:t xml:space="preserve"> </w:t>
      </w:r>
      <w:hyperlink w:anchor="ref-12">
        <w:r>
          <w:rPr>
            <w:rStyle w:val="Hyperlink"/>
          </w:rPr>
          <w:t xml:space="preserve">[12]</w:t>
        </w:r>
      </w:hyperlink>
      <w:r>
        <w:t xml:space="preserve">. They cover space weapons perspectives, allied burden sharing, safety norms, domain-awareness acquisition, sensor transformation, and atmospheric support for observation. As a group they carry the densest candidate-theme vocabulary in the panel, and every one reports zero citations in the local index, which reflects the conference stream’s thin citation coverage rather than a true absence of scholarly attention</w:t>
      </w:r>
      <w:r>
        <w:t xml:space="preserve"> </w:t>
      </w:r>
      <w:hyperlink w:anchor="ref-11">
        <w:r>
          <w:rPr>
            <w:rStyle w:val="Hyperlink"/>
          </w:rPr>
          <w:t xml:space="preserve">[11]</w:t>
        </w:r>
      </w:hyperlink>
      <w:r>
        <w:t xml:space="preserve">.</w:t>
      </w:r>
    </w:p>
    <w:p>
      <w:pPr>
        <w:pStyle w:val="BodyText"/>
        <w:spacing w:line="480" w:lineRule="auto"/>
        <w:ind w:firstLine="720"/>
      </w:pPr>
      <w:r>
        <w:t xml:space="preserve">The twelve Acta Astronautica records are journal articles spanning 2018 to 2025</w:t>
      </w:r>
      <w:r>
        <w:t xml:space="preserve"> </w:t>
      </w:r>
      <w:hyperlink w:anchor="ref-5">
        <w:r>
          <w:rPr>
            <w:rStyle w:val="Hyperlink"/>
          </w:rPr>
          <w:t xml:space="preserve">[5]</w:t>
        </w:r>
      </w:hyperlink>
      <w:r>
        <w:t xml:space="preserve"> </w:t>
      </w:r>
      <w:hyperlink w:anchor="ref-16">
        <w:r>
          <w:rPr>
            <w:rStyle w:val="Hyperlink"/>
          </w:rPr>
          <w:t xml:space="preserve">[16]</w:t>
        </w:r>
      </w:hyperlink>
      <w:r>
        <w:t xml:space="preserve">. They cover debris fragmentation effects, laser governance, hybrid-threat strategy, cyber-operations governance, planetary defense, radar heritage, and radiation-hardness review. This family carries the panel’s only substantial citation counts, because journal articles are thoroughly indexed, and it deposits the security frame more diffusely because these records situate security within broader engineering and policy discussions</w:t>
      </w:r>
      <w:r>
        <w:t xml:space="preserve"> </w:t>
      </w:r>
      <w:hyperlink w:anchor="ref-14">
        <w:r>
          <w:rPr>
            <w:rStyle w:val="Hyperlink"/>
          </w:rPr>
          <w:t xml:space="preserve">[14]</w:t>
        </w:r>
      </w:hyperlink>
      <w:r>
        <w:t xml:space="preserve"> </w:t>
      </w:r>
      <w:hyperlink w:anchor="ref-17">
        <w:r>
          <w:rPr>
            <w:rStyle w:val="Hyperlink"/>
          </w:rPr>
          <w:t xml:space="preserve">[17]</w:t>
        </w:r>
      </w:hyperlink>
      <w:r>
        <w:t xml:space="preserve">. The Acta family is where citation attention lives and where thematic density thins.</w:t>
      </w:r>
    </w:p>
    <w:p>
      <w:pPr>
        <w:pStyle w:val="BodyText"/>
        <w:spacing w:line="480" w:lineRule="auto"/>
        <w:ind w:firstLine="720"/>
      </w:pPr>
      <w:r>
        <w:t xml:space="preserve">The six space-economy records are roadmap and forecasting documents dated 2020, covering economic-technological renaissance in space, space-economy forecasting, circular-economy sustainability, the role of space in development, whole-of-nation imperatives, and space-use norm transformation</w:t>
      </w:r>
      <w:r>
        <w:t xml:space="preserve"> </w:t>
      </w:r>
      <w:hyperlink w:anchor="ref-18">
        <w:r>
          <w:rPr>
            <w:rStyle w:val="Hyperlink"/>
          </w:rPr>
          <w:t xml:space="preserve">[18]</w:t>
        </w:r>
      </w:hyperlink>
      <w:r>
        <w:t xml:space="preserve">. These records carry minimal retrieved metadata: several have a title but no snippet, keyword, or theme-hit fields, which drives their topic-signal scores to one. They function as a low-signal comparison group and, being uncited, contribute nothing to the attention analysis. Their inclusion widens the corpus beyond pure security and sharpens the venue gradient that Paper 1 measures</w:t>
      </w:r>
      <w:r>
        <w:t xml:space="preserve"> </w:t>
      </w:r>
      <w:hyperlink w:anchor="ref-3">
        <w:r>
          <w:rPr>
            <w:rStyle w:val="Hyperlink"/>
          </w:rPr>
          <w:t xml:space="preserve">[3]</w:t>
        </w:r>
      </w:hyperlink>
      <w:r>
        <w:t xml:space="preserve">.</w:t>
      </w:r>
    </w:p>
    <w:bookmarkEnd w:id="104"/>
    <w:bookmarkStart w:id="105" w:name="b-measurement-error-and-its-direction"/>
    <w:p>
      <w:pPr>
        <w:pStyle w:val="Heading2"/>
        <w:spacing w:line="480" w:lineRule="auto"/>
      </w:pPr>
      <w:r>
        <w:t xml:space="preserve">5.4b Measurement Error and Its Direction</w:t>
      </w:r>
    </w:p>
    <w:p>
      <w:pPr>
        <w:pStyle w:val="FirstParagraph"/>
        <w:spacing w:line="480" w:lineRule="auto"/>
      </w:pPr>
      <w:r>
        <w:t xml:space="preserve">Honest data documentation names not just the variables but the direction of their likely errors. The topic-signal score is measured with error that is not random across venue families. The economy records are under-measured because their retrieved metadata is sparse, which pushes their scores toward the floor regardless of substantive content</w:t>
      </w:r>
      <w:r>
        <w:t xml:space="preserve"> </w:t>
      </w:r>
      <w:hyperlink w:anchor="ref-18">
        <w:r>
          <w:rPr>
            <w:rStyle w:val="Hyperlink"/>
          </w:rPr>
          <w:t xml:space="preserve">[18]</w:t>
        </w:r>
      </w:hyperlink>
      <w:r>
        <w:t xml:space="preserve">. The AMOS records may be over-measured relative to Acta records if conference metadata deposits candidate-theme vocabulary more densely than journal metadata does, independent of substantive framing</w:t>
      </w:r>
      <w:r>
        <w:t xml:space="preserve"> </w:t>
      </w:r>
      <w:hyperlink w:anchor="ref-5">
        <w:r>
          <w:rPr>
            <w:rStyle w:val="Hyperlink"/>
          </w:rPr>
          <w:t xml:space="preserve">[5]</w:t>
        </w:r>
      </w:hyperlink>
      <w:r>
        <w:t xml:space="preserve">. Both errors push in the same direction: they widen the apparent venue gradient. The venue coefficient in Paper 1 should therefore be read as an upper bound on the true thematic-density difference across venues.</w:t>
      </w:r>
    </w:p>
    <w:p>
      <w:pPr>
        <w:pStyle w:val="BodyText"/>
        <w:spacing w:line="480" w:lineRule="auto"/>
        <w:ind w:firstLine="720"/>
      </w:pPr>
      <w:r>
        <w:t xml:space="preserve">The citation variable carries a different and more consequential error. Twenty of thirty records report zero citations, and for the AMOS records that zero is almost certainly an indexing artifact rather than a true count</w:t>
      </w:r>
      <w:r>
        <w:t xml:space="preserve"> </w:t>
      </w:r>
      <w:hyperlink w:anchor="ref-11">
        <w:r>
          <w:rPr>
            <w:rStyle w:val="Hyperlink"/>
          </w:rPr>
          <w:t xml:space="preserve">[11]</w:t>
        </w:r>
      </w:hyperlink>
      <w:r>
        <w:t xml:space="preserve">. The conference stream is less consistently indexed than the journal stream, so the citation variable systematically undercounts conference attention. This error is directional and it matters for Paper 2: the age-based attention test is run on a citation variable that is degraded precisely for the records where the security frame is densest</w:t>
      </w:r>
      <w:r>
        <w:t xml:space="preserve"> </w:t>
      </w:r>
      <w:hyperlink w:anchor="ref-14">
        <w:r>
          <w:rPr>
            <w:rStyle w:val="Hyperlink"/>
          </w:rPr>
          <w:t xml:space="preserve">[14]</w:t>
        </w:r>
      </w:hyperlink>
      <w:r>
        <w:t xml:space="preserve">. A flat elasticity could therefore reflect genuine non-cumulativeness or the indexing gap, and Chapter 7 treats separating these as an open problem rather than a solved one.</w:t>
      </w:r>
    </w:p>
    <w:p>
      <w:pPr>
        <w:pStyle w:val="BodyText"/>
        <w:spacing w:line="480" w:lineRule="auto"/>
        <w:ind w:firstLine="720"/>
      </w:pPr>
      <w:r>
        <w:t xml:space="preserve">The temporal variables, recency and age, are measured cleanly because they derive deterministically from publication year, which the retrieval reports reliably</w:t>
      </w:r>
      <w:r>
        <w:t xml:space="preserve"> </w:t>
      </w:r>
      <w:hyperlink w:anchor="ref-1">
        <w:r>
          <w:rPr>
            <w:rStyle w:val="Hyperlink"/>
          </w:rPr>
          <w:t xml:space="preserve">[1]</w:t>
        </w:r>
      </w:hyperlink>
      <w:r>
        <w:t xml:space="preserve">. The venue score is measured cleanly as an assignment rule, though its ordinal scale is a modeling choice rather than a natural quantity</w:t>
      </w:r>
      <w:r>
        <w:t xml:space="preserve"> </w:t>
      </w:r>
      <w:hyperlink w:anchor="ref-5">
        <w:r>
          <w:rPr>
            <w:rStyle w:val="Hyperlink"/>
          </w:rPr>
          <w:t xml:space="preserve">[5]</w:t>
        </w:r>
      </w:hyperlink>
      <w:r>
        <w:t xml:space="preserve">. The upshot is a panel with clean temporal and venue coding and noisy signal and citation coding, and the analysis is honest about leaning its strongest claim, the venue result, on the cleaner of these axes while treating the citation-dependent attention result as the more fragile of the two</w:t>
      </w:r>
      <w:r>
        <w:t xml:space="preserve"> </w:t>
      </w:r>
      <w:hyperlink w:anchor="ref-3">
        <w:r>
          <w:rPr>
            <w:rStyle w:val="Hyperlink"/>
          </w:rPr>
          <w:t xml:space="preserve">[3]</w:t>
        </w:r>
      </w:hyperlink>
      <w:r>
        <w:t xml:space="preserve">.</w:t>
      </w:r>
    </w:p>
    <w:bookmarkEnd w:id="105"/>
    <w:bookmarkStart w:id="106" w:name="provenance-and-reproducibility"/>
    <w:p>
      <w:pPr>
        <w:pStyle w:val="Heading2"/>
        <w:spacing w:line="480" w:lineRule="auto"/>
      </w:pPr>
      <w:r>
        <w:t xml:space="preserve">5.5 Provenance and Reproducibility</w:t>
      </w:r>
    </w:p>
    <w:p>
      <w:pPr>
        <w:pStyle w:val="FirstParagraph"/>
        <w:spacing w:line="480" w:lineRule="auto"/>
      </w:pPr>
      <w:r>
        <w:t xml:space="preserve">Every row in the panel carries a source identifier in its source column: a DOI for the Acta records, an amostech.space URL for the AMOS records, and a document label for the space-economy records</w:t>
      </w:r>
      <w:r>
        <w:t xml:space="preserve"> </w:t>
      </w:r>
      <w:hyperlink w:anchor="ref-3">
        <w:r>
          <w:rPr>
            <w:rStyle w:val="Hyperlink"/>
          </w:rPr>
          <w:t xml:space="preserve">[3]</w:t>
        </w:r>
      </w:hyperlink>
      <w:r>
        <w:t xml:space="preserve"> </w:t>
      </w:r>
      <w:hyperlink w:anchor="ref-5">
        <w:r>
          <w:rPr>
            <w:rStyle w:val="Hyperlink"/>
          </w:rPr>
          <w:t xml:space="preserve">[5]</w:t>
        </w:r>
      </w:hyperlink>
      <w:r>
        <w:t xml:space="preserve">. This trail means the panel is fully reproducible. A reader can follow any row back to its source and re-derive its recency, age, venue, and citation values, and can in principle re-run the deterministic term-hit count that produces the topic-signal score.</w:t>
      </w:r>
    </w:p>
    <w:p>
      <w:pPr>
        <w:pStyle w:val="BodyText"/>
        <w:spacing w:line="480" w:lineRule="auto"/>
        <w:ind w:firstLine="720"/>
      </w:pPr>
      <w:r>
        <w:t xml:space="preserve">The reproducibility comes at a cost that Chapter 7 develops. Because the variables are computed from retrieved metadata rather than from full-text reading, they inherit whatever gaps and inconsistencies the retrieval carried. Missing snippets depress topic-signal scores for the economy records, and the zero-citation floor reflects the local brain index rather than the true citation histories of the AMOS papers</w:t>
      </w:r>
      <w:r>
        <w:t xml:space="preserve"> </w:t>
      </w:r>
      <w:hyperlink w:anchor="ref-11">
        <w:r>
          <w:rPr>
            <w:rStyle w:val="Hyperlink"/>
          </w:rPr>
          <w:t xml:space="preserve">[11]</w:t>
        </w:r>
      </w:hyperlink>
      <w:r>
        <w:t xml:space="preserve">. These are not fatal flaws for a descriptive study, but they bound how far the findings can be pushed.</w:t>
      </w:r>
    </w:p>
    <w:bookmarkEnd w:id="106"/>
    <w:bookmarkStart w:id="107" w:name="Xe0bd722559030688bb0ce51c9a89a0c8b569725"/>
    <w:p>
      <w:pPr>
        <w:pStyle w:val="Heading2"/>
        <w:spacing w:line="480" w:lineRule="auto"/>
      </w:pPr>
      <w:r>
        <w:t xml:space="preserve">5.6 Summary Statistics and What They Foreshadow</w:t>
      </w:r>
    </w:p>
    <w:p>
      <w:pPr>
        <w:pStyle w:val="FirstParagraph"/>
        <w:spacing w:line="480" w:lineRule="auto"/>
      </w:pPr>
      <w:r>
        <w:t xml:space="preserve">A compact statistical portrait of the panel foreshadows the results without pre-empting them. The topic-signal score has a mean near five and a range from one to twelve, with the highest values concentrated among AMOS and a single hybrid-threat Acta record</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 The recency index ranges from one to nineteen, reflecting the 2007-to-2025 span, and it is left-skewed because most records cluster in the 2020-to-2024 window</w:t>
      </w:r>
      <w:r>
        <w:t xml:space="preserve"> </w:t>
      </w:r>
      <w:hyperlink w:anchor="ref-5">
        <w:r>
          <w:rPr>
            <w:rStyle w:val="Hyperlink"/>
          </w:rPr>
          <w:t xml:space="preserve">[5]</w:t>
        </w:r>
      </w:hyperlink>
      <w:r>
        <w:t xml:space="preserve">. The citation count is sharply right-skewed, with a mode of zero and a maximum of forty, and its distribution is the single most consequential feature of the panel for the attention analysis</w:t>
      </w:r>
      <w:r>
        <w:t xml:space="preserve"> </w:t>
      </w:r>
      <w:hyperlink w:anchor="ref-14">
        <w:r>
          <w:rPr>
            <w:rStyle w:val="Hyperlink"/>
          </w:rPr>
          <w:t xml:space="preserve">[14]</w:t>
        </w:r>
      </w:hyperlink>
      <w:r>
        <w:t xml:space="preserve">.</w:t>
      </w:r>
    </w:p>
    <w:p>
      <w:pPr>
        <w:pStyle w:val="BodyText"/>
        <w:spacing w:line="480" w:lineRule="auto"/>
        <w:ind w:firstLine="720"/>
      </w:pPr>
      <w:r>
        <w:t xml:space="preserve">These distributions predict the shape of the findings. The wide topic-signal range paired with a clean venue gradient predicts that venue will carry explanatory weight in Paper 1</w:t>
      </w:r>
      <w:r>
        <w:t xml:space="preserve"> </w:t>
      </w:r>
      <w:hyperlink w:anchor="ref-11">
        <w:r>
          <w:rPr>
            <w:rStyle w:val="Hyperlink"/>
          </w:rPr>
          <w:t xml:space="preserve">[11]</w:t>
        </w:r>
      </w:hyperlink>
      <w:r>
        <w:t xml:space="preserve">. The zero-citation mode paired with a handful of extreme journal counts predicts that citation count will be a weak, noisy covariate, unable to explain either thematic density or its own accumulation with age</w:t>
      </w:r>
      <w:r>
        <w:t xml:space="preserve"> </w:t>
      </w:r>
      <w:hyperlink w:anchor="ref-14">
        <w:r>
          <w:rPr>
            <w:rStyle w:val="Hyperlink"/>
          </w:rPr>
          <w:t xml:space="preserve">[14]</w:t>
        </w:r>
      </w:hyperlink>
      <w:r>
        <w:t xml:space="preserve">. The clustering of records in a narrow recent window predicts that recency will have limited leverage, because most records share similar recency values and the variable’s variance is concentrated in a few older records</w:t>
      </w:r>
      <w:r>
        <w:t xml:space="preserve"> </w:t>
      </w:r>
      <w:hyperlink w:anchor="ref-12">
        <w:r>
          <w:rPr>
            <w:rStyle w:val="Hyperlink"/>
          </w:rPr>
          <w:t xml:space="preserve">[12]</w:t>
        </w:r>
      </w:hyperlink>
      <w:r>
        <w:t xml:space="preserve">.</w:t>
      </w:r>
    </w:p>
    <w:p>
      <w:pPr>
        <w:pStyle w:val="BodyText"/>
        <w:spacing w:line="480" w:lineRule="auto"/>
        <w:ind w:firstLine="720"/>
      </w:pPr>
      <w:r>
        <w:t xml:space="preserve">Reading the summary statistics this way is not the same as reading the results. The estimators will formalize these tendencies, assign coefficients, and test significance, and the exact magnitudes can only come from the regressions themselves. What the summary statistics establish is that the eventual coefficients, whatever they are, will be legible against the raw distributions rather than mysterious products of a black box</w:t>
      </w:r>
      <w:r>
        <w:t xml:space="preserve"> </w:t>
      </w:r>
      <w:hyperlink w:anchor="ref-3">
        <w:r>
          <w:rPr>
            <w:rStyle w:val="Hyperlink"/>
          </w:rPr>
          <w:t xml:space="preserve">[3]</w:t>
        </w:r>
      </w:hyperlink>
      <w:r>
        <w:t xml:space="preserve">. When Chapter 6 reports a decisive venue coefficient and a flat age elasticity, the reader will already have seen those tendencies in the panel’s shape.</w:t>
      </w:r>
    </w:p>
    <w:bookmarkEnd w:id="107"/>
    <w:bookmarkStart w:id="108" w:name="X3329340accbc5825a56d3f5a143ed9dd25953e9"/>
    <w:p>
      <w:pPr>
        <w:pStyle w:val="Heading2"/>
        <w:spacing w:line="480" w:lineRule="auto"/>
      </w:pPr>
      <w:r>
        <w:t xml:space="preserve">5.7 Where the Enabling-Technology Records Fall</w:t>
      </w:r>
    </w:p>
    <w:p>
      <w:pPr>
        <w:pStyle w:val="FirstParagraph"/>
        <w:spacing w:line="480" w:lineRule="auto"/>
      </w:pPr>
      <w:r>
        <w:t xml:space="preserve">Chapter 2 raised the question of whether the enabling-technology records, the radar, sensor, and radiation-hardness papers, carry dense security signal or sparse signal, and the panel answers it. These records fall predominantly at the low-to-middle of the topic-signal distribution</w:t>
      </w:r>
      <w:r>
        <w:t xml:space="preserve"> </w:t>
      </w:r>
      <w:hyperlink w:anchor="ref-13">
        <w:r>
          <w:rPr>
            <w:rStyle w:val="Hyperlink"/>
          </w:rPr>
          <w:t xml:space="preserve">[13]</w:t>
        </w:r>
      </w:hyperlink>
      <w:r>
        <w:t xml:space="preserve"> </w:t>
      </w:r>
      <w:hyperlink w:anchor="ref-20">
        <w:r>
          <w:rPr>
            <w:rStyle w:val="Hyperlink"/>
          </w:rPr>
          <w:t xml:space="preserve">[20]</w:t>
        </w:r>
      </w:hyperlink>
      <w:r>
        <w:t xml:space="preserve"> </w:t>
      </w:r>
      <w:hyperlink w:anchor="ref-21">
        <w:r>
          <w:rPr>
            <w:rStyle w:val="Hyperlink"/>
          </w:rPr>
          <w:t xml:space="preserve">[21]</w:t>
        </w:r>
      </w:hyperlink>
      <w:r>
        <w:t xml:space="preserve">. The sensor-transformation record scores three, the radar heritage record scores three, and the radiation-hardness review scores three. None of them approaches the dense security signal of the acquisition-trends record at eleven or the hybrid-threat record at twelve</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This placement supports the clustering reading over the integration reading. If the field had woven its engineering substrate into its strategic frame, the enabling-technology records would deposit dense security vocabulary and score high</w:t>
      </w:r>
      <w:r>
        <w:t xml:space="preserve"> </w:t>
      </w:r>
      <w:hyperlink w:anchor="ref-12">
        <w:r>
          <w:rPr>
            <w:rStyle w:val="Hyperlink"/>
          </w:rPr>
          <w:t xml:space="preserve">[12]</w:t>
        </w:r>
      </w:hyperlink>
      <w:r>
        <w:t xml:space="preserve">. Instead they score low, which indicates that the sensing and hardening infrastructure is documented in an engineering idiom that deposits sparse candidate-theme security vocabulary</w:t>
      </w:r>
      <w:r>
        <w:t xml:space="preserve"> </w:t>
      </w:r>
      <w:hyperlink w:anchor="ref-21">
        <w:r>
          <w:rPr>
            <w:rStyle w:val="Hyperlink"/>
          </w:rPr>
          <w:t xml:space="preserve">[21]</w:t>
        </w:r>
      </w:hyperlink>
      <w:r>
        <w:t xml:space="preserve">. The security frame and the engineering substrate remain distinct conversations within the corpus, exactly the parallel-tracks condition that clustering, rather than consolidation, predicts.</w:t>
      </w:r>
    </w:p>
    <w:p>
      <w:pPr>
        <w:pStyle w:val="BodyText"/>
        <w:spacing w:line="480" w:lineRule="auto"/>
        <w:ind w:firstLine="720"/>
      </w:pPr>
      <w:r>
        <w:t xml:space="preserve">The finding also tempers how the venue coefficient should be read. Some of the low signal among the higher venue codes comes not from the journal stream diluting security argument but from the presence of enabling-technology and economy records that were never security papers in the first place</w:t>
      </w:r>
      <w:r>
        <w:t xml:space="preserve"> </w:t>
      </w:r>
      <w:hyperlink w:anchor="ref-18">
        <w:r>
          <w:rPr>
            <w:rStyle w:val="Hyperlink"/>
          </w:rPr>
          <w:t xml:space="preserve">[18]</w:t>
        </w:r>
      </w:hyperlink>
      <w:r>
        <w:t xml:space="preserve"> </w:t>
      </w:r>
      <w:hyperlink w:anchor="ref-20">
        <w:r>
          <w:rPr>
            <w:rStyle w:val="Hyperlink"/>
          </w:rPr>
          <w:t xml:space="preserve">[20]</w:t>
        </w:r>
      </w:hyperlink>
      <w:r>
        <w:t xml:space="preserve">. The venue gradient therefore partly reflects the retrieval’s inclusion of adjacent engineering and economy work, which is a real feature of how the field’s boundary was drawn rather than a coding error. Chapter 7 returns to this in weighing whether the venue result measures idiom division or corpus composition, and the placement of the enabling-technology records documented here is the evidence that discussion rests on</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A final documentation note concerns the panel’s temporal balance, which shapes how much the recency and age variables can identify. The records cluster heavily in the 2020-to-2024 window, with only a handful in the 2007-to-2019 range</w:t>
      </w:r>
      <w:r>
        <w:t xml:space="preserve"> </w:t>
      </w:r>
      <w:hyperlink w:anchor="ref-1">
        <w:r>
          <w:rPr>
            <w:rStyle w:val="Hyperlink"/>
          </w:rPr>
          <w:t xml:space="preserve">[1]</w:t>
        </w:r>
      </w:hyperlink>
      <w:r>
        <w:t xml:space="preserve"> </w:t>
      </w:r>
      <w:hyperlink w:anchor="ref-12">
        <w:r>
          <w:rPr>
            <w:rStyle w:val="Hyperlink"/>
          </w:rPr>
          <w:t xml:space="preserve">[12]</w:t>
        </w:r>
      </w:hyperlink>
      <w:r>
        <w:t xml:space="preserve">. This imbalance means the temporal variables carry most of their variance across a few older records, so the recency and age coefficients are effectively estimated off the contrast between a large recent cluster and a small older tail</w:t>
      </w:r>
      <w:r>
        <w:t xml:space="preserve"> </w:t>
      </w:r>
      <w:hyperlink w:anchor="ref-11">
        <w:r>
          <w:rPr>
            <w:rStyle w:val="Hyperlink"/>
          </w:rPr>
          <w:t xml:space="preserve">[11]</w:t>
        </w:r>
      </w:hyperlink>
      <w:r>
        <w:t xml:space="preserve">. The panel can therefore detect a strong temporal effect if one exists, but it has limited power to resolve a weak one, because the temporal variance is thin outside the recent cluster</w:t>
      </w:r>
      <w:r>
        <w:t xml:space="preserve"> </w:t>
      </w:r>
      <w:hyperlink w:anchor="ref-14">
        <w:r>
          <w:rPr>
            <w:rStyle w:val="Hyperlink"/>
          </w:rPr>
          <w:t xml:space="preserve">[14]</w:t>
        </w:r>
      </w:hyperlink>
      <w:r>
        <w:t xml:space="preserve">. This is a structural feature of the retrieved corpus rather than a design choice, and it is one more reason the study frames its temporal findings as characterizations of this panel rather than as portable estimates. With the data fully documented, the next chapter reports what the two estimators find when applied to this panel</w:t>
      </w:r>
      <w:r>
        <w:t xml:space="preserve"> </w:t>
      </w:r>
      <w:hyperlink w:anchor="ref-2">
        <w:r>
          <w:rPr>
            <w:rStyle w:val="Hyperlink"/>
          </w:rPr>
          <w:t xml:space="preserve">[2]</w:t>
        </w:r>
      </w:hyperlink>
      <w:r>
        <w:t xml:space="preserve"> </w:t>
      </w:r>
      <w:hyperlink w:anchor="ref-8">
        <w:r>
          <w:rPr>
            <w:rStyle w:val="Hyperlink"/>
          </w:rPr>
          <w:t xml:space="preserve">[8]</w:t>
        </w:r>
      </w:hyperlink>
      <w:r>
        <w:t xml:space="preserve">.</w:t>
      </w:r>
    </w:p>
    <w:bookmarkEnd w:id="108"/>
    <w:bookmarkEnd w:id="109"/>
    <w:bookmarkStart w:id="119" w:name="chapter-6-results"/>
    <w:p>
      <w:pPr>
        <w:pStyle w:val="Heading1"/>
        <w:spacing w:line="480" w:lineRule="auto"/>
      </w:pPr>
      <w:r>
        <w:t xml:space="preserve">Chapter 6: Results</w:t>
      </w:r>
    </w:p>
    <w:p>
      <w:pPr>
        <w:pStyle w:val="FirstParagraph"/>
        <w:spacing w:line="480" w:lineRule="auto"/>
      </w:pPr>
      <w:r>
        <w:t xml:space="preserve">This chapter reports the estimator output from both papers and interprets the signs and magnitudes. The numbers are reproduced exactly as the estimation produced them. No number is altered. Nothing is rounded away, adjusted, or reframed to fit the theory. The task here is to read what the corpus says, and the corpus says something specific: thematic density is organized by venue, and citation attention is not organized by age</w:t>
      </w:r>
      <w:r>
        <w:t xml:space="preserve"> </w:t>
      </w:r>
      <w:hyperlink w:anchor="ref-3">
        <w:r>
          <w:rPr>
            <w:rStyle w:val="Hyperlink"/>
          </w:rPr>
          <w:t xml:space="preserve">[3]</w:t>
        </w:r>
      </w:hyperlink>
      <w:r>
        <w:t xml:space="preserve"> </w:t>
      </w:r>
      <w:hyperlink w:anchor="ref-11">
        <w:r>
          <w:rPr>
            <w:rStyle w:val="Hyperlink"/>
          </w:rPr>
          <w:t xml:space="preserve">[11]</w:t>
        </w:r>
      </w:hyperlink>
      <w:r>
        <w:t xml:space="preserve">.</w:t>
      </w:r>
    </w:p>
    <w:bookmarkStart w:id="110" w:name="paper-1-what-organizes-thematic-density"/>
    <w:p>
      <w:pPr>
        <w:pStyle w:val="Heading2"/>
        <w:spacing w:line="480" w:lineRule="auto"/>
      </w:pPr>
      <w:r>
        <w:t xml:space="preserve">6.1 Paper 1: What Organizes Thematic Density</w:t>
      </w:r>
    </w:p>
    <w:p>
      <w:pPr>
        <w:pStyle w:val="FirstParagraph"/>
        <w:spacing w:line="480" w:lineRule="auto"/>
      </w:pPr>
      <w:r>
        <w:t xml:space="preserve">Paper 1 regresses the composite topic-signal score on the recency index, the citation count, and the venue-family score, using ordinary least squares with HC1 robust standard errors over the thirty-record panel.</w:t>
      </w:r>
    </w:p>
    <w:p>
      <w:pPr>
        <w:pStyle w:val="BodyText"/>
        <w:spacing w:line="480" w:lineRule="auto"/>
        <w:ind w:firstLine="720"/>
      </w:pPr>
      <w:r>
        <w:t xml:space="preserve">Consider the overall model first. It is meaningful rather than trivial. Across thirty observations, the R-squared equals 0.3123 and the adjusted R-squared equals 0.2329. The F statistic is 5.8048 with a model p-value of 0.0036. The joint test therefore rejects the hypothesis that the three covariates together carry no information about thematic density: the model explains close to a third of the variance in the topic-signal score, and that explanatory power is unlikely to be an artifact of chance at conventional levels</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individual coefficients locate where the explanatory power comes from. Take recency first. Its coefficient is 0.1172, with a standard error of 0.0930 and a p-value of 0.2078. The sign is positive, consistent with the thickening-frame prediction that newer records deposit denser thematic signal, but the coefficient does not reach conventional significance. Recency points in the predicted direction without carrying statistical weight in this corpus.</w:t>
      </w:r>
    </w:p>
    <w:p>
      <w:pPr>
        <w:pStyle w:val="BodyText"/>
        <w:spacing w:line="480" w:lineRule="auto"/>
        <w:ind w:firstLine="720"/>
      </w:pPr>
      <w:r>
        <w:t xml:space="preserve">Now the citation term. Its coefficient is -0.0126, with a standard error of 0.0265 and a p-value of 0.6351. Small, negative, far from significant. Citation attention does not track thematic density in the retrieved literature: more-cited records are not more densely written into the security frame, and if anything the point estimate leans slightly the other way. The signal-attention outliers documented in Chapter 5, the forty-citation record scoring three and the two-citation record scoring twelve, are the visible face of this null</w:t>
      </w:r>
      <w:r>
        <w:t xml:space="preserve"> </w:t>
      </w:r>
      <w:hyperlink w:anchor="ref-14">
        <w:r>
          <w:rPr>
            <w:rStyle w:val="Hyperlink"/>
          </w:rPr>
          <w:t xml:space="preserve">[14]</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Venue is different. Its coefficient is -2.1716, with a standard error of 0.5476 and a p-value of 0.0001. This is the paper’s structured result. The coefficient is large in magnitude, negative, and significant at the strongest level the panel can register. As the venue-family code rises from AMOS at one to Acta at two to space economy at three, the topic-signal score falls by roughly 2.17 points per step. Thematic density is concentrated on the AMOS side of the retrieved literature and thins as the venue code climbs toward the journal and economy records</w:t>
      </w:r>
      <w:r>
        <w:t xml:space="preserve"> </w:t>
      </w:r>
      <w:hyperlink w:anchor="ref-11">
        <w:r>
          <w:rPr>
            <w:rStyle w:val="Hyperlink"/>
          </w:rPr>
          <w:t xml:space="preserve">[11]</w:t>
        </w:r>
      </w:hyperlink>
      <w:r>
        <w:t xml:space="preserve">.</w:t>
      </w:r>
    </w:p>
    <w:p>
      <w:pPr>
        <w:pStyle w:val="BodyText"/>
        <w:spacing w:line="480" w:lineRule="auto"/>
        <w:ind w:firstLine="720"/>
      </w:pPr>
      <w:r>
        <w:t xml:space="preserve">The reading is direct. Within this bounded corpus, the topic-signal score is strongly lower as the venue-family code rises, which means candidate-theme density is concentrated more heavily in the AMOS conference literature than in the Acta or economy literatures. Recency and citation count do not reach conventional significance. The discourse is not organized by a simple newer-is-stronger logic, and it is not organized by citation attention. It is organized by venue. Venue is the story.</w:t>
      </w:r>
    </w:p>
    <w:bookmarkEnd w:id="110"/>
    <w:bookmarkStart w:id="111" w:name="interpreting-the-paper-1-magnitudes"/>
    <w:p>
      <w:pPr>
        <w:pStyle w:val="Heading2"/>
        <w:spacing w:line="480" w:lineRule="auto"/>
      </w:pPr>
      <w:r>
        <w:t xml:space="preserve">6.2 Interpreting the Paper 1 Magnitudes</w:t>
      </w:r>
    </w:p>
    <w:p>
      <w:pPr>
        <w:pStyle w:val="FirstParagraph"/>
        <w:spacing w:line="480" w:lineRule="auto"/>
      </w:pPr>
      <w:r>
        <w:t xml:space="preserve">The venue coefficient of -2.1716 is worth sitting with, because its magnitude relative to the topic-signal score’s range gives it substantive weight. The score ranges from one to twelve. A two-step move in the venue code, from AMOS to economy, is associated with a predicted drop of roughly 4.34 points, which is a large share of the observed range</w:t>
      </w:r>
      <w:r>
        <w:t xml:space="preserve"> </w:t>
      </w:r>
      <w:hyperlink w:anchor="ref-5">
        <w:r>
          <w:rPr>
            <w:rStyle w:val="Hyperlink"/>
          </w:rPr>
          <w:t xml:space="preserve">[5]</w:t>
        </w:r>
      </w:hyperlink>
      <w:r>
        <w:t xml:space="preserve">. This is not a marginal venue effect. It dominates. It is the dominant axis of variation in thematic density across the corpus.</w:t>
      </w:r>
    </w:p>
    <w:p>
      <w:pPr>
        <w:pStyle w:val="BodyText"/>
        <w:spacing w:line="480" w:lineRule="auto"/>
        <w:ind w:firstLine="720"/>
      </w:pPr>
      <w:r>
        <w:t xml:space="preserve">That venue dominates while recency and citations do not is precisely the institutional-clustering outcome that Chapter 3 flagged in advance. The corpus fails the strong consolidation test, because thematic density is not driven by when a paper was written or by how much attention it attracts. It succeeds in showing sharp structure, but that structure is institutional. The candidate security discourse, as retrieved, depends heavily on a specific conference conversation rather than on a fully generalized field-wide frame</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positive but insignificant recency coefficient keeps a modest consolidation reading alive at the margin. The frame may be thickening over time, and 0.1172 points of additional signal per recency step is not nothing, but the standard error of 0.0930 leaves the association too uncertain to lean on. The honest summary is that recency is suggestive and venue is decisive</w:t>
      </w:r>
      <w:r>
        <w:t xml:space="preserve"> </w:t>
      </w:r>
      <w:hyperlink w:anchor="ref-8">
        <w:r>
          <w:rPr>
            <w:rStyle w:val="Hyperlink"/>
          </w:rPr>
          <w:t xml:space="preserve">[8]</w:t>
        </w:r>
      </w:hyperlink>
      <w:r>
        <w:t xml:space="preserve">.</w:t>
      </w:r>
    </w:p>
    <w:bookmarkEnd w:id="111"/>
    <w:bookmarkStart w:id="112" w:name="a-the-model-fit-in-context"/>
    <w:p>
      <w:pPr>
        <w:pStyle w:val="Heading2"/>
        <w:spacing w:line="480" w:lineRule="auto"/>
      </w:pPr>
      <w:r>
        <w:t xml:space="preserve">6.2a The Model Fit in Context</w:t>
      </w:r>
    </w:p>
    <w:p>
      <w:pPr>
        <w:pStyle w:val="FirstParagraph"/>
        <w:spacing w:line="480" w:lineRule="auto"/>
      </w:pPr>
      <w:r>
        <w:t xml:space="preserve">The Paper 1 fit statistics deserve their own reading, because a model that explains 31.23 percent of the variance in thematic density is neither trivial nor overwhelming, and both facts matter. An R-squared of 0.3123 over thirty observations, with an adjusted R-squared of 0.2329, indicates that the three covariates jointly capture a real but partial share of what organizes thematic density</w:t>
      </w:r>
      <w:r>
        <w:t xml:space="preserve"> </w:t>
      </w:r>
      <w:hyperlink w:anchor="ref-1">
        <w:r>
          <w:rPr>
            <w:rStyle w:val="Hyperlink"/>
          </w:rPr>
          <w:t xml:space="preserve">[1]</w:t>
        </w:r>
      </w:hyperlink>
      <w:r>
        <w:t xml:space="preserve">. The adjustment from 0.3123 to 0.2329 is the expected penalty for three covariates at this sample size, and the gap between them is modest enough to indicate the model is not overfit. The F statistic of 5.8048 and its p-value of 0.0036 confirm that the joint explanatory power is not an artifact of chance</w:t>
      </w:r>
      <w:r>
        <w:t xml:space="preserve"> </w:t>
      </w:r>
      <w:hyperlink w:anchor="ref-5">
        <w:r>
          <w:rPr>
            <w:rStyle w:val="Hyperlink"/>
          </w:rPr>
          <w:t xml:space="preserve">[5]</w:t>
        </w:r>
      </w:hyperlink>
      <w:r>
        <w:t xml:space="preserve">.</w:t>
      </w:r>
    </w:p>
    <w:p>
      <w:pPr>
        <w:pStyle w:val="BodyText"/>
        <w:spacing w:line="480" w:lineRule="auto"/>
        <w:ind w:firstLine="720"/>
      </w:pPr>
      <w:r>
        <w:t xml:space="preserve">The partial fit is itself informative. If thematic density were fully determined by venue, recency, and citations, the R-squared would be near one, and it is not. Roughly two-thirds of the variance in the topic-signal score lies outside these three covariates, in record-specific factors the model does not capture: the particular vocabulary of a given author, the idiosyncrasies of a specific retrieval, the substantive focus of an individual paper</w:t>
      </w:r>
      <w:r>
        <w:t xml:space="preserve"> </w:t>
      </w:r>
      <w:hyperlink w:anchor="ref-11">
        <w:r>
          <w:rPr>
            <w:rStyle w:val="Hyperlink"/>
          </w:rPr>
          <w:t xml:space="preserve">[11]</w:t>
        </w:r>
      </w:hyperlink>
      <w:r>
        <w:t xml:space="preserve">. The model identifies a strong structural axis, venue, without claiming that structure exhausts the phenomenon. That is the appropriate result for a descriptive study: a clear signal embedded in genuine record-level heterogeneity.</w:t>
      </w:r>
    </w:p>
    <w:p>
      <w:pPr>
        <w:pStyle w:val="BodyText"/>
        <w:spacing w:line="480" w:lineRule="auto"/>
        <w:ind w:firstLine="720"/>
      </w:pPr>
      <w:r>
        <w:t xml:space="preserve">The contrast with Paper 2’s fit, previewed here, sharpens the interpretation. Paper 1 explains a meaningful share of thematic density; Paper 2, as the next section shows, explains almost none of citation accumulation</w:t>
      </w:r>
      <w:r>
        <w:t xml:space="preserve"> </w:t>
      </w:r>
      <w:hyperlink w:anchor="ref-14">
        <w:r>
          <w:rPr>
            <w:rStyle w:val="Hyperlink"/>
          </w:rPr>
          <w:t xml:space="preserve">[14]</w:t>
        </w:r>
      </w:hyperlink>
      <w:r>
        <w:t xml:space="preserve">. The two fit statistics together say that the corpus has structure on one axis and not the other, which is precisely the split the two-paper design was built to detect. A single combined index would have averaged these into a middling fit that misrepresented both.</w:t>
      </w:r>
    </w:p>
    <w:bookmarkEnd w:id="112"/>
    <w:bookmarkStart w:id="113" w:name="Xca3e5cdf38f6ea361a26633ec9854a04e39a86d"/>
    <w:p>
      <w:pPr>
        <w:pStyle w:val="Heading2"/>
        <w:spacing w:line="480" w:lineRule="auto"/>
      </w:pPr>
      <w:r>
        <w:t xml:space="preserve">6.3 Paper 2: Whether Attention Accumulates with Age</w:t>
      </w:r>
    </w:p>
    <w:p>
      <w:pPr>
        <w:pStyle w:val="FirstParagraph"/>
        <w:spacing w:line="480" w:lineRule="auto"/>
      </w:pPr>
      <w:r>
        <w:t xml:space="preserve">Paper 2 regresses the natural log of citations-plus-one on the natural log of the article age index, using HC1 robust standard errors over the same thirty-record panel.</w:t>
      </w:r>
    </w:p>
    <w:p>
      <w:pPr>
        <w:pStyle w:val="BodyText"/>
        <w:spacing w:line="480" w:lineRule="auto"/>
        <w:ind w:firstLine="720"/>
      </w:pPr>
      <w:r>
        <w:t xml:space="preserve">Here the result is a clean null. The R-squared equals 0.0055. Age explains essentially none of the variance in citation accumulation across the corpus. The elasticity on log age is -0.1556, with a standard error of 0.3128 and a p-value of 0.6189. The point estimate is negative, which would nominally suggest that older records accumulate slightly fewer citations, but the standard error swamps the estimate and the p-value is nowhere near significance. Article age carries no interpretable attention signal in this literature</w:t>
      </w:r>
      <w:r>
        <w:t xml:space="preserve"> </w:t>
      </w:r>
      <w:hyperlink w:anchor="ref-11">
        <w:r>
          <w:rPr>
            <w:rStyle w:val="Hyperlink"/>
          </w:rPr>
          <w:t xml:space="preserve">[11]</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The intercept is 0.9864, with a standard error of 0.5542 and a p-value of 0.0751. The reported progress ratio, two raised to the power of the elasticity, is 0.8978. A progress ratio below one would nominally indicate that a doubling of article age is associated with a slight decline in citations-plus-one, but given the near-zero R-squared and the insignificant elasticity, the progress ratio should be read as descriptively convenient rather than as evidence of a real declining curve</w:t>
      </w:r>
      <w:r>
        <w:t xml:space="preserve"> </w:t>
      </w:r>
      <w:hyperlink w:anchor="ref-3">
        <w:r>
          <w:rPr>
            <w:rStyle w:val="Hyperlink"/>
          </w:rPr>
          <w:t xml:space="preserve">[3]</w:t>
        </w:r>
      </w:hyperlink>
      <w:r>
        <w:t xml:space="preserve">.</w:t>
      </w:r>
    </w:p>
    <w:p>
      <w:pPr>
        <w:pStyle w:val="BodyText"/>
        <w:spacing w:line="480" w:lineRule="auto"/>
        <w:ind w:firstLine="720"/>
      </w:pPr>
      <w:r>
        <w:t xml:space="preserve">This is a null result, and Chapter 3 anticipated it as a substantive finding rather than a failure. The null is the point. Within the bounded candidate corpus, article age does not strongly explain citation accumulation. Older records are not automatically the attention center of the retrieved literature, but neither is there a statistically clear counter-pattern in which newer records dominate. Attention, whatever organizes it here, is not organized by age.</w:t>
      </w:r>
    </w:p>
    <w:bookmarkEnd w:id="113"/>
    <w:bookmarkStart w:id="114" w:name="reading-the-two-results-together"/>
    <w:p>
      <w:pPr>
        <w:pStyle w:val="Heading2"/>
        <w:spacing w:line="480" w:lineRule="auto"/>
      </w:pPr>
      <w:r>
        <w:t xml:space="preserve">6.4 Reading the Two Results Together</w:t>
      </w:r>
    </w:p>
    <w:p>
      <w:pPr>
        <w:pStyle w:val="FirstParagraph"/>
        <w:spacing w:line="480" w:lineRule="auto"/>
      </w:pPr>
      <w:r>
        <w:t xml:space="preserve">Together, the two papers describe a specific and coherent condition. Paper 1 finds thematic concentration by venue: the security discourse in this corpus is densely framed on the AMOS side and thins toward the journal and economy records, with a venue coefficient of -2.1716 significant at p equal to 0.0001. Paper 2 finds that citation accumulation does not follow an age-based curve, with an elasticity of -0.1556 at p equal to 0.6189 and an R-squared of 0.0055</w:t>
      </w:r>
      <w:r>
        <w:t xml:space="preserve"> </w:t>
      </w:r>
      <w:hyperlink w:anchor="ref-11">
        <w:r>
          <w:rPr>
            <w:rStyle w:val="Hyperlink"/>
          </w:rPr>
          <w:t xml:space="preserve">[11]</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That combination is the empirical heart of the dissertation. A field consolidating on both axes would have shown recency-driven thematic density and age-driven attention. This corpus shows neither. Instead it shows venue-driven thematic density and flat attention, which describes a literature with strong institutional clustering but a weaker cumulative attention structure than a mature field would display</w:t>
      </w:r>
      <w:r>
        <w:t xml:space="preserve"> </w:t>
      </w:r>
      <w:hyperlink w:anchor="ref-4">
        <w:r>
          <w:rPr>
            <w:rStyle w:val="Hyperlink"/>
          </w:rPr>
          <w:t xml:space="preserve">[4]</w:t>
        </w:r>
      </w:hyperlink>
      <w:r>
        <w:t xml:space="preserve">. The discourse is real, active, and thematically dense, yet its density lives inside a particular institutional conversation, and its citation attention has not yet organized into the regular accumulation that marks a cumulative field.</w:t>
      </w:r>
    </w:p>
    <w:p>
      <w:pPr>
        <w:pStyle w:val="BodyText"/>
        <w:spacing w:line="480" w:lineRule="auto"/>
        <w:ind w:firstLine="720"/>
      </w:pPr>
      <w:r>
        <w:t xml:space="preserve">The falsifiable contribution set out in Chapter 1 receives a split verdict, and the split is informative. On the thematic axis, the corpus rejects the null and displays measurable structure, though that structure is institutional rather than temporal. On the attention axis, the corpus fails to reject the null: age does not organize citations. Neither result required the analyst to supply the pattern; both fell out of deterministic variables and simple estimators applied to a fully documented panel</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114"/>
    <w:bookmarkStart w:id="115" w:name="X6b0bc91ac12a46d0a4fa67eb3399648c1ce68f1"/>
    <w:p>
      <w:pPr>
        <w:pStyle w:val="Heading2"/>
        <w:spacing w:line="480" w:lineRule="auto"/>
      </w:pPr>
      <w:r>
        <w:t xml:space="preserve">6.5 Mapping the Results to the Pre-Specified Fingerprints</w:t>
      </w:r>
    </w:p>
    <w:p>
      <w:pPr>
        <w:pStyle w:val="FirstParagraph"/>
        <w:spacing w:line="480" w:lineRule="auto"/>
      </w:pPr>
      <w:r>
        <w:t xml:space="preserve">Chapter 3 named three departures from the strong consolidation fingerprint in advance, and the results map cleanly onto one of them. The strong consolidation fingerprint required recency-dominated thematic density and a positive age elasticity. The corpus delivers neither: the recency coefficient of 0.1172 is positive but insignificant at p equal to 0.2078, and the age elasticity of -0.1556 is insignificant at p equal to 0.6189</w:t>
      </w:r>
      <w:r>
        <w:t xml:space="preserve"> </w:t>
      </w:r>
      <w:hyperlink w:anchor="ref-1">
        <w:r>
          <w:rPr>
            <w:rStyle w:val="Hyperlink"/>
          </w:rPr>
          <w:t xml:space="preserve">[1]</w:t>
        </w:r>
      </w:hyperlink>
      <w:r>
        <w:t xml:space="preserve"> </w:t>
      </w:r>
      <w:hyperlink w:anchor="ref-11">
        <w:r>
          <w:rPr>
            <w:rStyle w:val="Hyperlink"/>
          </w:rPr>
          <w:t xml:space="preserve">[11]</w:t>
        </w:r>
      </w:hyperlink>
      <w:r>
        <w:t xml:space="preserve">. The strong fingerprint is absent.</w:t>
      </w:r>
    </w:p>
    <w:p>
      <w:pPr>
        <w:pStyle w:val="BodyText"/>
        <w:spacing w:line="480" w:lineRule="auto"/>
        <w:ind w:firstLine="720"/>
      </w:pPr>
      <w:r>
        <w:t xml:space="preserve">What the corpus delivers instead is the venue-dominance-plus-attention-flatness fingerprint, the pre-specified institutional-clustering condition. The venue coefficient of -2.1716 at p equal to 0.0001 supplies the venue dominance, and the age elasticity’s insignificance supplies the attention flatness</w:t>
      </w:r>
      <w:r>
        <w:t xml:space="preserve"> </w:t>
      </w:r>
      <w:hyperlink w:anchor="ref-5">
        <w:r>
          <w:rPr>
            <w:rStyle w:val="Hyperlink"/>
          </w:rPr>
          <w:t xml:space="preserve">[5]</w:t>
        </w:r>
      </w:hyperlink>
      <w:r>
        <w:t xml:space="preserve"> </w:t>
      </w:r>
      <w:hyperlink w:anchor="ref-14">
        <w:r>
          <w:rPr>
            <w:rStyle w:val="Hyperlink"/>
          </w:rPr>
          <w:t xml:space="preserve">[14]</w:t>
        </w:r>
      </w:hyperlink>
      <w:r>
        <w:t xml:space="preserve">. This is not a pattern discovered after the fact and dressed in theoretical language. It is one of the three departures the theory enumerated before the estimation ran, and the corpus landed on it. The discipline of naming the fingerprints in advance is what lets the mapping be stated so plainly.</w:t>
      </w:r>
    </w:p>
    <w:p>
      <w:pPr>
        <w:pStyle w:val="BodyText"/>
        <w:spacing w:line="480" w:lineRule="auto"/>
        <w:ind w:firstLine="720"/>
      </w:pPr>
      <w:r>
        <w:t xml:space="preserve">The total-nullity fingerprint, no structure on either axis, is also ruled out, because Paper 1’s joint F test rejects at p equal to 0.0036 and the venue coefficient is decisively significant</w:t>
      </w:r>
      <w:r>
        <w:t xml:space="preserve"> </w:t>
      </w:r>
      <w:hyperlink w:anchor="ref-1">
        <w:r>
          <w:rPr>
            <w:rStyle w:val="Hyperlink"/>
          </w:rPr>
          <w:t xml:space="preserve">[1]</w:t>
        </w:r>
      </w:hyperlink>
      <w:r>
        <w:t xml:space="preserve">. The corpus is not heterogeneous noise. It has a strong structural axis; that axis is simply institutional rather than temporal, and its attention has not organized cumulatively. Reading the results against the pre-specified fingerprints converts a table of coefficients into a verdict on the consolidation question, and the verdict is institutional clustering without cumulative attention</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115"/>
    <w:bookmarkStart w:id="116" w:name="the-non-findings-and-why-they-matter"/>
    <w:p>
      <w:pPr>
        <w:pStyle w:val="Heading2"/>
        <w:spacing w:line="480" w:lineRule="auto"/>
      </w:pPr>
      <w:r>
        <w:t xml:space="preserve">6.6 The Non-Findings and Why They Matter</w:t>
      </w:r>
    </w:p>
    <w:p>
      <w:pPr>
        <w:pStyle w:val="FirstParagraph"/>
        <w:spacing w:line="480" w:lineRule="auto"/>
      </w:pPr>
      <w:r>
        <w:t xml:space="preserve">A results chapter that reported only the significant venue coefficient would misrepresent the corpus, because the non-findings carry as much information as the finding. The insignificant recency coefficient of 0.1172 at p equal to 0.2078 is a substantive result: it says the shared security frame is not demonstrably thickening over time within this corpus</w:t>
      </w:r>
      <w:r>
        <w:t xml:space="preserve"> </w:t>
      </w:r>
      <w:hyperlink w:anchor="ref-1">
        <w:r>
          <w:rPr>
            <w:rStyle w:val="Hyperlink"/>
          </w:rPr>
          <w:t xml:space="preserve">[1]</w:t>
        </w:r>
      </w:hyperlink>
      <w:r>
        <w:t xml:space="preserve"> </w:t>
      </w:r>
      <w:hyperlink w:anchor="ref-11">
        <w:r>
          <w:rPr>
            <w:rStyle w:val="Hyperlink"/>
          </w:rPr>
          <w:t xml:space="preserve">[11]</w:t>
        </w:r>
      </w:hyperlink>
      <w:r>
        <w:t xml:space="preserve">. Had recency been significant, the strong consolidation reading would have gained support. Its insignificance is part of why the verdict is clustering rather than consolidation, and it should be read as evidence, not as an absence of evidence.</w:t>
      </w:r>
    </w:p>
    <w:p>
      <w:pPr>
        <w:pStyle w:val="BodyText"/>
        <w:spacing w:line="480" w:lineRule="auto"/>
        <w:ind w:firstLine="720"/>
      </w:pPr>
      <w:r>
        <w:t xml:space="preserve">The insignificant citation coefficient of -0.0126 at p equal to 0.6351 is equally informative. It establishes that thematic density and citation attention are decoupled in this corpus: the records most densely written into the security frame are not the records the field cites most</w:t>
      </w:r>
      <w:r>
        <w:t xml:space="preserve"> </w:t>
      </w:r>
      <w:hyperlink w:anchor="ref-14">
        <w:r>
          <w:rPr>
            <w:rStyle w:val="Hyperlink"/>
          </w:rPr>
          <w:t xml:space="preserve">[14]</w:t>
        </w:r>
      </w:hyperlink>
      <w:r>
        <w:t xml:space="preserve">. This decoupling is the quantitative face of the signal-attention inversion documented in the panel, where the forty-citation record scores three on thematic signal and the twelve-signal record carries only two citations</w:t>
      </w:r>
      <w:r>
        <w:t xml:space="preserve"> </w:t>
      </w:r>
      <w:hyperlink w:anchor="ref-14">
        <w:r>
          <w:rPr>
            <w:rStyle w:val="Hyperlink"/>
          </w:rPr>
          <w:t xml:space="preserve">[14]</w:t>
        </w:r>
      </w:hyperlink>
      <w:r>
        <w:t xml:space="preserve"> </w:t>
      </w:r>
      <w:hyperlink w:anchor="ref-16">
        <w:r>
          <w:rPr>
            <w:rStyle w:val="Hyperlink"/>
          </w:rPr>
          <w:t xml:space="preserve">[16]</w:t>
        </w:r>
      </w:hyperlink>
      <w:r>
        <w:t xml:space="preserve">. The near-zero citation coefficient tells the reader that these two axes must be understood separately, which is the empirical justification for running two papers rather than one.</w:t>
      </w:r>
    </w:p>
    <w:p>
      <w:pPr>
        <w:pStyle w:val="BodyText"/>
        <w:spacing w:line="480" w:lineRule="auto"/>
        <w:ind w:firstLine="720"/>
      </w:pPr>
      <w:r>
        <w:t xml:space="preserve">Paper 2’s non-finding is the most important of all. An age elasticity of -0.1556 with a p-value of 0.6189 and an R-squared of 0.0055 is a clean null, and the design treats it as a finding rather than a failure</w:t>
      </w:r>
      <w:r>
        <w:t xml:space="preserve"> </w:t>
      </w:r>
      <w:hyperlink w:anchor="ref-3">
        <w:r>
          <w:rPr>
            <w:rStyle w:val="Hyperlink"/>
          </w:rPr>
          <w:t xml:space="preserve">[3]</w:t>
        </w:r>
      </w:hyperlink>
      <w:r>
        <w:t xml:space="preserve">. The null says the corpus lacks the cumulative attention structure of a mature field, which is exactly what distinguishes the clustered condition from the consolidated one. A study that buried this null, or that reworked the specification until age became significant, would have destroyed the very contrast the design exists to detect. Reporting the null plainly, with its exact statistics, is what makes the split verdict credible The null stays.</w:t>
      </w:r>
      <w:r>
        <w:t xml:space="preserve"> </w:t>
      </w:r>
      <w:hyperlink w:anchor="ref-14">
        <w:r>
          <w:rPr>
            <w:rStyle w:val="Hyperlink"/>
          </w:rPr>
          <w:t xml:space="preserve">[14]</w:t>
        </w:r>
      </w:hyperlink>
      <w:r>
        <w:t xml:space="preserve">.</w:t>
      </w:r>
    </w:p>
    <w:bookmarkEnd w:id="116"/>
    <w:bookmarkStart w:id="117" w:name="a-readers-guide-to-the-coefficient-signs"/>
    <w:p>
      <w:pPr>
        <w:pStyle w:val="Heading2"/>
        <w:spacing w:line="480" w:lineRule="auto"/>
      </w:pPr>
      <w:r>
        <w:t xml:space="preserve">6.7 A Reader’s Guide to the Coefficient Signs</w:t>
      </w:r>
    </w:p>
    <w:p>
      <w:pPr>
        <w:pStyle w:val="FirstParagraph"/>
        <w:spacing w:line="480" w:lineRule="auto"/>
      </w:pPr>
      <w:r>
        <w:t xml:space="preserve">The signs of the coefficients repay a careful walk, because each sign carries meaning independent of its significance. The positive recency coefficient, though insignificant, points in the direction the thickening-frame hypothesis predicts, so the corpus leans, weakly, toward consolidation on the thematic axis rather than against it</w:t>
      </w:r>
      <w:r>
        <w:t xml:space="preserve"> </w:t>
      </w:r>
      <w:hyperlink w:anchor="ref-1">
        <w:r>
          <w:rPr>
            <w:rStyle w:val="Hyperlink"/>
          </w:rPr>
          <w:t xml:space="preserve">[1]</w:t>
        </w:r>
      </w:hyperlink>
      <w:r>
        <w:t xml:space="preserve">. The negative venue coefficient means thematic signal falls as the venue code rises from AMOS to Acta to economy, which locates the density on the conference side</w:t>
      </w:r>
      <w:r>
        <w:t xml:space="preserve"> </w:t>
      </w:r>
      <w:hyperlink w:anchor="ref-5">
        <w:r>
          <w:rPr>
            <w:rStyle w:val="Hyperlink"/>
          </w:rPr>
          <w:t xml:space="preserve">[5]</w:t>
        </w:r>
      </w:hyperlink>
      <w:r>
        <w:t xml:space="preserve">. Because the venue code is an assignment rather than a natural scale, the negative sign is a statement about where signal concentrates rather than a claim that higher venue codes cause lower signal</w:t>
      </w:r>
      <w:r>
        <w:t xml:space="preserve"> </w:t>
      </w:r>
      <w:hyperlink w:anchor="ref-11">
        <w:r>
          <w:rPr>
            <w:rStyle w:val="Hyperlink"/>
          </w:rPr>
          <w:t xml:space="preserve">[11]</w:t>
        </w:r>
      </w:hyperlink>
      <w:r>
        <w:t xml:space="preserve">.</w:t>
      </w:r>
    </w:p>
    <w:p>
      <w:pPr>
        <w:pStyle w:val="BodyText"/>
        <w:spacing w:line="480" w:lineRule="auto"/>
        <w:ind w:firstLine="720"/>
      </w:pPr>
      <w:r>
        <w:t xml:space="preserve">The negative citation coefficient, though far from significant, is worth noting for what it rules out. Had it been large and positive, more-cited records would have been more densely security-framed, supporting a reading in which the field’s attention tracks its thematic center</w:t>
      </w:r>
      <w:r>
        <w:t xml:space="preserve"> </w:t>
      </w:r>
      <w:hyperlink w:anchor="ref-14">
        <w:r>
          <w:rPr>
            <w:rStyle w:val="Hyperlink"/>
          </w:rPr>
          <w:t xml:space="preserve">[14]</w:t>
        </w:r>
      </w:hyperlink>
      <w:r>
        <w:t xml:space="preserve">. The small negative estimate rules that reading out: attention and thematic density are not merely uncorrelated but, if anything, slightly opposed in this corpus, consistent with the inversion the panel displays</w:t>
      </w:r>
      <w:r>
        <w:t xml:space="preserve"> </w:t>
      </w:r>
      <w:hyperlink w:anchor="ref-16">
        <w:r>
          <w:rPr>
            <w:rStyle w:val="Hyperlink"/>
          </w:rPr>
          <w:t xml:space="preserve">[16]</w:t>
        </w:r>
      </w:hyperlink>
      <w:r>
        <w:t xml:space="preserve">. In Paper 2, the negative age elasticity nominally suggests older records accumulate slightly fewer citations, but with an R-squared of 0.0055 the sign is descriptively empty and should not be over-read</w:t>
      </w:r>
      <w:r>
        <w:t xml:space="preserve"> </w:t>
      </w:r>
      <w:hyperlink w:anchor="ref-3">
        <w:r>
          <w:rPr>
            <w:rStyle w:val="Hyperlink"/>
          </w:rPr>
          <w:t xml:space="preserve">[3]</w:t>
        </w:r>
      </w:hyperlink>
      <w:r>
        <w:t xml:space="preserve">. Reading the signs this way, one at a time and against the hypotheses, ensures that the verdict rests on the full coefficient structure rather than on the single significant term.</w:t>
      </w:r>
    </w:p>
    <w:bookmarkEnd w:id="117"/>
    <w:bookmarkStart w:id="118" w:name="X9c5a130fdef56229f9455f17ffe68395eb22c71"/>
    <w:p>
      <w:pPr>
        <w:pStyle w:val="Heading2"/>
        <w:spacing w:line="480" w:lineRule="auto"/>
      </w:pPr>
      <w:r>
        <w:t xml:space="preserve">6.8 What the Numbers Would Have Shown Under Consolidation</w:t>
      </w:r>
    </w:p>
    <w:p>
      <w:pPr>
        <w:pStyle w:val="FirstParagraph"/>
        <w:spacing w:line="480" w:lineRule="auto"/>
      </w:pPr>
      <w:r>
        <w:t xml:space="preserve">A useful way to appreciate the actual results is to state what the same estimators would have produced had the corpus been consolidating, because the contrast makes the verdict vivid. Under strong consolidation, Paper 1’s recency coefficient would have been positive and significant, likely carrying a p-value well below 0.05 rather than the observed 0.2078, and the venue coefficient would have been small and insignificant as the shared frame distributed signal evenly across venues</w:t>
      </w:r>
      <w:r>
        <w:t xml:space="preserve"> </w:t>
      </w:r>
      <w:hyperlink w:anchor="ref-1">
        <w:r>
          <w:rPr>
            <w:rStyle w:val="Hyperlink"/>
          </w:rPr>
          <w:t xml:space="preserve">[1]</w:t>
        </w:r>
      </w:hyperlink>
      <w:r>
        <w:t xml:space="preserve"> </w:t>
      </w:r>
      <w:hyperlink w:anchor="ref-5">
        <w:r>
          <w:rPr>
            <w:rStyle w:val="Hyperlink"/>
          </w:rPr>
          <w:t xml:space="preserve">[5]</w:t>
        </w:r>
      </w:hyperlink>
      <w:r>
        <w:t xml:space="preserve">. Paper 2’s age elasticity would have been positive and significant, with an R-squared far above the observed 0.0055, as foundational older records accumulated attention</w:t>
      </w:r>
      <w:r>
        <w:t xml:space="preserve"> </w:t>
      </w:r>
      <w:hyperlink w:anchor="ref-11">
        <w:r>
          <w:rPr>
            <w:rStyle w:val="Hyperlink"/>
          </w:rPr>
          <w:t xml:space="preserve">[11]</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The corpus produced almost the mirror image. The venue coefficient, which consolidation predicts to be negligible, is instead the largest and most significant term at -2.1716 and p equal to 0.0001</w:t>
      </w:r>
      <w:r>
        <w:t xml:space="preserve"> </w:t>
      </w:r>
      <w:hyperlink w:anchor="ref-5">
        <w:r>
          <w:rPr>
            <w:rStyle w:val="Hyperlink"/>
          </w:rPr>
          <w:t xml:space="preserve">[5]</w:t>
        </w:r>
      </w:hyperlink>
      <w:r>
        <w:t xml:space="preserve">. The age elasticity, which consolidation predicts to be positive and significant, is instead near zero and insignificant at -0.1556 and p equal to 0.6189</w:t>
      </w:r>
      <w:r>
        <w:t xml:space="preserve"> </w:t>
      </w:r>
      <w:hyperlink w:anchor="ref-14">
        <w:r>
          <w:rPr>
            <w:rStyle w:val="Hyperlink"/>
          </w:rPr>
          <w:t xml:space="preserve">[14]</w:t>
        </w:r>
      </w:hyperlink>
      <w:r>
        <w:t xml:space="preserve">. The recency coefficient, which consolidation predicts to carry the thematic axis, is the one that goes quiet at 0.1172 and p equal to 0.2078</w:t>
      </w:r>
      <w:r>
        <w:t xml:space="preserve"> </w:t>
      </w:r>
      <w:hyperlink w:anchor="ref-1">
        <w:r>
          <w:rPr>
            <w:rStyle w:val="Hyperlink"/>
          </w:rPr>
          <w:t xml:space="preserve">[1]</w:t>
        </w:r>
      </w:hyperlink>
      <w:r>
        <w:t xml:space="preserve">. Every place consolidation predicted structure, the corpus is flat The mirror is exact.; the one place it predicted flatness, venue, is where the corpus concentrates its structure.</w:t>
      </w:r>
    </w:p>
    <w:p>
      <w:pPr>
        <w:pStyle w:val="BodyText"/>
        <w:spacing w:line="480" w:lineRule="auto"/>
        <w:ind w:firstLine="720"/>
      </w:pPr>
      <w:r>
        <w:t xml:space="preserve">That systematic inversion of the consolidation prediction is the strongest way to state the verdict. The corpus did not merely fail to confirm consolidation; it produced the specific alternative pattern the theory named as institutional clustering, term by term</w:t>
      </w:r>
      <w:r>
        <w:t xml:space="preserve"> </w:t>
      </w:r>
      <w:hyperlink w:anchor="ref-3">
        <w:r>
          <w:rPr>
            <w:rStyle w:val="Hyperlink"/>
          </w:rPr>
          <w:t xml:space="preserve">[3]</w:t>
        </w:r>
      </w:hyperlink>
      <w:r>
        <w:t xml:space="preserve"> </w:t>
      </w:r>
      <w:hyperlink w:anchor="ref-4">
        <w:r>
          <w:rPr>
            <w:rStyle w:val="Hyperlink"/>
          </w:rPr>
          <w:t xml:space="preserve">[4]</w:t>
        </w:r>
      </w:hyperlink>
      <w:r>
        <w:t xml:space="preserve">. Reading the numbers against their consolidation counterparts converts the coefficient table into a clear negative on the strong hypothesis and a clear positive on the clustering hypothesis. Chapter 7 takes up what this verdict means, what it cannot show, and where the threats to its validity lie.</w:t>
      </w:r>
    </w:p>
    <w:bookmarkEnd w:id="118"/>
    <w:bookmarkEnd w:id="119"/>
    <w:bookmarkStart w:id="128" w:name="chapter-7-discussion-and-limitations"/>
    <w:p>
      <w:pPr>
        <w:pStyle w:val="Heading1"/>
        <w:spacing w:line="480" w:lineRule="auto"/>
      </w:pPr>
      <w:r>
        <w:t xml:space="preserve">Chapter 7: Discussion and Limitations</w:t>
      </w:r>
    </w:p>
    <w:p>
      <w:pPr>
        <w:pStyle w:val="FirstParagraph"/>
        <w:spacing w:line="480" w:lineRule="auto"/>
      </w:pPr>
      <w:r>
        <w:t xml:space="preserve">The two results are in. Both are clear. Thematic density is organized by venue, and citation attention is not organized by age. This chapter interprets that pattern, confronts the threats to its validity, and states plainly what the data cannot show. A descriptive study earns trust by discounting its own findings as carefully as it reports them, and that is the work of this chapter</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Start w:id="120" w:name="what-the-findings-mean"/>
    <w:p>
      <w:pPr>
        <w:pStyle w:val="Heading2"/>
        <w:spacing w:line="480" w:lineRule="auto"/>
      </w:pPr>
      <w:r>
        <w:t xml:space="preserve">7.1 What the Findings Mean</w:t>
      </w:r>
    </w:p>
    <w:p>
      <w:pPr>
        <w:pStyle w:val="FirstParagraph"/>
        <w:spacing w:line="480" w:lineRule="auto"/>
      </w:pPr>
      <w:r>
        <w:t xml:space="preserve">The central finding is institutional clustering. The retrieved security discourse is thematically dense, but its density is concentrated in the AMOS conference literature and thins across the journal and economy records</w:t>
      </w:r>
      <w:r>
        <w:t xml:space="preserve"> </w:t>
      </w:r>
      <w:hyperlink w:anchor="ref-11">
        <w:r>
          <w:rPr>
            <w:rStyle w:val="Hyperlink"/>
          </w:rPr>
          <w:t xml:space="preserve">[11]</w:t>
        </w:r>
      </w:hyperlink>
      <w:r>
        <w:t xml:space="preserve">. This is a meaningful description of the field’s structure, and it complicates the comfortable story that space-security scholarship has consolidated into a unified body of knowledge. The vocabulary and problem frame that mark the security conversation are deposited most densely in one institutional venue, which suggests the conversation still depends heavily on that venue’s community rather than on a generalized field-wide frame</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venue result carries a substantive reading that goes beyond the corpus mechanics. AMOS is an operational conference where sensing, tracking, and domain-awareness capability are the native subject matter, so it is unsurprising that candidate-theme security vocabulary is densest there</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The Acta records, by contrast, tend toward synthesis and governance, and they deposit the security frame more diffusely because they situate it within broader engineering or policy discussions</w:t>
      </w:r>
      <w:r>
        <w:t xml:space="preserve"> </w:t>
      </w:r>
      <w:hyperlink w:anchor="ref-5">
        <w:r>
          <w:rPr>
            <w:rStyle w:val="Hyperlink"/>
          </w:rPr>
          <w:t xml:space="preserve">[5]</w:t>
        </w:r>
      </w:hyperlink>
      <w:r>
        <w:t xml:space="preserve"> </w:t>
      </w:r>
      <w:hyperlink w:anchor="ref-16">
        <w:r>
          <w:rPr>
            <w:rStyle w:val="Hyperlink"/>
          </w:rPr>
          <w:t xml:space="preserve">[16]</w:t>
        </w:r>
      </w:hyperlink>
      <w:r>
        <w:t xml:space="preserve">. The venue coefficient is, in part, a fingerprint of this division of labor between an operational community and a synthetic one.</w:t>
      </w:r>
    </w:p>
    <w:p>
      <w:pPr>
        <w:pStyle w:val="BodyText"/>
        <w:spacing w:line="480" w:lineRule="auto"/>
        <w:ind w:firstLine="720"/>
      </w:pPr>
      <w:r>
        <w:t xml:space="preserve">The null on the attention axis sharpens the picture. If the field were cumulative, foundational older work would have gathered citations as newer work built on it, producing a measurable age elasticity</w:t>
      </w:r>
      <w:r>
        <w:t xml:space="preserve"> </w:t>
      </w:r>
      <w:hyperlink w:anchor="ref-11">
        <w:r>
          <w:rPr>
            <w:rStyle w:val="Hyperlink"/>
          </w:rPr>
          <w:t xml:space="preserve">[11]</w:t>
        </w:r>
      </w:hyperlink>
      <w:r>
        <w:t xml:space="preserve"> </w:t>
      </w:r>
      <w:hyperlink w:anchor="ref-14">
        <w:r>
          <w:rPr>
            <w:rStyle w:val="Hyperlink"/>
          </w:rPr>
          <w:t xml:space="preserve">[14]</w:t>
        </w:r>
      </w:hyperlink>
      <w:r>
        <w:t xml:space="preserve">. The absence of that curve says the corpus has not organized its attention into the regular accumulation of a mature field. Attention attaches to particular records, most visibly a handful of highly cited Acta papers, for reasons specific to those records rather than through cumulative field growth</w:t>
      </w:r>
      <w:r>
        <w:t xml:space="preserve"> </w:t>
      </w:r>
      <w:hyperlink w:anchor="ref-14">
        <w:r>
          <w:rPr>
            <w:rStyle w:val="Hyperlink"/>
          </w:rPr>
          <w:t xml:space="preserve">[14]</w:t>
        </w:r>
      </w:hyperlink>
      <w:r>
        <w:t xml:space="preserve">. A literature can be thematically dense and institutionally clustered while still lacking a cumulative attention structure, and that is what this corpus appears to be.</w:t>
      </w:r>
    </w:p>
    <w:p>
      <w:pPr>
        <w:pStyle w:val="BodyText"/>
        <w:spacing w:line="480" w:lineRule="auto"/>
        <w:ind w:firstLine="720"/>
      </w:pPr>
      <w:r>
        <w:t xml:space="preserve">Read together, the findings suggest a field in an intermediate condition. It is past the point of scattered, unframed inquiry, because the thematic signal is real and venue-structured. It is short of the mature condition in which attention accumulates cumulatively across venues. That intermediate reading is more useful to a policymaker than either the flattering consolidation story or a dismissive fragmentation story, because it names the specific way the field is and is not organized</w:t>
      </w:r>
      <w:r>
        <w:t xml:space="preserve"> </w:t>
      </w:r>
      <w:hyperlink w:anchor="ref-2">
        <w:r>
          <w:rPr>
            <w:rStyle w:val="Hyperlink"/>
          </w:rPr>
          <w:t xml:space="preserve">[2]</w:t>
        </w:r>
      </w:hyperlink>
      <w:r>
        <w:t xml:space="preserve">.</w:t>
      </w:r>
    </w:p>
    <w:bookmarkEnd w:id="120"/>
    <w:bookmarkStart w:id="121" w:name="threats-to-validity"/>
    <w:p>
      <w:pPr>
        <w:pStyle w:val="Heading2"/>
        <w:spacing w:line="480" w:lineRule="auto"/>
      </w:pPr>
      <w:r>
        <w:t xml:space="preserve">7.2 Threats to Validity</w:t>
      </w:r>
    </w:p>
    <w:p>
      <w:pPr>
        <w:pStyle w:val="FirstParagraph"/>
        <w:spacing w:line="480" w:lineRule="auto"/>
      </w:pPr>
      <w:r>
        <w:t xml:space="preserve">Proxy validity is the first and most serious threat. It cannot be waved away. The topic-signal score measures density of thematic framing in retrieved metadata, not the substantive quality of a security argument</w:t>
      </w:r>
      <w:r>
        <w:t xml:space="preserve"> </w:t>
      </w:r>
      <w:hyperlink w:anchor="ref-2">
        <w:r>
          <w:rPr>
            <w:rStyle w:val="Hyperlink"/>
          </w:rPr>
          <w:t xml:space="preserve">[2]</w:t>
        </w:r>
      </w:hyperlink>
      <w:r>
        <w:t xml:space="preserve"> </w:t>
      </w:r>
      <w:hyperlink w:anchor="ref-5">
        <w:r>
          <w:rPr>
            <w:rStyle w:val="Hyperlink"/>
          </w:rPr>
          <w:t xml:space="preserve">[5]</w:t>
        </w:r>
      </w:hyperlink>
      <w:r>
        <w:t xml:space="preserve">. A record can advance a profound counterspace or stability argument while depositing modest metadata signal, and a record can deposit dense signal while contributing little. The venue result, in particular, may partly reflect that AMOS metadata conventions deposit more candidate-theme vocabulary than Acta conventions do, rather than a genuine difference in security-argument density. The finding is robust as a statement about metadata structure; it is weaker as a statement about intellectual substance.</w:t>
      </w:r>
    </w:p>
    <w:p>
      <w:pPr>
        <w:pStyle w:val="BodyText"/>
        <w:spacing w:line="480" w:lineRule="auto"/>
        <w:ind w:firstLine="720"/>
      </w:pPr>
      <w:r>
        <w:t xml:space="preserve">Citation measurement is the second threat. The citation counts are parsed from the local brain index, and twenty of thirty records report zero citations</w:t>
      </w:r>
      <w:r>
        <w:t xml:space="preserve"> </w:t>
      </w:r>
      <w:hyperlink w:anchor="ref-11">
        <w:r>
          <w:rPr>
            <w:rStyle w:val="Hyperlink"/>
          </w:rPr>
          <w:t xml:space="preserve">[11]</w:t>
        </w:r>
      </w:hyperlink>
      <w:r>
        <w:t xml:space="preserve">. That zero-citation floor is almost certainly an artifact of indexing coverage rather than a true absence of attention, especially for the AMOS conference papers, which are less consistently indexed for citation than journal articles. The null in Paper 2 must therefore be read with care: age may fail to explain citation accumulation partly because the citation variable itself is measured with heavy, non-random error</w:t>
      </w:r>
      <w:r>
        <w:t xml:space="preserve"> </w:t>
      </w:r>
      <w:hyperlink w:anchor="ref-14">
        <w:r>
          <w:rPr>
            <w:rStyle w:val="Hyperlink"/>
          </w:rPr>
          <w:t xml:space="preserve">[14]</w:t>
        </w:r>
      </w:hyperlink>
      <w:r>
        <w:t xml:space="preserve">. The result is best understood as a null within the retrieved index, not a definitive claim about the field’s true attention structure.</w:t>
      </w:r>
    </w:p>
    <w:p>
      <w:pPr>
        <w:pStyle w:val="BodyText"/>
        <w:spacing w:line="480" w:lineRule="auto"/>
        <w:ind w:firstLine="720"/>
      </w:pPr>
      <w:r>
        <w:t xml:space="preserve">Corpus composition is the third threat. The panel mixes operational conference papers, synthetic journal articles, and loosely related economy and roadmap records</w:t>
      </w:r>
      <w:r>
        <w:t xml:space="preserve"> </w:t>
      </w:r>
      <w:hyperlink w:anchor="ref-18">
        <w:r>
          <w:rPr>
            <w:rStyle w:val="Hyperlink"/>
          </w:rPr>
          <w:t xml:space="preserve">[18]</w:t>
        </w:r>
      </w:hyperlink>
      <w:r>
        <w:t xml:space="preserve">. This heterogeneity is realistic, but it means the two estimators are averaging across records that behave under incompatible conventions. The economy records depress topic-signal scores because they lack snippet and keyword metadata, and they contribute little to the citation analysis because none is cited. Their presence sharpens the venue gradient in Paper 1 partly by construction, which is a reason to treat the venue coefficient’s magnitude as corpus-specific rather than as a portable estimate</w:t>
      </w:r>
      <w:r>
        <w:t xml:space="preserve"> </w:t>
      </w:r>
      <w:hyperlink w:anchor="ref-5">
        <w:r>
          <w:rPr>
            <w:rStyle w:val="Hyperlink"/>
          </w:rPr>
          <w:t xml:space="preserve">[5]</w:t>
        </w:r>
      </w:hyperlink>
      <w:r>
        <w:t xml:space="preserve">.</w:t>
      </w:r>
    </w:p>
    <w:p>
      <w:pPr>
        <w:pStyle w:val="BodyText"/>
        <w:spacing w:line="480" w:lineRule="auto"/>
        <w:ind w:firstLine="720"/>
      </w:pPr>
      <w:r>
        <w:t xml:space="preserve">Small-sample fragility is the fourth threat. At thirty observations, individual influential records can move coefficients, and inference leans harder on distributional assumptions than it would in a large panel</w:t>
      </w:r>
      <w:r>
        <w:t xml:space="preserve"> </w:t>
      </w:r>
      <w:hyperlink w:anchor="ref-9">
        <w:r>
          <w:rPr>
            <w:rStyle w:val="Hyperlink"/>
          </w:rPr>
          <w:t xml:space="preserve">[9]</w:t>
        </w:r>
      </w:hyperlink>
      <w:r>
        <w:t xml:space="preserve">. The robust standard errors mitigate but do not eliminate this. The forty-citation Acta record, for instance, is a genuine outlier in the attention analysis, and while the log transformation compresses its leverage, a panel this small remains sensitive to a few records at the extremes</w:t>
      </w:r>
      <w:r>
        <w:t xml:space="preserve"> </w:t>
      </w:r>
      <w:hyperlink w:anchor="ref-11">
        <w:r>
          <w:rPr>
            <w:rStyle w:val="Hyperlink"/>
          </w:rPr>
          <w:t xml:space="preserve">[11]</w:t>
        </w:r>
      </w:hyperlink>
      <w:r>
        <w:t xml:space="preserve">.</w:t>
      </w:r>
    </w:p>
    <w:bookmarkEnd w:id="121"/>
    <w:bookmarkStart w:id="122" w:name="alternative-explanations"/>
    <w:p>
      <w:pPr>
        <w:pStyle w:val="Heading2"/>
        <w:spacing w:line="480" w:lineRule="auto"/>
      </w:pPr>
      <w:r>
        <w:t xml:space="preserve">7.3 Alternative Explanations</w:t>
      </w:r>
    </w:p>
    <w:p>
      <w:pPr>
        <w:pStyle w:val="FirstParagraph"/>
        <w:spacing w:line="480" w:lineRule="auto"/>
      </w:pPr>
      <w:r>
        <w:t xml:space="preserve">Two alternative explanations for the venue result deserve explicit treatment. The first is the metadata-convention account just described: the venue coefficient could reflect differences in how AMOS and Acta deposit vocabulary into indexed metadata rather than differences in substantive thematic density</w:t>
      </w:r>
      <w:r>
        <w:t xml:space="preserve"> </w:t>
      </w:r>
      <w:hyperlink w:anchor="ref-2">
        <w:r>
          <w:rPr>
            <w:rStyle w:val="Hyperlink"/>
          </w:rPr>
          <w:t xml:space="preserve">[2]</w:t>
        </w:r>
      </w:hyperlink>
      <w:r>
        <w:t xml:space="preserve">. This account cannot be ruled out with the present data, and it is the most important caveat on the headline finding. A full-text analysis would be needed to separate framing density from metadata convention.</w:t>
      </w:r>
    </w:p>
    <w:p>
      <w:pPr>
        <w:pStyle w:val="BodyText"/>
        <w:spacing w:line="480" w:lineRule="auto"/>
        <w:ind w:firstLine="720"/>
      </w:pPr>
      <w:r>
        <w:t xml:space="preserve">The second alternative concerns the direction of the venue-signal relationship. The negative coefficient means signal falls as the venue code rises, but the ordinal coding places AMOS at one by construction, so the finding is partly a statement about how the codes were assigned</w:t>
      </w:r>
      <w:r>
        <w:t xml:space="preserve"> </w:t>
      </w:r>
      <w:hyperlink w:anchor="ref-5">
        <w:r>
          <w:rPr>
            <w:rStyle w:val="Hyperlink"/>
          </w:rPr>
          <w:t xml:space="preserve">[5]</w:t>
        </w:r>
      </w:hyperlink>
      <w:r>
        <w:t xml:space="preserve">. A different ordinal scheme would relocate the coefficient without changing the underlying fact that AMOS records carry the densest signal. The substantive claim, that thematic density concentrates in the conference literature, survives any monotone recoding, but the specific coefficient value is tied to the chosen scale.</w:t>
      </w:r>
    </w:p>
    <w:p>
      <w:pPr>
        <w:pStyle w:val="BodyText"/>
        <w:spacing w:line="480" w:lineRule="auto"/>
        <w:ind w:firstLine="720"/>
      </w:pPr>
      <w:r>
        <w:t xml:space="preserve">For the attention null, the leading alternative is measurement rather than substance. The flat age elasticity is consistent with a genuinely non-cumulative field, and it is equally consistent with a citation variable so degraded by indexing gaps that no real age structure could be detected</w:t>
      </w:r>
      <w:r>
        <w:t xml:space="preserve"> </w:t>
      </w:r>
      <w:hyperlink w:anchor="ref-11">
        <w:r>
          <w:rPr>
            <w:rStyle w:val="Hyperlink"/>
          </w:rPr>
          <w:t xml:space="preserve">[11]</w:t>
        </w:r>
      </w:hyperlink>
      <w:r>
        <w:t xml:space="preserve"> </w:t>
      </w:r>
      <w:hyperlink w:anchor="ref-14">
        <w:r>
          <w:rPr>
            <w:rStyle w:val="Hyperlink"/>
          </w:rPr>
          <w:t xml:space="preserve">[14]</w:t>
        </w:r>
      </w:hyperlink>
      <w:r>
        <w:t xml:space="preserve">. The dissertation cannot distinguish these two accounts, and Chapter 8 treats resolving that ambiguity as the primary task for future work.</w:t>
      </w:r>
    </w:p>
    <w:bookmarkEnd w:id="122"/>
    <w:bookmarkStart w:id="123" w:name="Xdc1bda3eeffa4339eb61de33b70e7b67d61dc64"/>
    <w:p>
      <w:pPr>
        <w:pStyle w:val="Heading2"/>
        <w:spacing w:line="480" w:lineRule="auto"/>
      </w:pPr>
      <w:r>
        <w:t xml:space="preserve">7.3a Placing the Finding in the Field’s Life Cycle</w:t>
      </w:r>
    </w:p>
    <w:p>
      <w:pPr>
        <w:pStyle w:val="FirstParagraph"/>
        <w:spacing w:line="480" w:lineRule="auto"/>
      </w:pPr>
      <w:r>
        <w:t xml:space="preserve">Fields of study have life cycles, and locating the space-security corpus within one gives the institutional-clustering finding its proper weight. Early in a field’s life, inquiry is scattered: papers address a broad problem without a shared vocabulary, and neither thematic density nor attention shows structure</w:t>
      </w:r>
      <w:r>
        <w:t xml:space="preserve"> </w:t>
      </w:r>
      <w:hyperlink w:anchor="ref-9">
        <w:r>
          <w:rPr>
            <w:rStyle w:val="Hyperlink"/>
          </w:rPr>
          <w:t xml:space="preserve">[9]</w:t>
        </w:r>
      </w:hyperlink>
      <w:r>
        <w:t xml:space="preserve">. In maturity, a field is cumulative: a shared frame thickens over time and attention accumulates across venues around foundational works</w:t>
      </w:r>
      <w:r>
        <w:t xml:space="preserve"> </w:t>
      </w:r>
      <w:hyperlink w:anchor="ref-11">
        <w:r>
          <w:rPr>
            <w:rStyle w:val="Hyperlink"/>
          </w:rPr>
          <w:t xml:space="preserve">[11]</w:t>
        </w:r>
      </w:hyperlink>
      <w:r>
        <w:t xml:space="preserve">. Between these lies a clustered stage, where a shared frame exists but remains anchored in particular institutional communities and attention has not yet organized cumulatively.</w:t>
      </w:r>
    </w:p>
    <w:p>
      <w:pPr>
        <w:pStyle w:val="BodyText"/>
        <w:spacing w:line="480" w:lineRule="auto"/>
        <w:ind w:firstLine="720"/>
      </w:pPr>
      <w:r>
        <w:t xml:space="preserve">The corpus places the retrieved security discourse in that middle, clustered stage. It is past scatter, because thematic signal is strong and venue-structured rather than random</w:t>
      </w:r>
      <w:r>
        <w:t xml:space="preserve"> </w:t>
      </w:r>
      <w:hyperlink w:anchor="ref-5">
        <w:r>
          <w:rPr>
            <w:rStyle w:val="Hyperlink"/>
          </w:rPr>
          <w:t xml:space="preserve">[5]</w:t>
        </w:r>
      </w:hyperlink>
      <w:r>
        <w:t xml:space="preserve">. It is short of maturity, because attention does not accumulate with age and thematic density concentrates in a single conference community</w:t>
      </w:r>
      <w:r>
        <w:t xml:space="preserve"> </w:t>
      </w:r>
      <w:hyperlink w:anchor="ref-14">
        <w:r>
          <w:rPr>
            <w:rStyle w:val="Hyperlink"/>
          </w:rPr>
          <w:t xml:space="preserve">[14]</w:t>
        </w:r>
      </w:hyperlink>
      <w:r>
        <w:t xml:space="preserve">. This is a developmental reading, not a verdict of failure. Many productive fields spend years in the clustered stage, and some never leave it, because their subject matter keeps them anchored to specialized institutional communities</w:t>
      </w:r>
      <w:r>
        <w:t xml:space="preserve"> </w:t>
      </w:r>
      <w:hyperlink w:anchor="ref-4">
        <w:r>
          <w:rPr>
            <w:rStyle w:val="Hyperlink"/>
          </w:rPr>
          <w:t xml:space="preserve">[4]</w:t>
        </w:r>
      </w:hyperlink>
      <w:r>
        <w:t xml:space="preserve">. The finding says where this discourse is, not that it is deficient. Location, not judgment.</w:t>
      </w:r>
    </w:p>
    <w:p>
      <w:pPr>
        <w:pStyle w:val="BodyText"/>
        <w:spacing w:line="480" w:lineRule="auto"/>
        <w:ind w:firstLine="720"/>
      </w:pPr>
      <w:r>
        <w:t xml:space="preserve">The developmental reading also explains why the field’s maturation rhetoric feels plausible to insiders even though the structural test does not confirm it. Participants in a clustered field experience a dense, coherent conversation within their venue community, and that lived coherence reads as consolidation from the inside</w:t>
      </w:r>
      <w:r>
        <w:t xml:space="preserve"> </w:t>
      </w:r>
      <w:hyperlink w:anchor="ref-1">
        <w:r>
          <w:rPr>
            <w:rStyle w:val="Hyperlink"/>
          </w:rPr>
          <w:t xml:space="preserve">[1]</w:t>
        </w:r>
      </w:hyperlink>
      <w:r>
        <w:t xml:space="preserve"> </w:t>
      </w:r>
      <w:hyperlink w:anchor="ref-12">
        <w:r>
          <w:rPr>
            <w:rStyle w:val="Hyperlink"/>
          </w:rPr>
          <w:t xml:space="preserve">[12]</w:t>
        </w:r>
      </w:hyperlink>
      <w:r>
        <w:t xml:space="preserve">. The structural test looks across venues and sees the clustering the insider’s vantage cannot. Neither view is wrong; they answer different questions. Both can hold at once. The insider asks whether the conversation is coherent, and it is. The structural test asks whether the coherence spans the field, and it does not yet.</w:t>
      </w:r>
    </w:p>
    <w:bookmarkEnd w:id="123"/>
    <w:bookmarkStart w:id="124" w:name="what-the-data-cannot-show"/>
    <w:p>
      <w:pPr>
        <w:pStyle w:val="Heading2"/>
        <w:spacing w:line="480" w:lineRule="auto"/>
      </w:pPr>
      <w:r>
        <w:t xml:space="preserve">7.4 What the Data Cannot Show</w:t>
      </w:r>
    </w:p>
    <w:p>
      <w:pPr>
        <w:pStyle w:val="FirstParagraph"/>
        <w:spacing w:line="480" w:lineRule="auto"/>
      </w:pPr>
      <w:r>
        <w:t xml:space="preserve">Three things lie beyond the reach of this design, and naming them is a matter of intellectual honesty. The study cannot show a causal effect. Nothing here establishes that recency causes thematic density or that age causes citation accumulation; the estimators identify association structure, not treatment effects</w:t>
      </w:r>
      <w:r>
        <w:t xml:space="preserve"> </w:t>
      </w:r>
      <w:hyperlink w:anchor="ref-3">
        <w:r>
          <w:rPr>
            <w:rStyle w:val="Hyperlink"/>
          </w:rPr>
          <w:t xml:space="preserve">[3]</w:t>
        </w:r>
      </w:hyperlink>
      <w:r>
        <w:t xml:space="preserve">. A reader who wants to know whether writing into a denser frame improves a paper’s reception will not find that answer in these results.</w:t>
      </w:r>
    </w:p>
    <w:p>
      <w:pPr>
        <w:pStyle w:val="BodyText"/>
        <w:spacing w:line="480" w:lineRule="auto"/>
        <w:ind w:firstLine="720"/>
      </w:pPr>
      <w:r>
        <w:t xml:space="preserve">The study cannot generalize to the full space-security literature. The panel is the bounded retrieved corpus for one candidate topic, not a random sample of the field</w:t>
      </w:r>
      <w:r>
        <w:t xml:space="preserve"> </w:t>
      </w:r>
      <w:hyperlink w:anchor="ref-1">
        <w:r>
          <w:rPr>
            <w:rStyle w:val="Hyperlink"/>
          </w:rPr>
          <w:t xml:space="preserve">[1]</w:t>
        </w:r>
      </w:hyperlink>
      <w:r>
        <w:t xml:space="preserve"> </w:t>
      </w:r>
      <w:hyperlink w:anchor="ref-9">
        <w:r>
          <w:rPr>
            <w:rStyle w:val="Hyperlink"/>
          </w:rPr>
          <w:t xml:space="preserve">[9]</w:t>
        </w:r>
      </w:hyperlink>
      <w:r>
        <w:t xml:space="preserve">. The venue concentration and the attention null describe this corpus. Whether the broader space-security literature shows the same clustering is an empirical question that a larger, differently sampled corpus would have to answer.</w:t>
      </w:r>
    </w:p>
    <w:p>
      <w:pPr>
        <w:pStyle w:val="BodyText"/>
        <w:spacing w:line="480" w:lineRule="auto"/>
        <w:ind w:firstLine="720"/>
      </w:pPr>
      <w:r>
        <w:t xml:space="preserve">The study cannot speak to argument quality. The topic-signal score is a framing-density measure, and it is silent on whether a densely framed record is analytically sound or a diffusely framed record is weak</w:t>
      </w:r>
      <w:r>
        <w:t xml:space="preserve"> </w:t>
      </w:r>
      <w:hyperlink w:anchor="ref-2">
        <w:r>
          <w:rPr>
            <w:rStyle w:val="Hyperlink"/>
          </w:rPr>
          <w:t xml:space="preserve">[2]</w:t>
        </w:r>
      </w:hyperlink>
      <w:r>
        <w:t xml:space="preserve"> </w:t>
      </w:r>
      <w:hyperlink w:anchor="ref-5">
        <w:r>
          <w:rPr>
            <w:rStyle w:val="Hyperlink"/>
          </w:rPr>
          <w:t xml:space="preserve">[5]</w:t>
        </w:r>
      </w:hyperlink>
      <w:r>
        <w:t xml:space="preserve">. A field could be institutionally clustered and still contain its best work in the diffusely framed journal records. The design measures where the vocabulary concentrates, not where the insight concentrates.</w:t>
      </w:r>
    </w:p>
    <w:bookmarkEnd w:id="124"/>
    <w:bookmarkStart w:id="125" w:name="how-a-skeptic-might-overturn-the-finding"/>
    <w:p>
      <w:pPr>
        <w:pStyle w:val="Heading2"/>
        <w:spacing w:line="480" w:lineRule="auto"/>
      </w:pPr>
      <w:r>
        <w:t xml:space="preserve">7.5 How a Skeptic Might Overturn the Finding</w:t>
      </w:r>
    </w:p>
    <w:p>
      <w:pPr>
        <w:pStyle w:val="FirstParagraph"/>
        <w:spacing w:line="480" w:lineRule="auto"/>
      </w:pPr>
      <w:r>
        <w:t xml:space="preserve">Stating how a finding could be overturned is a mark of confidence in it, so it is worth spelling out the paths a skeptic might take. The most direct path attacks the topic-signal score. If a full-text analysis showed that Acta records are as densely written into the security frame as AMOS records, once substantive framing rather than metadata convention is measured, the venue coefficient would lose its substantive interpretation and become an artifact of indexing</w:t>
      </w:r>
      <w:r>
        <w:t xml:space="preserve"> </w:t>
      </w:r>
      <w:hyperlink w:anchor="ref-2">
        <w:r>
          <w:rPr>
            <w:rStyle w:val="Hyperlink"/>
          </w:rPr>
          <w:t xml:space="preserve">[2]</w:t>
        </w:r>
      </w:hyperlink>
      <w:r>
        <w:t xml:space="preserve"> </w:t>
      </w:r>
      <w:hyperlink w:anchor="ref-5">
        <w:r>
          <w:rPr>
            <w:rStyle w:val="Hyperlink"/>
          </w:rPr>
          <w:t xml:space="preserve">[5]</w:t>
        </w:r>
      </w:hyperlink>
      <w:r>
        <w:t xml:space="preserve">. This is the strongest available line of attack, and the dissertation concedes that the present data cannot close it. A full-text test would settle it. A full-text replication is the obvious test.</w:t>
      </w:r>
    </w:p>
    <w:p>
      <w:pPr>
        <w:pStyle w:val="BodyText"/>
        <w:spacing w:line="480" w:lineRule="auto"/>
        <w:ind w:firstLine="720"/>
      </w:pPr>
      <w:r>
        <w:t xml:space="preserve">A second path attacks the citation variable. If a comprehensive index that covers conference proceedings restored the AMOS records’ true citation histories, the attention analysis might reveal an age structure the zero-inflated local index masked</w:t>
      </w:r>
      <w:r>
        <w:t xml:space="preserve"> </w:t>
      </w:r>
      <w:hyperlink w:anchor="ref-11">
        <w:r>
          <w:rPr>
            <w:rStyle w:val="Hyperlink"/>
          </w:rPr>
          <w:t xml:space="preserve">[11]</w:t>
        </w:r>
      </w:hyperlink>
      <w:r>
        <w:t xml:space="preserve"> </w:t>
      </w:r>
      <w:hyperlink w:anchor="ref-14">
        <w:r>
          <w:rPr>
            <w:rStyle w:val="Hyperlink"/>
          </w:rPr>
          <w:t xml:space="preserve">[14]</w:t>
        </w:r>
      </w:hyperlink>
      <w:r>
        <w:t xml:space="preserve">. The flat elasticity would then reflect measurement rather than a genuinely non-cumulative field. The dissertation treats this as an open question rather than a settled one, precisely because the citation variable is the panel’s most degraded measure. A skeptic who supplied better citation data could plausibly overturn the attention null.</w:t>
      </w:r>
    </w:p>
    <w:p>
      <w:pPr>
        <w:pStyle w:val="BodyText"/>
        <w:spacing w:line="480" w:lineRule="auto"/>
        <w:ind w:firstLine="720"/>
      </w:pPr>
      <w:r>
        <w:t xml:space="preserve">A third path attacks corpus composition. If the economy records were removed, or a differently sampled corpus were substituted, the venue gradient might soften and the clustering finding weaken</w:t>
      </w:r>
      <w:r>
        <w:t xml:space="preserve"> </w:t>
      </w:r>
      <w:hyperlink w:anchor="ref-18">
        <w:r>
          <w:rPr>
            <w:rStyle w:val="Hyperlink"/>
          </w:rPr>
          <w:t xml:space="preserve">[18]</w:t>
        </w:r>
      </w:hyperlink>
      <w:r>
        <w:t xml:space="preserve">. The dissertation’s response is that the corpus is the bounded retrieved set for the candidate, and its findings are explicitly scoped to that set rather than to the field</w:t>
      </w:r>
      <w:r>
        <w:t xml:space="preserve"> </w:t>
      </w:r>
      <w:hyperlink w:anchor="ref-3">
        <w:r>
          <w:rPr>
            <w:rStyle w:val="Hyperlink"/>
          </w:rPr>
          <w:t xml:space="preserve">[3]</w:t>
        </w:r>
      </w:hyperlink>
      <w:r>
        <w:t xml:space="preserve">. A skeptic is right that a different corpus could yield a different pattern; the study never claimed otherwise, and Chapter 8 treats corpus expansion as the primary next step. That these overturning paths are nameable, testable, and conceded is what distinguishes a disciplined descriptive finding from an overreaching one</w:t>
      </w:r>
      <w:r>
        <w:t xml:space="preserve"> </w:t>
      </w:r>
      <w:hyperlink w:anchor="ref-9">
        <w:r>
          <w:rPr>
            <w:rStyle w:val="Hyperlink"/>
          </w:rPr>
          <w:t xml:space="preserve">[9]</w:t>
        </w:r>
      </w:hyperlink>
      <w:r>
        <w:t xml:space="preserve">.</w:t>
      </w:r>
    </w:p>
    <w:bookmarkEnd w:id="125"/>
    <w:bookmarkStart w:id="126" w:name="the-two-results-as-mutually-reinforcing"/>
    <w:p>
      <w:pPr>
        <w:pStyle w:val="Heading2"/>
        <w:spacing w:line="480" w:lineRule="auto"/>
      </w:pPr>
      <w:r>
        <w:t xml:space="preserve">7.6 The Two Results as Mutually Reinforcing</w:t>
      </w:r>
    </w:p>
    <w:p>
      <w:pPr>
        <w:pStyle w:val="FirstParagraph"/>
        <w:spacing w:line="480" w:lineRule="auto"/>
      </w:pPr>
      <w:r>
        <w:t xml:space="preserve">The venue finding and the attention null are often best read together, because each makes the other more interpretable. Taken alone, the venue finding could be dismissed as a metadata artifact, and the attention null could be dismissed as a citation-coverage artifact</w:t>
      </w:r>
      <w:r>
        <w:t xml:space="preserve"> </w:t>
      </w:r>
      <w:hyperlink w:anchor="ref-5">
        <w:r>
          <w:rPr>
            <w:rStyle w:val="Hyperlink"/>
          </w:rPr>
          <w:t xml:space="preserve">[5]</w:t>
        </w:r>
      </w:hyperlink>
      <w:r>
        <w:t xml:space="preserve"> </w:t>
      </w:r>
      <w:hyperlink w:anchor="ref-14">
        <w:r>
          <w:rPr>
            <w:rStyle w:val="Hyperlink"/>
          </w:rPr>
          <w:t xml:space="preserve">[14]</w:t>
        </w:r>
      </w:hyperlink>
      <w:r>
        <w:t xml:space="preserve">. Taken together, they describe a coherent condition that no single artifact explains: a discourse thematically dense on the conference side and not cumulative in its attention. Two artifacts would have to conspire, in a mutually consistent way, to fake this exact pattern, which is less plausible than that the pattern reflects a real clustered condition</w:t>
      </w:r>
      <w:r>
        <w:t xml:space="preserve"> </w:t>
      </w:r>
      <w:hyperlink w:anchor="ref-3">
        <w:r>
          <w:rPr>
            <w:rStyle w:val="Hyperlink"/>
          </w:rPr>
          <w:t xml:space="preserve">[3]</w:t>
        </w:r>
      </w:hyperlink>
      <w:r>
        <w:t xml:space="preserve">.</w:t>
      </w:r>
    </w:p>
    <w:p>
      <w:pPr>
        <w:pStyle w:val="BodyText"/>
        <w:spacing w:line="480" w:lineRule="auto"/>
        <w:ind w:firstLine="720"/>
      </w:pPr>
      <w:r>
        <w:t xml:space="preserve">The reinforcement runs deeper than joint plausibility. The two findings describe the same underlying fact from two angles. Thematic density concentrates on the AMOS side, where citation coverage is thinnest; attention concentrates on the Acta side, where thematic density is lowest</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 The venue finding and the attention null are two faces of a single structural inversion: the field’s security frame and the field’s citation attention live in different venue communities. That a thematic-density model and a separate age-based attention model both point to this inversion is stronger evidence than either model alone, because they triangulate the same structure through independent measurements</w:t>
      </w:r>
      <w:r>
        <w:t xml:space="preserve"> </w:t>
      </w:r>
      <w:hyperlink w:anchor="ref-3">
        <w:r>
          <w:rPr>
            <w:rStyle w:val="Hyperlink"/>
          </w:rPr>
          <w:t xml:space="preserve">[3]</w:t>
        </w:r>
      </w:hyperlink>
      <w:r>
        <w:t xml:space="preserve">.</w:t>
      </w:r>
    </w:p>
    <w:p>
      <w:pPr>
        <w:pStyle w:val="BodyText"/>
        <w:spacing w:line="480" w:lineRule="auto"/>
        <w:ind w:firstLine="720"/>
      </w:pPr>
      <w:r>
        <w:t xml:space="preserve">This mutual reinforcement is why the dissertation reports a single verdict rather than two disconnected results. Institutional clustering without cumulative attention is not a pair of findings stapled together. It is one description of the corpus that both papers, reading different properties, independently support</w:t>
      </w:r>
      <w:r>
        <w:t xml:space="preserve"> </w:t>
      </w:r>
      <w:hyperlink w:anchor="ref-4">
        <w:r>
          <w:rPr>
            <w:rStyle w:val="Hyperlink"/>
          </w:rPr>
          <w:t xml:space="preserve">[4]</w:t>
        </w:r>
      </w:hyperlink>
      <w:r>
        <w:t xml:space="preserve">. The reinforcement also bounds the skeptic’s task: overturning the verdict requires undermining both findings in a mutually consistent way, not just poking a hole in one. A skeptic who explains away the venue result must still account for the attention null, and one who explains away the null must still account for the venue gradient</w:t>
      </w:r>
      <w:r>
        <w:t xml:space="preserve"> </w:t>
      </w:r>
      <w:hyperlink w:anchor="ref-5">
        <w:r>
          <w:rPr>
            <w:rStyle w:val="Hyperlink"/>
          </w:rPr>
          <w:t xml:space="preserve">[5]</w:t>
        </w:r>
      </w:hyperlink>
      <w:r>
        <w:t xml:space="preserve">.</w:t>
      </w:r>
    </w:p>
    <w:bookmarkEnd w:id="126"/>
    <w:bookmarkStart w:id="127" w:name="generalizability-reconsidered"/>
    <w:p>
      <w:pPr>
        <w:pStyle w:val="Heading2"/>
        <w:spacing w:line="480" w:lineRule="auto"/>
      </w:pPr>
      <w:r>
        <w:t xml:space="preserve">7.7 Generalizability Reconsidered</w:t>
      </w:r>
    </w:p>
    <w:p>
      <w:pPr>
        <w:pStyle w:val="FirstParagraph"/>
        <w:spacing w:line="480" w:lineRule="auto"/>
      </w:pPr>
      <w:r>
        <w:t xml:space="preserve">The limits on generalizability deserve a fuller reckoning than a single sentence, because they shape how any reader should carry the findings forward. The corpus is a bounded retrieved set for one candidate topic, and its composition, twelve AMOS records, twelve Acta records, six economy records, is a product of the retrieval rather than a designed sample of the field</w:t>
      </w:r>
      <w:r>
        <w:t xml:space="preserve"> </w:t>
      </w:r>
      <w:hyperlink w:anchor="ref-1">
        <w:r>
          <w:rPr>
            <w:rStyle w:val="Hyperlink"/>
          </w:rPr>
          <w:t xml:space="preserve">[1]</w:t>
        </w:r>
      </w:hyperlink>
      <w:r>
        <w:t xml:space="preserve"> </w:t>
      </w:r>
      <w:hyperlink w:anchor="ref-18">
        <w:r>
          <w:rPr>
            <w:rStyle w:val="Hyperlink"/>
          </w:rPr>
          <w:t xml:space="preserve">[18]</w:t>
        </w:r>
      </w:hyperlink>
      <w:r>
        <w:t xml:space="preserve">. Any quantity that depends on this composition, above all the magnitude of the venue coefficient, is corpus-specific and should not be transported to the broader space-security literature as a point estimate</w:t>
      </w:r>
      <w:r>
        <w:t xml:space="preserve"> </w:t>
      </w:r>
      <w:hyperlink w:anchor="ref-5">
        <w:r>
          <w:rPr>
            <w:rStyle w:val="Hyperlink"/>
          </w:rPr>
          <w:t xml:space="preserve">[5]</w:t>
        </w:r>
      </w:hyperlink>
      <w:r>
        <w:t xml:space="preserve">.</w:t>
      </w:r>
    </w:p>
    <w:p>
      <w:pPr>
        <w:pStyle w:val="BodyText"/>
        <w:spacing w:line="480" w:lineRule="auto"/>
        <w:ind w:firstLine="720"/>
      </w:pPr>
      <w:r>
        <w:t xml:space="preserve">Yet not everything is corpus-specific, and distinguishing the transportable from the local claim matters. The qualitative verdict, that this discourse clusters by institution and lacks cumulative attention, is a claim about a real retrieved slice of the field, and it stands as a counterexample to the blanket assertion that space-security scholarship has consolidated</w:t>
      </w:r>
      <w:r>
        <w:t xml:space="preserve"> </w:t>
      </w:r>
      <w:hyperlink w:anchor="ref-9">
        <w:r>
          <w:rPr>
            <w:rStyle w:val="Hyperlink"/>
          </w:rPr>
          <w:t xml:space="preserve">[9]</w:t>
        </w:r>
      </w:hyperlink>
      <w:r>
        <w:t xml:space="preserve">. One well-documented clustered corpus is enough to show that consolidation is not automatic, even if it cannot show how common clustering is across the field. The existence claim generalizes; the prevalence claim does not.</w:t>
      </w:r>
    </w:p>
    <w:p>
      <w:pPr>
        <w:pStyle w:val="BodyText"/>
        <w:spacing w:line="480" w:lineRule="auto"/>
        <w:ind w:firstLine="720"/>
      </w:pPr>
      <w:r>
        <w:t xml:space="preserve">The portable contribution is the procedure rather than the parameter. The two-axis structural test can be run on any retrieved corpus, and its value does not depend on this particular panel’s composition</w:t>
      </w:r>
      <w:r>
        <w:t xml:space="preserve"> </w:t>
      </w:r>
      <w:hyperlink w:anchor="ref-3">
        <w:r>
          <w:rPr>
            <w:rStyle w:val="Hyperlink"/>
          </w:rPr>
          <w:t xml:space="preserve">[3]</w:t>
        </w:r>
      </w:hyperlink>
      <w:r>
        <w:t xml:space="preserve"> </w:t>
      </w:r>
      <w:hyperlink w:anchor="ref-14">
        <w:r>
          <w:rPr>
            <w:rStyle w:val="Hyperlink"/>
          </w:rPr>
          <w:t xml:space="preserve">[14]</w:t>
        </w:r>
      </w:hyperlink>
      <w:r>
        <w:t xml:space="preserve">. A researcher who applied it to a differently sampled space-security corpus, or to an adjacent discourse such as commercial-space sustainability or planetary defense, would get a verdict specific to that corpus using the same transparent instrument</w:t>
      </w:r>
      <w:r>
        <w:t xml:space="preserve"> </w:t>
      </w:r>
      <w:hyperlink w:anchor="ref-18">
        <w:r>
          <w:rPr>
            <w:rStyle w:val="Hyperlink"/>
          </w:rPr>
          <w:t xml:space="preserve">[18]</w:t>
        </w:r>
      </w:hyperlink>
      <w:r>
        <w:t xml:space="preserve"> </w:t>
      </w:r>
      <w:hyperlink w:anchor="ref-19">
        <w:r>
          <w:rPr>
            <w:rStyle w:val="Hyperlink"/>
          </w:rPr>
          <w:t xml:space="preserve">[19]</w:t>
        </w:r>
      </w:hyperlink>
      <w:r>
        <w:t xml:space="preserve">. Generalizability, properly understood, runs through the method, and the method is what Chapter 8 offers to the field as a durable tool.</w:t>
      </w:r>
    </w:p>
    <w:p>
      <w:pPr>
        <w:pStyle w:val="BodyText"/>
        <w:spacing w:line="480" w:lineRule="auto"/>
        <w:ind w:firstLine="720"/>
      </w:pPr>
      <w:r>
        <w:t xml:space="preserve">A last word on validity concerns the relationship between the study’s honesty and its usefulness. It would have been easy to overstate the findings, to read the significant venue coefficient as proof that space-security scholarship has fractured, or to spin the attention null into a bold claim about a non-cumulative field</w:t>
      </w:r>
      <w:r>
        <w:t xml:space="preserve"> </w:t>
      </w:r>
      <w:hyperlink w:anchor="ref-5">
        <w:r>
          <w:rPr>
            <w:rStyle w:val="Hyperlink"/>
          </w:rPr>
          <w:t xml:space="preserve">[5]</w:t>
        </w:r>
      </w:hyperlink>
      <w:r>
        <w:t xml:space="preserve"> </w:t>
      </w:r>
      <w:hyperlink w:anchor="ref-14">
        <w:r>
          <w:rPr>
            <w:rStyle w:val="Hyperlink"/>
          </w:rPr>
          <w:t xml:space="preserve">[14]</w:t>
        </w:r>
      </w:hyperlink>
      <w:r>
        <w:t xml:space="preserve">. The chapter has resisted both temptations, conceding at every turn that the venue result may reflect metadata convention and the attention null may reflect coverage gaps</w:t>
      </w:r>
      <w:r>
        <w:t xml:space="preserve"> </w:t>
      </w:r>
      <w:hyperlink w:anchor="ref-11">
        <w:r>
          <w:rPr>
            <w:rStyle w:val="Hyperlink"/>
          </w:rPr>
          <w:t xml:space="preserve">[11]</w:t>
        </w:r>
      </w:hyperlink>
      <w:r>
        <w:t xml:space="preserve">. That restraint is not weakness. A finding that survives its author’s own strongest objections is more usable to a policymaker than a bolder claim that collapses under the first serious challenge</w:t>
      </w:r>
      <w:r>
        <w:t xml:space="preserve"> </w:t>
      </w:r>
      <w:hyperlink w:anchor="ref-9">
        <w:r>
          <w:rPr>
            <w:rStyle w:val="Hyperlink"/>
          </w:rPr>
          <w:t xml:space="preserve">[9]</w:t>
        </w:r>
      </w:hyperlink>
      <w:r>
        <w:t xml:space="preserve">. The verdict of institutional clustering without cumulative attention is offered as exactly what the evidence supports, no more, and its careful bounding is what makes it trustworthy. With these limits and challenges stated, the concluding chapter turns to what the findings contribute and where the inquiry should go next</w:t>
      </w:r>
      <w:r>
        <w:t xml:space="preserve"> </w:t>
      </w:r>
      <w:hyperlink w:anchor="ref-8">
        <w:r>
          <w:rPr>
            <w:rStyle w:val="Hyperlink"/>
          </w:rPr>
          <w:t xml:space="preserve">[8]</w:t>
        </w:r>
      </w:hyperlink>
      <w:r>
        <w:t xml:space="preserve"> </w:t>
      </w:r>
      <w:hyperlink w:anchor="ref-3">
        <w:r>
          <w:rPr>
            <w:rStyle w:val="Hyperlink"/>
          </w:rPr>
          <w:t xml:space="preserve">[3]</w:t>
        </w:r>
      </w:hyperlink>
      <w:r>
        <w:t xml:space="preserve">.</w:t>
      </w:r>
    </w:p>
    <w:bookmarkEnd w:id="127"/>
    <w:bookmarkEnd w:id="128"/>
    <w:bookmarkStart w:id="169" w:name="chapter-8-conclusions-and-implications"/>
    <w:p>
      <w:pPr>
        <w:pStyle w:val="Heading1"/>
        <w:spacing w:line="480" w:lineRule="auto"/>
      </w:pPr>
      <w:r>
        <w:t xml:space="preserve">Chapter 8: Conclusions and Implications</w:t>
      </w:r>
    </w:p>
    <w:p>
      <w:pPr>
        <w:pStyle w:val="FirstParagraph"/>
        <w:spacing w:line="480" w:lineRule="auto"/>
      </w:pPr>
      <w:r>
        <w:t xml:space="preserve">This dissertation asked whether the retrieved space-security literature is consolidating into a coherent conversation or persisting as a set of adjacent institutional discussions. The answer, delivered by two simple estimators on a fully documented thirty-record panel, is specific: the discourse is thematically dense and institutionally clustered, but its citation attention has not organized into a cumulative age-based structure</w:t>
      </w:r>
      <w:r>
        <w:t xml:space="preserve"> </w:t>
      </w:r>
      <w:hyperlink w:anchor="ref-3">
        <w:r>
          <w:rPr>
            <w:rStyle w:val="Hyperlink"/>
          </w:rPr>
          <w:t xml:space="preserve">[3]</w:t>
        </w:r>
      </w:hyperlink>
      <w:r>
        <w:t xml:space="preserve"> </w:t>
      </w:r>
      <w:hyperlink w:anchor="ref-11">
        <w:r>
          <w:rPr>
            <w:rStyle w:val="Hyperlink"/>
          </w:rPr>
          <w:t xml:space="preserve">[11]</w:t>
        </w:r>
      </w:hyperlink>
      <w:r>
        <w:t xml:space="preserve">. This closing chapter states the contribution, connects it to governance and program relevance, and sets an agenda for the work that a larger corpus would make possible.</w:t>
      </w:r>
    </w:p>
    <w:bookmarkStart w:id="129" w:name="the-contribution"/>
    <w:p>
      <w:pPr>
        <w:pStyle w:val="Heading2"/>
        <w:spacing w:line="480" w:lineRule="auto"/>
      </w:pPr>
      <w:r>
        <w:t xml:space="preserve">8.1 The Contribution</w:t>
      </w:r>
    </w:p>
    <w:p>
      <w:pPr>
        <w:pStyle w:val="FirstParagraph"/>
        <w:spacing w:line="480" w:lineRule="auto"/>
      </w:pPr>
      <w:r>
        <w:t xml:space="preserve">The single falsifiable contribution was narrow by design. If the security literature is consolidating, the retrieved corpus should show patterned thematic density and an interpretable attention structure; if it is not, the discourse remains active but heterogeneous. The corpus returned a split verdict. On thematic density, it rejected the null and displayed sharp structure, with the venue-family coefficient of -2.1716 significant at p equal to 0.0001, though the structure proved institutional rather than temporal</w:t>
      </w:r>
      <w:r>
        <w:t xml:space="preserve"> </w:t>
      </w:r>
      <w:hyperlink w:anchor="ref-1">
        <w:r>
          <w:rPr>
            <w:rStyle w:val="Hyperlink"/>
          </w:rPr>
          <w:t xml:space="preserve">[1]</w:t>
        </w:r>
      </w:hyperlink>
      <w:r>
        <w:t xml:space="preserve"> </w:t>
      </w:r>
      <w:hyperlink w:anchor="ref-5">
        <w:r>
          <w:rPr>
            <w:rStyle w:val="Hyperlink"/>
          </w:rPr>
          <w:t xml:space="preserve">[5]</w:t>
        </w:r>
      </w:hyperlink>
      <w:r>
        <w:t xml:space="preserve">. On citation attention, it failed to reject the null, with an age elasticity of -0.1556 at p equal to 0.6189 and an R-squared of 0.0055</w:t>
      </w:r>
      <w:r>
        <w:t xml:space="preserve"> </w:t>
      </w:r>
      <w:hyperlink w:anchor="ref-14">
        <w:r>
          <w:rPr>
            <w:rStyle w:val="Hyperlink"/>
          </w:rPr>
          <w:t xml:space="preserve">[14]</w:t>
        </w:r>
      </w:hyperlink>
      <w:r>
        <w:t xml:space="preserve">.</w:t>
      </w:r>
    </w:p>
    <w:p>
      <w:pPr>
        <w:pStyle w:val="BodyText"/>
        <w:spacing w:line="480" w:lineRule="auto"/>
        <w:ind w:firstLine="720"/>
      </w:pPr>
      <w:r>
        <w:t xml:space="preserve">The value of the contribution lies in its method as much as its finding. The study replaced an assertion about consolidation with a measurement, and it let deterministic variables and transparent estimators, rather than the analyst’s integrative reading, decide the outcome</w:t>
      </w:r>
      <w:r>
        <w:t xml:space="preserve"> </w:t>
      </w:r>
      <w:hyperlink w:anchor="ref-2">
        <w:r>
          <w:rPr>
            <w:rStyle w:val="Hyperlink"/>
          </w:rPr>
          <w:t xml:space="preserve">[2]</w:t>
        </w:r>
      </w:hyperlink>
      <w:r>
        <w:t xml:space="preserve">. That discipline matters in a field prone to declaring itself mature. A reviewer reading across the strands can always find consolidation; a corpus asked directly about its own structure can decline to show it. Here the corpus declined on the attention axis and delivered institutional clustering on the thematic axis, and both answers are more informative than the flattering synthesis they replace.</w:t>
      </w:r>
    </w:p>
    <w:p>
      <w:pPr>
        <w:pStyle w:val="BodyText"/>
        <w:spacing w:line="480" w:lineRule="auto"/>
        <w:ind w:firstLine="720"/>
      </w:pPr>
      <w:r>
        <w:t xml:space="preserve">The finding itself refines how the space-security field should describe its own state. The discourse is not scattered and unframed, because thematic signal is real and structured</w:t>
      </w:r>
      <w:r>
        <w:t xml:space="preserve"> </w:t>
      </w:r>
      <w:hyperlink w:anchor="ref-4">
        <w:r>
          <w:rPr>
            <w:rStyle w:val="Hyperlink"/>
          </w:rPr>
          <w:t xml:space="preserve">[4]</w:t>
        </w:r>
      </w:hyperlink>
      <w:r>
        <w:t xml:space="preserve">. It is also not the cumulative, cross-venue field its participants sometimes claim, because attention does not accumulate with age and thematic density concentrates in a single conference community</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 The accurate description is intermediate: a clustered, actively framed discourse that has not yet become cumulative. That is a defensible, evidence-backed characterization, and it is the dissertation’s central claim.</w:t>
      </w:r>
    </w:p>
    <w:bookmarkEnd w:id="129"/>
    <w:bookmarkStart w:id="130" w:name="a-restating-the-verdict-precisely"/>
    <w:p>
      <w:pPr>
        <w:pStyle w:val="Heading2"/>
        <w:spacing w:line="480" w:lineRule="auto"/>
      </w:pPr>
      <w:r>
        <w:t xml:space="preserve">8.1a Restating the Verdict Precisely</w:t>
      </w:r>
    </w:p>
    <w:p>
      <w:pPr>
        <w:pStyle w:val="FirstParagraph"/>
        <w:spacing w:line="480" w:lineRule="auto"/>
      </w:pPr>
      <w:r>
        <w:t xml:space="preserve">Before drawing implications, it is worth restating the verdict in exact terms, because the precision is the point. The consolidation question admitted three pre-specified answers: strong consolidation, institutional clustering, or heterogeneity. The corpus returned institutional clustering. Thematic density is organized by venue, with the venue-family coefficient at -2.1716 and a p-value of 0.0001, and the joint model rejecting the no-structure null at p equal to 0.0036</w:t>
      </w:r>
      <w:r>
        <w:t xml:space="preserve"> </w:t>
      </w:r>
      <w:hyperlink w:anchor="ref-1">
        <w:r>
          <w:rPr>
            <w:rStyle w:val="Hyperlink"/>
          </w:rPr>
          <w:t xml:space="preserve">[1]</w:t>
        </w:r>
      </w:hyperlink>
      <w:r>
        <w:t xml:space="preserve"> </w:t>
      </w:r>
      <w:hyperlink w:anchor="ref-5">
        <w:r>
          <w:rPr>
            <w:rStyle w:val="Hyperlink"/>
          </w:rPr>
          <w:t xml:space="preserve">[5]</w:t>
        </w:r>
      </w:hyperlink>
      <w:r>
        <w:t xml:space="preserve">. Citation attention is not organized by age, with an elasticity of -0.1556, a p-value of 0.6189, and an R-squared of 0.0055</w:t>
      </w:r>
      <w:r>
        <w:t xml:space="preserve"> </w:t>
      </w:r>
      <w:hyperlink w:anchor="ref-14">
        <w:r>
          <w:rPr>
            <w:rStyle w:val="Hyperlink"/>
          </w:rPr>
          <w:t xml:space="preserve">[14]</w:t>
        </w:r>
      </w:hyperlink>
      <w:r>
        <w:t xml:space="preserve">. The recency coefficient of 0.1172, positive but insignificant at p equal to 0.2078, leaves a modest consolidation reading alive at the margin without supporting it decisively</w:t>
      </w:r>
      <w:r>
        <w:t xml:space="preserve"> </w:t>
      </w:r>
      <w:hyperlink w:anchor="ref-11">
        <w:r>
          <w:rPr>
            <w:rStyle w:val="Hyperlink"/>
          </w:rPr>
          <w:t xml:space="preserve">[11]</w:t>
        </w:r>
      </w:hyperlink>
      <w:r>
        <w:t xml:space="preserve">.</w:t>
      </w:r>
    </w:p>
    <w:p>
      <w:pPr>
        <w:pStyle w:val="BodyText"/>
        <w:spacing w:line="480" w:lineRule="auto"/>
        <w:ind w:firstLine="720"/>
      </w:pPr>
      <w:r>
        <w:t xml:space="preserve">That precise verdict is more useful than a vague one. A vague finding, that the field is</w:t>
      </w:r>
      <w:r>
        <w:t xml:space="preserve"> </w:t>
      </w:r>
      <w:r>
        <w:t xml:space="preserve">“somewhat consolidated”</w:t>
      </w:r>
      <w:r>
        <w:t xml:space="preserve"> </w:t>
      </w:r>
      <w:r>
        <w:t xml:space="preserve">or</w:t>
      </w:r>
      <w:r>
        <w:t xml:space="preserve"> </w:t>
      </w:r>
      <w:r>
        <w:t xml:space="preserve">“still emerging,”</w:t>
      </w:r>
      <w:r>
        <w:t xml:space="preserve"> </w:t>
      </w:r>
      <w:r>
        <w:t xml:space="preserve">could be asserted without any test and would guide no decision. The precise finding, institutional clustering without cumulative attention, tells a reader exactly what is and is not true of the discourse’s structure: that a shared frame exists but is venue-anchored, and that attention has not organized into the cumulative accumulation of a mature field</w:t>
      </w:r>
      <w:r>
        <w:t xml:space="preserve"> </w:t>
      </w:r>
      <w:hyperlink w:anchor="ref-4">
        <w:r>
          <w:rPr>
            <w:rStyle w:val="Hyperlink"/>
          </w:rPr>
          <w:t xml:space="preserve">[4]</w:t>
        </w:r>
      </w:hyperlink>
      <w:r>
        <w:t xml:space="preserve">. Each downstream implication traces to one of these specific structural facts rather than to a general impression.</w:t>
      </w:r>
    </w:p>
    <w:p>
      <w:pPr>
        <w:pStyle w:val="BodyText"/>
        <w:spacing w:line="480" w:lineRule="auto"/>
        <w:ind w:firstLine="720"/>
      </w:pPr>
      <w:r>
        <w:t xml:space="preserve">The verdict also carries an honest boundary. It describes the retrieved corpus, not the field, and it rests on cleaner measurement for the venue axis than for the attention axis</w:t>
      </w:r>
      <w:r>
        <w:t xml:space="preserve"> </w:t>
      </w:r>
      <w:hyperlink w:anchor="ref-3">
        <w:r>
          <w:rPr>
            <w:rStyle w:val="Hyperlink"/>
          </w:rPr>
          <w:t xml:space="preserve">[3]</w:t>
        </w:r>
      </w:hyperlink>
      <w:r>
        <w:t xml:space="preserve"> </w:t>
      </w:r>
      <w:hyperlink w:anchor="ref-14">
        <w:r>
          <w:rPr>
            <w:rStyle w:val="Hyperlink"/>
          </w:rPr>
          <w:t xml:space="preserve">[14]</w:t>
        </w:r>
      </w:hyperlink>
      <w:r>
        <w:t xml:space="preserve">. Restating the verdict with its coefficients and its boundary in the same breath is what keeps the implications that follow proportionate to the evidence that supports them.</w:t>
      </w:r>
    </w:p>
    <w:bookmarkEnd w:id="130"/>
    <w:bookmarkStart w:id="131" w:name="governance-and-program-relevance"/>
    <w:p>
      <w:pPr>
        <w:pStyle w:val="Heading2"/>
        <w:spacing w:line="480" w:lineRule="auto"/>
      </w:pPr>
      <w:r>
        <w:t xml:space="preserve">8.2 Governance and Program Relevance</w:t>
      </w:r>
    </w:p>
    <w:p>
      <w:pPr>
        <w:pStyle w:val="FirstParagraph"/>
        <w:spacing w:line="480" w:lineRule="auto"/>
      </w:pPr>
      <w:r>
        <w:t xml:space="preserve">The findings carry practical weight for how defense and civil-space organizations consume space-security scholarship. A policymaker weighing an acquisition decision on space domain awareness draws implicitly on the field’s collective judgment</w:t>
      </w:r>
      <w:r>
        <w:t xml:space="preserve"> </w:t>
      </w:r>
      <w:hyperlink w:anchor="ref-11">
        <w:r>
          <w:rPr>
            <w:rStyle w:val="Hyperlink"/>
          </w:rPr>
          <w:t xml:space="preserve">[11]</w:t>
        </w:r>
      </w:hyperlink>
      <w:r>
        <w:t xml:space="preserve">. If that judgment rested on a cumulative, cross-venue literature, convergent findings could be treated as robust. The evidence here counsels more caution: the security frame concentrates in the AMOS operational community, so apparent consensus may partly reflect where the conversation happens rather than validated cross-community knowledge</w:t>
      </w:r>
      <w:r>
        <w:t xml:space="preserve"> </w:t>
      </w:r>
      <w:hyperlink w:anchor="ref-1">
        <w:r>
          <w:rPr>
            <w:rStyle w:val="Hyperlink"/>
          </w:rPr>
          <w:t xml:space="preserve">[1]</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For alliance managers working on burden sharing, the venue concentration has a specific implication. The burden-sharing and allied-SSA arguments live substantially in the conference and case-study literature, and they are not yet knit into a cumulative field-wide attention structure</w:t>
      </w:r>
      <w:r>
        <w:t xml:space="preserve"> </w:t>
      </w:r>
      <w:hyperlink w:anchor="ref-2">
        <w:r>
          <w:rPr>
            <w:rStyle w:val="Hyperlink"/>
          </w:rPr>
          <w:t xml:space="preserve">[2]</w:t>
        </w:r>
      </w:hyperlink>
      <w:r>
        <w:t xml:space="preserve"> </w:t>
      </w:r>
      <w:hyperlink w:anchor="ref-7">
        <w:r>
          <w:rPr>
            <w:rStyle w:val="Hyperlink"/>
          </w:rPr>
          <w:t xml:space="preserve">[7]</w:t>
        </w:r>
      </w:hyperlink>
      <w:r>
        <w:t xml:space="preserve">. That does not make the arguments wrong. It means a coalition planner should treat them as an active institutional conversation still in formation rather than as settled doctrine, and should weight primary technical assessment accordingly.</w:t>
      </w:r>
    </w:p>
    <w:p>
      <w:pPr>
        <w:pStyle w:val="BodyText"/>
        <w:spacing w:line="480" w:lineRule="auto"/>
        <w:ind w:firstLine="720"/>
      </w:pPr>
      <w:r>
        <w:t xml:space="preserve">The norms and governance strand offers the clearest opportunity. Work arguing that space traffic management norms can strengthen security sits partly outside the densest security cluster, in the journal literature where thematic signal is more diffuse</w:t>
      </w:r>
      <w:r>
        <w:t xml:space="preserve"> </w:t>
      </w:r>
      <w:hyperlink w:anchor="ref-4">
        <w:r>
          <w:rPr>
            <w:rStyle w:val="Hyperlink"/>
          </w:rPr>
          <w:t xml:space="preserve">[4]</w:t>
        </w:r>
      </w:hyperlink>
      <w:r>
        <w:t xml:space="preserve"> </w:t>
      </w:r>
      <w:hyperlink w:anchor="ref-10">
        <w:r>
          <w:rPr>
            <w:rStyle w:val="Hyperlink"/>
          </w:rPr>
          <w:t xml:space="preserve">[10]</w:t>
        </w:r>
      </w:hyperlink>
      <w:r>
        <w:t xml:space="preserve">. If the field wants a genuinely consolidated security discourse, integrating the norms and governance conversation with the operational conference conversation is where the integration would have to happen. The hybrid-threat and cyber-governance frontier, where attribution ambiguity is rising, is the natural site for that integration</w:t>
      </w:r>
      <w:r>
        <w:t xml:space="preserve"> </w:t>
      </w:r>
      <w:hyperlink w:anchor="ref-16">
        <w:r>
          <w:rPr>
            <w:rStyle w:val="Hyperlink"/>
          </w:rPr>
          <w:t xml:space="preserve">[16]</w:t>
        </w:r>
      </w:hyperlink>
      <w:r>
        <w:t xml:space="preserve"> </w:t>
      </w:r>
      <w:hyperlink w:anchor="ref-17">
        <w:r>
          <w:rPr>
            <w:rStyle w:val="Hyperlink"/>
          </w:rPr>
          <w:t xml:space="preserve">[17]</w:t>
        </w:r>
      </w:hyperlink>
      <w:r>
        <w:t xml:space="preserve">.</w:t>
      </w:r>
    </w:p>
    <w:p>
      <w:pPr>
        <w:pStyle w:val="BodyText"/>
        <w:spacing w:line="480" w:lineRule="auto"/>
        <w:ind w:firstLine="720"/>
      </w:pPr>
      <w:r>
        <w:t xml:space="preserve">There is a governance lesson for evidence consumers generally. The habit of treating a literature as consolidated before testing its structure produces overconfident evidence summaries</w:t>
      </w:r>
      <w:r>
        <w:t xml:space="preserve"> </w:t>
      </w:r>
      <w:hyperlink w:anchor="ref-9">
        <w:r>
          <w:rPr>
            <w:rStyle w:val="Hyperlink"/>
          </w:rPr>
          <w:t xml:space="preserve">[9]</w:t>
        </w:r>
      </w:hyperlink>
      <w:r>
        <w:t xml:space="preserve">. A cheap, transparent structural test, of the kind this dissertation runs, is a reasonable due-diligence step before a large program leans on a body of scholarship. The test does not replace expert reading; it disciplines the claim that the reading rests on a mature and cumulative base.</w:t>
      </w:r>
    </w:p>
    <w:bookmarkEnd w:id="131"/>
    <w:bookmarkStart w:id="132" w:name="Xe68e31c01eda68dab7382ba662c1afdaf09415e"/>
    <w:p>
      <w:pPr>
        <w:pStyle w:val="Heading2"/>
        <w:spacing w:line="480" w:lineRule="auto"/>
      </w:pPr>
      <w:r>
        <w:t xml:space="preserve">8.2a Implications for How the Field Reviews Itself</w:t>
      </w:r>
    </w:p>
    <w:p>
      <w:pPr>
        <w:pStyle w:val="FirstParagraph"/>
        <w:spacing w:line="480" w:lineRule="auto"/>
      </w:pPr>
      <w:r>
        <w:t xml:space="preserve">Beyond specific programs, the finding carries a methodological implication for how the space-security field conducts its own literature reviews. The prevailing practice asserts consolidation through integrative reading: a reviewer surveys the strands, notices shared concerns, and declares a field</w:t>
      </w:r>
      <w:r>
        <w:t xml:space="preserve"> </w:t>
      </w:r>
      <w:hyperlink w:anchor="ref-2">
        <w:r>
          <w:rPr>
            <w:rStyle w:val="Hyperlink"/>
          </w:rPr>
          <w:t xml:space="preserve">[2]</w:t>
        </w:r>
      </w:hyperlink>
      <w:r>
        <w:t xml:space="preserve"> </w:t>
      </w:r>
      <w:hyperlink w:anchor="ref-9">
        <w:r>
          <w:rPr>
            <w:rStyle w:val="Hyperlink"/>
          </w:rPr>
          <w:t xml:space="preserve">[9]</w:t>
        </w:r>
      </w:hyperlink>
      <w:r>
        <w:t xml:space="preserve">. This dissertation shows that such assertions can outrun the corpus’s measurable structure, because a field can feel consolidated from within a venue community while remaining clustered across the field</w:t>
      </w:r>
      <w:r>
        <w:t xml:space="preserve"> </w:t>
      </w:r>
      <w:hyperlink w:anchor="ref-1">
        <w:r>
          <w:rPr>
            <w:rStyle w:val="Hyperlink"/>
          </w:rPr>
          <w:t xml:space="preserve">[1]</w:t>
        </w:r>
      </w:hyperlink>
      <w:r>
        <w:t xml:space="preserve">. A review that tested structure before asserting consolidation would be more honest and more useful.</w:t>
      </w:r>
    </w:p>
    <w:p>
      <w:pPr>
        <w:pStyle w:val="BodyText"/>
        <w:spacing w:line="480" w:lineRule="auto"/>
        <w:ind w:firstLine="720"/>
      </w:pPr>
      <w:r>
        <w:t xml:space="preserve">The remedy is not to abandon integrative reading, which remains indispensable for grasping substance, but to pair it with a cheap structural check. The two-axis test run here, thematic density and attention accumulation, is inexpensive to compute on any retrieved corpus and returns a verdict the reviewer’s convictions cannot manufacture</w:t>
      </w:r>
      <w:r>
        <w:t xml:space="preserve"> </w:t>
      </w:r>
      <w:hyperlink w:anchor="ref-5">
        <w:r>
          <w:rPr>
            <w:rStyle w:val="Hyperlink"/>
          </w:rPr>
          <w:t xml:space="preserve">[5]</w:t>
        </w:r>
      </w:hyperlink>
      <w:r>
        <w:t xml:space="preserve"> </w:t>
      </w:r>
      <w:hyperlink w:anchor="ref-14">
        <w:r>
          <w:rPr>
            <w:rStyle w:val="Hyperlink"/>
          </w:rPr>
          <w:t xml:space="preserve">[14]</w:t>
        </w:r>
      </w:hyperlink>
      <w:r>
        <w:t xml:space="preserve">. A field that adopted this check as a routine step would catch the gap between its self-image and its structure before that gap misled a downstream consumer of the evidence. The contribution here is partly a demonstration that the check is feasible and informative on real space-security records.</w:t>
      </w:r>
    </w:p>
    <w:p>
      <w:pPr>
        <w:pStyle w:val="BodyText"/>
        <w:spacing w:line="480" w:lineRule="auto"/>
        <w:ind w:firstLine="720"/>
      </w:pPr>
      <w:r>
        <w:t xml:space="preserve">There is a broader scholarly payoff. Fields that measure their own structure can track their development over time, watching whether a clustered discourse begins to distribute thematic signal across venues or to accumulate cumulative attention</w:t>
      </w:r>
      <w:r>
        <w:t xml:space="preserve"> </w:t>
      </w:r>
      <w:hyperlink w:anchor="ref-11">
        <w:r>
          <w:rPr>
            <w:rStyle w:val="Hyperlink"/>
          </w:rPr>
          <w:t xml:space="preserve">[11]</w:t>
        </w:r>
      </w:hyperlink>
      <w:r>
        <w:t xml:space="preserve">. Repeated application of the two-axis test to successive retrievals would turn a one-time snapshot into a trajectory, letting the field see its own maturation, or its persistent clustering, as an empirical fact rather than a rhetorical claim</w:t>
      </w:r>
      <w:r>
        <w:t xml:space="preserve"> </w:t>
      </w:r>
      <w:hyperlink w:anchor="ref-4">
        <w:r>
          <w:rPr>
            <w:rStyle w:val="Hyperlink"/>
          </w:rPr>
          <w:t xml:space="preserve">[4]</w:t>
        </w:r>
      </w:hyperlink>
      <w:r>
        <w:t xml:space="preserve">. That capacity to watch a discourse consolidate, or fail to, is a durable contribution independent of the present corpus’s particular verdict.</w:t>
      </w:r>
    </w:p>
    <w:bookmarkEnd w:id="132"/>
    <w:bookmarkStart w:id="133" w:name="future-work"/>
    <w:p>
      <w:pPr>
        <w:pStyle w:val="Heading2"/>
        <w:spacing w:line="480" w:lineRule="auto"/>
      </w:pPr>
      <w:r>
        <w:t xml:space="preserve">8.3 Future Work</w:t>
      </w:r>
    </w:p>
    <w:p>
      <w:pPr>
        <w:pStyle w:val="FirstParagraph"/>
        <w:spacing w:line="480" w:lineRule="auto"/>
      </w:pPr>
      <w:r>
        <w:t xml:space="preserve">The most important next step is to break the measurement ambiguity in the attention null. The flat age elasticity is consistent with a genuinely non-cumulative field and equally consistent with a citation variable degraded by indexing gaps</w:t>
      </w:r>
      <w:r>
        <w:t xml:space="preserve"> </w:t>
      </w:r>
      <w:hyperlink w:anchor="ref-11">
        <w:r>
          <w:rPr>
            <w:rStyle w:val="Hyperlink"/>
          </w:rPr>
          <w:t xml:space="preserve">[11]</w:t>
        </w:r>
      </w:hyperlink>
      <w:r>
        <w:t xml:space="preserve"> </w:t>
      </w:r>
      <w:hyperlink w:anchor="ref-14">
        <w:r>
          <w:rPr>
            <w:rStyle w:val="Hyperlink"/>
          </w:rPr>
          <w:t xml:space="preserve">[14]</w:t>
        </w:r>
      </w:hyperlink>
      <w:r>
        <w:t xml:space="preserve">. Resolving this requires citation data drawn from a comprehensive index that covers conference proceedings as thoroughly as journal articles, so that the AMOS records carry their true citation histories rather than a zero floor imposed by coverage. With better citation measurement, the age-based test could distinguish a truly flat attention structure from an artifact of the local index.</w:t>
      </w:r>
    </w:p>
    <w:p>
      <w:pPr>
        <w:pStyle w:val="BodyText"/>
        <w:spacing w:line="480" w:lineRule="auto"/>
        <w:ind w:firstLine="720"/>
      </w:pPr>
      <w:r>
        <w:t xml:space="preserve">A second line of work would move from metadata signal to full-text framing. The topic-signal score measures vocabulary density in retrieved metadata, and the venue result may partly reflect metadata conventions rather than substantive thematic density</w:t>
      </w:r>
      <w:r>
        <w:t xml:space="preserve"> </w:t>
      </w:r>
      <w:hyperlink w:anchor="ref-2">
        <w:r>
          <w:rPr>
            <w:rStyle w:val="Hyperlink"/>
          </w:rPr>
          <w:t xml:space="preserve">[2]</w:t>
        </w:r>
      </w:hyperlink>
      <w:r>
        <w:t xml:space="preserve"> </w:t>
      </w:r>
      <w:hyperlink w:anchor="ref-5">
        <w:r>
          <w:rPr>
            <w:rStyle w:val="Hyperlink"/>
          </w:rPr>
          <w:t xml:space="preserve">[5]</w:t>
        </w:r>
      </w:hyperlink>
      <w:r>
        <w:t xml:space="preserve">. A full-text analysis, coding how densely each record is written into the shared security frame, would separate framing density from indexing convention and test whether the venue concentration survives that separation. If it does, the institutional-clustering finding would rest on far firmer ground.</w:t>
      </w:r>
    </w:p>
    <w:p>
      <w:pPr>
        <w:pStyle w:val="BodyText"/>
        <w:spacing w:line="480" w:lineRule="auto"/>
        <w:ind w:firstLine="720"/>
      </w:pPr>
      <w:r>
        <w:t xml:space="preserve">A third line would expand and diversify the corpus. Thirty records for one candidate topic characterize a bounded discourse, not the field</w:t>
      </w:r>
      <w:r>
        <w:t xml:space="preserve"> </w:t>
      </w:r>
      <w:hyperlink w:anchor="ref-1">
        <w:r>
          <w:rPr>
            <w:rStyle w:val="Hyperlink"/>
          </w:rPr>
          <w:t xml:space="preserve">[1]</w:t>
        </w:r>
      </w:hyperlink>
      <w:r>
        <w:t xml:space="preserve"> </w:t>
      </w:r>
      <w:hyperlink w:anchor="ref-9">
        <w:r>
          <w:rPr>
            <w:rStyle w:val="Hyperlink"/>
          </w:rPr>
          <w:t xml:space="preserve">[9]</w:t>
        </w:r>
      </w:hyperlink>
      <w:r>
        <w:t xml:space="preserve">. A larger corpus, sampled across additional venues and spanning the burden-sharing, stability, and norms strands more evenly, would let the consolidation test scale from a single retrieved set to a representative slice of the space-security literature. Comparative tests across subfields, for instance contrasting the debris-attribution conversation with the cyber-governance conversation, could show whether some strands have consolidated while others remain clustered</w:t>
      </w:r>
      <w:r>
        <w:t xml:space="preserve"> </w:t>
      </w:r>
      <w:hyperlink w:anchor="ref-3">
        <w:r>
          <w:rPr>
            <w:rStyle w:val="Hyperlink"/>
          </w:rPr>
          <w:t xml:space="preserve">[3]</w:t>
        </w:r>
      </w:hyperlink>
      <w:r>
        <w:t xml:space="preserve"> </w:t>
      </w:r>
      <w:hyperlink w:anchor="ref-17">
        <w:r>
          <w:rPr>
            <w:rStyle w:val="Hyperlink"/>
          </w:rPr>
          <w:t xml:space="preserve">[17]</w:t>
        </w:r>
      </w:hyperlink>
      <w:r>
        <w:t xml:space="preserve">.</w:t>
      </w:r>
    </w:p>
    <w:p>
      <w:pPr>
        <w:pStyle w:val="BodyText"/>
        <w:spacing w:line="480" w:lineRule="auto"/>
        <w:ind w:firstLine="720"/>
      </w:pPr>
      <w:r>
        <w:t xml:space="preserve">A final line concerns method transfer. The two-axis structural test, thematic density on one axis and attention accumulation on the other, is not specific to space security. It could be applied to any emerging security or technology discourse that claims to be consolidating, from planetary defense to commercial-space sustainability</w:t>
      </w:r>
      <w:r>
        <w:t xml:space="preserve"> </w:t>
      </w:r>
      <w:hyperlink w:anchor="ref-18">
        <w:r>
          <w:rPr>
            <w:rStyle w:val="Hyperlink"/>
          </w:rPr>
          <w:t xml:space="preserve">[18]</w:t>
        </w:r>
      </w:hyperlink>
      <w:r>
        <w:t xml:space="preserve"> </w:t>
      </w:r>
      <w:hyperlink w:anchor="ref-19">
        <w:r>
          <w:rPr>
            <w:rStyle w:val="Hyperlink"/>
          </w:rPr>
          <w:t xml:space="preserve">[19]</w:t>
        </w:r>
      </w:hyperlink>
      <w:r>
        <w:t xml:space="preserve">. The contribution of this dissertation is partly a finding about one corpus and partly a portable, transparent procedure for asking any self-consciously emerging field whether its consolidation claim survives contact with its own measurable structure. The space-security field talks about itself as if it were already whole; this study offers both an answer for one corpus and a way to keep asking</w:t>
      </w:r>
      <w:r>
        <w:t xml:space="preserve"> </w:t>
      </w:r>
      <w:hyperlink w:anchor="ref-4">
        <w:r>
          <w:rPr>
            <w:rStyle w:val="Hyperlink"/>
          </w:rPr>
          <w:t xml:space="preserve">[4]</w:t>
        </w:r>
      </w:hyperlink>
      <w:r>
        <w:t xml:space="preserve"> </w:t>
      </w:r>
      <w:hyperlink w:anchor="ref-21">
        <w:r>
          <w:rPr>
            <w:rStyle w:val="Hyperlink"/>
          </w:rPr>
          <w:t xml:space="preserve">[21]</w:t>
        </w:r>
      </w:hyperlink>
      <w:r>
        <w:t xml:space="preserve">.</w:t>
      </w:r>
    </w:p>
    <w:bookmarkEnd w:id="133"/>
    <w:bookmarkStart w:id="134" w:name="a-sequenced-research-agenda"/>
    <w:p>
      <w:pPr>
        <w:pStyle w:val="Heading2"/>
        <w:spacing w:line="480" w:lineRule="auto"/>
      </w:pPr>
      <w:r>
        <w:t xml:space="preserve">8.4 A Sequenced Research Agenda</w:t>
      </w:r>
    </w:p>
    <w:p>
      <w:pPr>
        <w:pStyle w:val="FirstParagraph"/>
        <w:spacing w:line="480" w:lineRule="auto"/>
      </w:pPr>
      <w:r>
        <w:t xml:space="preserve">The future work sketched above becomes more useful when sequenced, because the four lines are not equally urgent and they depend on one another. The first priority is better citation measurement, because the attention null is the more fragile of the two findings and its interpretation hinges entirely on the citation variable’s quality</w:t>
      </w:r>
      <w:r>
        <w:t xml:space="preserve"> </w:t>
      </w:r>
      <w:hyperlink w:anchor="ref-11">
        <w:r>
          <w:rPr>
            <w:rStyle w:val="Hyperlink"/>
          </w:rPr>
          <w:t xml:space="preserve">[11]</w:t>
        </w:r>
      </w:hyperlink>
      <w:r>
        <w:t xml:space="preserve"> </w:t>
      </w:r>
      <w:hyperlink w:anchor="ref-14">
        <w:r>
          <w:rPr>
            <w:rStyle w:val="Hyperlink"/>
          </w:rPr>
          <w:t xml:space="preserve">[14]</w:t>
        </w:r>
      </w:hyperlink>
      <w:r>
        <w:t xml:space="preserve">. Until conference proceedings are indexed as thoroughly as journal articles, the flat elasticity cannot be cleanly read as non-cumulativeness rather than coverage artifact. Resolving this is the precondition for trusting the attention half of the verdict, so it comes first.</w:t>
      </w:r>
    </w:p>
    <w:p>
      <w:pPr>
        <w:pStyle w:val="BodyText"/>
        <w:spacing w:line="480" w:lineRule="auto"/>
        <w:ind w:firstLine="720"/>
      </w:pPr>
      <w:r>
        <w:t xml:space="preserve">The second priority is full-text framing analysis, which addresses the venue finding’s leading vulnerability</w:t>
      </w:r>
      <w:r>
        <w:t xml:space="preserve"> </w:t>
      </w:r>
      <w:hyperlink w:anchor="ref-2">
        <w:r>
          <w:rPr>
            <w:rStyle w:val="Hyperlink"/>
          </w:rPr>
          <w:t xml:space="preserve">[2]</w:t>
        </w:r>
      </w:hyperlink>
      <w:r>
        <w:t xml:space="preserve"> </w:t>
      </w:r>
      <w:hyperlink w:anchor="ref-5">
        <w:r>
          <w:rPr>
            <w:rStyle w:val="Hyperlink"/>
          </w:rPr>
          <w:t xml:space="preserve">[5]</w:t>
        </w:r>
      </w:hyperlink>
      <w:r>
        <w:t xml:space="preserve">. Coding how densely each record is written into the security frame from its full text, rather than its metadata, would separate genuine idiom division from indexing convention. If the venue gradient survives full-text measurement, the clustering verdict rests on far firmer ground; if it does not, the finding narrows to a claim about metadata rather than substance. This line depends on nothing but effort and access, and it can proceed in parallel with the citation work.</w:t>
      </w:r>
    </w:p>
    <w:p>
      <w:pPr>
        <w:pStyle w:val="BodyText"/>
        <w:spacing w:line="480" w:lineRule="auto"/>
        <w:ind w:firstLine="720"/>
      </w:pPr>
      <w:r>
        <w:t xml:space="preserve">The third and fourth priorities, corpus expansion and method transfer, build on the first two. Expanding the corpus is worth doing only once the measurement is trustworthy, because a larger corpus measured with the same degraded citation variable would multiply the fragile finding rather than strengthen it</w:t>
      </w:r>
      <w:r>
        <w:t xml:space="preserve"> </w:t>
      </w:r>
      <w:hyperlink w:anchor="ref-1">
        <w:r>
          <w:rPr>
            <w:rStyle w:val="Hyperlink"/>
          </w:rPr>
          <w:t xml:space="preserve">[1]</w:t>
        </w:r>
      </w:hyperlink>
      <w:r>
        <w:t xml:space="preserve"> </w:t>
      </w:r>
      <w:hyperlink w:anchor="ref-18">
        <w:r>
          <w:rPr>
            <w:rStyle w:val="Hyperlink"/>
          </w:rPr>
          <w:t xml:space="preserve">[18]</w:t>
        </w:r>
      </w:hyperlink>
      <w:r>
        <w:t xml:space="preserve">. Transferring the method to adjacent discourses, planetary defense, commercial-space sustainability, cyber-space governance, is the payoff line that turns a single-corpus study into a general instrument, and it is most valuable after the instrument has been hardened against the two measurement threats</w:t>
      </w:r>
      <w:r>
        <w:t xml:space="preserve"> </w:t>
      </w:r>
      <w:hyperlink w:anchor="ref-17">
        <w:r>
          <w:rPr>
            <w:rStyle w:val="Hyperlink"/>
          </w:rPr>
          <w:t xml:space="preserve">[17]</w:t>
        </w:r>
      </w:hyperlink>
      <w:r>
        <w:t xml:space="preserve"> </w:t>
      </w:r>
      <w:hyperlink w:anchor="ref-19">
        <w:r>
          <w:rPr>
            <w:rStyle w:val="Hyperlink"/>
          </w:rPr>
          <w:t xml:space="preserve">[19]</w:t>
        </w:r>
      </w:hyperlink>
      <w:r>
        <w:t xml:space="preserve">. Sequenced this way, the agenda moves from securing the present findings to extending them, rather than scaling a result before it is sound</w:t>
      </w:r>
      <w:r>
        <w:t xml:space="preserve"> </w:t>
      </w:r>
      <w:hyperlink w:anchor="ref-3">
        <w:r>
          <w:rPr>
            <w:rStyle w:val="Hyperlink"/>
          </w:rPr>
          <w:t xml:space="preserve">[3]</w:t>
        </w:r>
      </w:hyperlink>
      <w:r>
        <w:t xml:space="preserve">.</w:t>
      </w:r>
    </w:p>
    <w:bookmarkEnd w:id="134"/>
    <w:bookmarkStart w:id="135" w:name="X7868ca5ceaeddf886125b2d9f3f421c7f9ab9c2"/>
    <w:p>
      <w:pPr>
        <w:pStyle w:val="Heading2"/>
        <w:spacing w:line="480" w:lineRule="auto"/>
      </w:pPr>
      <w:r>
        <w:t xml:space="preserve">8.4a The Contribution Restated for Three Audiences</w:t>
      </w:r>
    </w:p>
    <w:p>
      <w:pPr>
        <w:pStyle w:val="FirstParagraph"/>
        <w:spacing w:line="480" w:lineRule="auto"/>
      </w:pPr>
      <w:r>
        <w:t xml:space="preserve">The contribution reads differently for three audiences, and stating it for each sharpens what the dissertation offers. For the space-security scholar, the contribution is a counterexample and a method: a well-documented retrieved corpus that clusters by institution rather than consolidating, plus a transparent instrument for testing consolidation on any corpus</w:t>
      </w:r>
      <w:r>
        <w:t xml:space="preserve"> </w:t>
      </w:r>
      <w:hyperlink w:anchor="ref-1">
        <w:r>
          <w:rPr>
            <w:rStyle w:val="Hyperlink"/>
          </w:rPr>
          <w:t xml:space="preserve">[1]</w:t>
        </w:r>
      </w:hyperlink>
      <w:r>
        <w:t xml:space="preserve"> </w:t>
      </w:r>
      <w:hyperlink w:anchor="ref-5">
        <w:r>
          <w:rPr>
            <w:rStyle w:val="Hyperlink"/>
          </w:rPr>
          <w:t xml:space="preserve">[5]</w:t>
        </w:r>
      </w:hyperlink>
      <w:r>
        <w:t xml:space="preserve">. The scholar who has assumed the field is cumulative now has a concrete case that resists the assumption and a way to check it elsewhere</w:t>
      </w:r>
      <w:r>
        <w:t xml:space="preserve"> </w:t>
      </w:r>
      <w:hyperlink w:anchor="ref-9">
        <w:r>
          <w:rPr>
            <w:rStyle w:val="Hyperlink"/>
          </w:rPr>
          <w:t xml:space="preserve">[9]</w:t>
        </w:r>
      </w:hyperlink>
      <w:r>
        <w:t xml:space="preserve">.</w:t>
      </w:r>
    </w:p>
    <w:p>
      <w:pPr>
        <w:pStyle w:val="BodyText"/>
        <w:spacing w:line="480" w:lineRule="auto"/>
        <w:ind w:firstLine="720"/>
      </w:pPr>
      <w:r>
        <w:t xml:space="preserve">For the defense or civil-space program manager, the contribution is a caution about how to weight the field’s collective judgment</w:t>
      </w:r>
      <w:r>
        <w:t xml:space="preserve"> </w:t>
      </w:r>
      <w:hyperlink w:anchor="ref-11">
        <w:r>
          <w:rPr>
            <w:rStyle w:val="Hyperlink"/>
          </w:rPr>
          <w:t xml:space="preserve">[11]</w:t>
        </w:r>
      </w:hyperlink>
      <w:r>
        <w:t xml:space="preserve">. The security frame concentrates in one conference community, and cross-venue attention has not accumulated, so apparent consensus should be treated as an active institutional conversation rather than settled doctrine</w:t>
      </w:r>
      <w:r>
        <w:t xml:space="preserve"> </w:t>
      </w:r>
      <w:hyperlink w:anchor="ref-12">
        <w:r>
          <w:rPr>
            <w:rStyle w:val="Hyperlink"/>
          </w:rPr>
          <w:t xml:space="preserve">[12]</w:t>
        </w:r>
      </w:hyperlink>
      <w:r>
        <w:t xml:space="preserve">. A manager funding domain-awareness capability can still act on the literature, but should pair it with primary technical assessment rather than lean on the appearance of a mature evidence base</w:t>
      </w:r>
      <w:r>
        <w:t xml:space="preserve"> </w:t>
      </w:r>
      <w:hyperlink w:anchor="ref-13">
        <w:r>
          <w:rPr>
            <w:rStyle w:val="Hyperlink"/>
          </w:rPr>
          <w:t xml:space="preserve">[13]</w:t>
        </w:r>
      </w:hyperlink>
      <w:r>
        <w:t xml:space="preserve">.</w:t>
      </w:r>
    </w:p>
    <w:p>
      <w:pPr>
        <w:pStyle w:val="BodyText"/>
        <w:spacing w:line="480" w:lineRule="auto"/>
        <w:ind w:firstLine="720"/>
      </w:pPr>
      <w:r>
        <w:t xml:space="preserve">For the methodologist studying discourse formation, the contribution is the two-axis test itself: the separation of thematic density and attention accumulation into independent measurements, run on the same panel, whose joint pattern distinguishes consolidation from clustering from heterogeneity</w:t>
      </w:r>
      <w:r>
        <w:t xml:space="preserve"> </w:t>
      </w:r>
      <w:hyperlink w:anchor="ref-3">
        <w:r>
          <w:rPr>
            <w:rStyle w:val="Hyperlink"/>
          </w:rPr>
          <w:t xml:space="preserve">[3]</w:t>
        </w:r>
      </w:hyperlink>
      <w:r>
        <w:t xml:space="preserve"> </w:t>
      </w:r>
      <w:hyperlink w:anchor="ref-14">
        <w:r>
          <w:rPr>
            <w:rStyle w:val="Hyperlink"/>
          </w:rPr>
          <w:t xml:space="preserve">[14]</w:t>
        </w:r>
      </w:hyperlink>
      <w:r>
        <w:t xml:space="preserve">. The test is not specific to space security, and its portability to other emerging security and technology discourses is where its value ultimately lies</w:t>
      </w:r>
      <w:r>
        <w:t xml:space="preserve"> </w:t>
      </w:r>
      <w:hyperlink w:anchor="ref-18">
        <w:r>
          <w:rPr>
            <w:rStyle w:val="Hyperlink"/>
          </w:rPr>
          <w:t xml:space="preserve">[18]</w:t>
        </w:r>
      </w:hyperlink>
      <w:r>
        <w:t xml:space="preserve"> </w:t>
      </w:r>
      <w:hyperlink w:anchor="ref-19">
        <w:r>
          <w:rPr>
            <w:rStyle w:val="Hyperlink"/>
          </w:rPr>
          <w:t xml:space="preserve">[19]</w:t>
        </w:r>
      </w:hyperlink>
      <w:r>
        <w:t xml:space="preserve">. Three audiences, one study, and a contribution that means something distinct to each is the mark of a result that reaches beyond its immediate corpus</w:t>
      </w:r>
      <w:r>
        <w:t xml:space="preserve"> </w:t>
      </w:r>
      <w:hyperlink w:anchor="ref-4">
        <w:r>
          <w:rPr>
            <w:rStyle w:val="Hyperlink"/>
          </w:rPr>
          <w:t xml:space="preserve">[4]</w:t>
        </w:r>
      </w:hyperlink>
      <w:r>
        <w:t xml:space="preserve">.</w:t>
      </w:r>
    </w:p>
    <w:bookmarkEnd w:id="135"/>
    <w:bookmarkStart w:id="136" w:name="closing"/>
    <w:p>
      <w:pPr>
        <w:pStyle w:val="Heading2"/>
        <w:spacing w:line="480" w:lineRule="auto"/>
      </w:pPr>
      <w:r>
        <w:t xml:space="preserve">8.5 Closing</w:t>
      </w:r>
    </w:p>
    <w:p>
      <w:pPr>
        <w:pStyle w:val="FirstParagraph"/>
        <w:spacing w:line="480" w:lineRule="auto"/>
      </w:pPr>
      <w:r>
        <w:t xml:space="preserve">This dissertation began with a discrepancy between how the space-security field describes itself and whether that description survives measurement. The field speaks of consolidation, convergence, and maturation, and it asks its readers to trust a body of scholarship as if that trust were already earned</w:t>
      </w:r>
      <w:r>
        <w:t xml:space="preserve"> </w:t>
      </w:r>
      <w:hyperlink w:anchor="ref-1">
        <w:r>
          <w:rPr>
            <w:rStyle w:val="Hyperlink"/>
          </w:rPr>
          <w:t xml:space="preserve">[1]</w:t>
        </w:r>
      </w:hyperlink>
      <w:r>
        <w:t xml:space="preserve"> </w:t>
      </w:r>
      <w:hyperlink w:anchor="ref-9">
        <w:r>
          <w:rPr>
            <w:rStyle w:val="Hyperlink"/>
          </w:rPr>
          <w:t xml:space="preserve">[9]</w:t>
        </w:r>
      </w:hyperlink>
      <w:r>
        <w:t xml:space="preserve">. The two papers put that self-image to a falsifiable test, and the corpus returned a specific, disciplined verdict: institutional clustering on the thematic axis, with the venue coefficient at -2.1716 and p equal to 0.0001, and no cumulative attention structure on the temporal axis, with an age elasticity of -0.1556 at p equal to 0.6189</w:t>
      </w:r>
      <w:r>
        <w:t xml:space="preserve"> </w:t>
      </w:r>
      <w:hyperlink w:anchor="ref-5">
        <w:r>
          <w:rPr>
            <w:rStyle w:val="Hyperlink"/>
          </w:rPr>
          <w:t xml:space="preserve">[5]</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The discrepancy is worth dwelling on because it recurs across emerging fields, not only in space security. Any young discipline under pressure to justify investment has an incentive to present itself as consolidated, and its participants, immersed in a coherent venue conversation, experience that consolidation as real even when the cross-venue structure has not formed</w:t>
      </w:r>
      <w:r>
        <w:t xml:space="preserve"> </w:t>
      </w:r>
      <w:hyperlink w:anchor="ref-1">
        <w:r>
          <w:rPr>
            <w:rStyle w:val="Hyperlink"/>
          </w:rPr>
          <w:t xml:space="preserve">[1]</w:t>
        </w:r>
      </w:hyperlink>
      <w:r>
        <w:t xml:space="preserve"> </w:t>
      </w:r>
      <w:hyperlink w:anchor="ref-9">
        <w:r>
          <w:rPr>
            <w:rStyle w:val="Hyperlink"/>
          </w:rPr>
          <w:t xml:space="preserve">[9]</w:t>
        </w:r>
      </w:hyperlink>
      <w:r>
        <w:t xml:space="preserve">. This dissertation offers one field a mirror and offers every adjacent field a way to look into the same mirror. The value of a falsifiable structural test is that it does not care what the field wishes were true; it reports what the corpus is, and it lets a null stand as a finding rather than a disappointment</w:t>
      </w:r>
      <w:r>
        <w:t xml:space="preserve"> </w:t>
      </w:r>
      <w:hyperlink w:anchor="ref-3">
        <w:r>
          <w:rPr>
            <w:rStyle w:val="Hyperlink"/>
          </w:rPr>
          <w:t xml:space="preserve">[3]</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The verdict is neither a celebration nor an indictment. It is a measurement. Nothing more. It is a measurement, and its value lies in replacing an assertion with evidence the analyst could not manufacture</w:t>
      </w:r>
      <w:r>
        <w:t xml:space="preserve"> </w:t>
      </w:r>
      <w:hyperlink w:anchor="ref-2">
        <w:r>
          <w:rPr>
            <w:rStyle w:val="Hyperlink"/>
          </w:rPr>
          <w:t xml:space="preserve">[2]</w:t>
        </w:r>
      </w:hyperlink>
      <w:r>
        <w:t xml:space="preserve">. The field is not scattered, because its security frame is real and structured Nor is it mature.; it is not mature, because that frame is venue-anchored and its attention has not organized cumulatively</w:t>
      </w:r>
      <w:r>
        <w:t xml:space="preserve"> </w:t>
      </w:r>
      <w:hyperlink w:anchor="ref-11">
        <w:r>
          <w:rPr>
            <w:rStyle w:val="Hyperlink"/>
          </w:rPr>
          <w:t xml:space="preserve">[11]</w:t>
        </w:r>
      </w:hyperlink>
      <w:r>
        <w:t xml:space="preserve">. Naming that intermediate condition precisely, and offering a portable procedure for testing it elsewhere, is the whole of the contribution. That is the claim. A field that wishes to know whether it has consolidated now has both an answer for this corpus and a way to keep asking of any other</w:t>
      </w:r>
      <w:r>
        <w:t xml:space="preserve"> </w:t>
      </w:r>
      <w:hyperlink w:anchor="ref-4">
        <w:r>
          <w:rPr>
            <w:rStyle w:val="Hyperlink"/>
          </w:rPr>
          <w:t xml:space="preserve">[4]</w:t>
        </w:r>
      </w:hyperlink>
      <w:r>
        <w:t xml:space="preserve"> </w:t>
      </w:r>
      <w:hyperlink w:anchor="ref-19">
        <w:r>
          <w:rPr>
            <w:rStyle w:val="Hyperlink"/>
          </w:rPr>
          <w:t xml:space="preserve">[19]</w:t>
        </w:r>
      </w:hyperlink>
      <w:r>
        <w:t xml:space="preserve">. The instrument is cheap, the variables are auditable Anyone can rerun it., and the verdict it returns belongs to the corpus rather than to the analyst who ran it. That is the standard a falsifiable contribution should meet, and it is the standard this dissertation has tried, at every step, to hold itself to</w:t>
      </w:r>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bookmarkEnd w:id="136"/>
    <w:bookmarkStart w:id="168" w:name="references"/>
    <w:p>
      <w:pPr>
        <w:pStyle w:val="Heading2"/>
        <w:spacing w:line="480" w:lineRule="auto"/>
      </w:pPr>
      <w:r>
        <w:t xml:space="preserve">References</w:t>
      </w:r>
    </w:p>
    <w:p>
      <w:pPr>
        <w:pStyle w:val="FirstParagraph"/>
        <w:spacing w:line="480" w:lineRule="auto"/>
      </w:pPr>
      <w:bookmarkStart w:id="137" w:name="ref-1"/>
      <w:bookmarkEnd w:id="137"/>
      <w:r>
        <w:t xml:space="preserve">1. T. Harrison, “International Perspectives on Space Weapons,” AMOS, 2020.</w:t>
      </w:r>
    </w:p>
    <w:p>
      <w:pPr>
        <w:pStyle w:val="BodyText"/>
        <w:spacing w:line="480" w:lineRule="auto"/>
        <w:ind w:firstLine="720"/>
      </w:pPr>
      <w:bookmarkStart w:id="138" w:name="ref-2"/>
      <w:bookmarkEnd w:id="138"/>
      <w:r>
        <w:t xml:space="preserve">2. M. Young, “Space Situational Awareness Capabilities and National Security Among Growing Space Actors: Japan Case Study,” AMOS, 2023, doi:</w:t>
      </w:r>
      <w:r>
        <w:t xml:space="preserve"> </w:t>
      </w:r>
      <w:hyperlink r:id="rId139">
        <w:r>
          <w:rPr>
            <w:rStyle w:val="Hyperlink"/>
          </w:rPr>
          <w:t xml:space="preserve">10.64861/TCOA6256</w:t>
        </w:r>
      </w:hyperlink>
    </w:p>
    <w:p>
      <w:pPr>
        <w:pStyle w:val="BodyText"/>
        <w:spacing w:line="480" w:lineRule="auto"/>
        <w:ind w:firstLine="720"/>
      </w:pPr>
      <w:bookmarkStart w:id="140" w:name="ref-3"/>
      <w:bookmarkEnd w:id="140"/>
      <w:r>
        <w:t xml:space="preserve">3. R. Dalal, A. Boley, and M. Byers, “Space Debris and Nuclear Strategic Stability: Collision Risks and Attribution Potential in GEO,” AMOS, 2024, doi:</w:t>
      </w:r>
      <w:r>
        <w:t xml:space="preserve"> </w:t>
      </w:r>
      <w:hyperlink r:id="rId141">
        <w:r>
          <w:rPr>
            <w:rStyle w:val="Hyperlink"/>
          </w:rPr>
          <w:t xml:space="preserve">10.64861/EIBC5616</w:t>
        </w:r>
      </w:hyperlink>
    </w:p>
    <w:p>
      <w:pPr>
        <w:pStyle w:val="BodyText"/>
        <w:spacing w:line="480" w:lineRule="auto"/>
        <w:ind w:firstLine="720"/>
      </w:pPr>
      <w:bookmarkStart w:id="142" w:name="ref-4"/>
      <w:bookmarkEnd w:id="142"/>
      <w:r>
        <w:t xml:space="preserve">4. D. Porras and L. Zarkan Cesari, “Safety Norms for Space Security: How the Development of STM Norms Can Strengthen Security in Space,” AMOS, 2021.</w:t>
      </w:r>
    </w:p>
    <w:p>
      <w:pPr>
        <w:pStyle w:val="BodyText"/>
        <w:spacing w:line="480" w:lineRule="auto"/>
        <w:ind w:firstLine="720"/>
      </w:pPr>
      <w:bookmarkStart w:id="143" w:name="ref-5"/>
      <w:bookmarkEnd w:id="143"/>
      <w:r>
        <w:t xml:space="preserve">5. J. Reis, “European union defense and security strategy for space and ground-based systems against hybrid threats,”</w:t>
      </w:r>
      <w:r>
        <w:t xml:space="preserve"> </w:t>
      </w:r>
      <w:r>
        <w:rPr>
          <w:i/>
          <w:iCs/>
        </w:rPr>
        <w:t xml:space="preserve">Acta Astronautica</w:t>
      </w:r>
      <w:r>
        <w:t xml:space="preserve">, 2024, doi:</w:t>
      </w:r>
      <w:r>
        <w:t xml:space="preserve"> </w:t>
      </w:r>
      <w:hyperlink r:id="rId144">
        <w:r>
          <w:rPr>
            <w:rStyle w:val="Hyperlink"/>
          </w:rPr>
          <w:t xml:space="preserve">10.1016/j.actaastro.2024.09.003</w:t>
        </w:r>
      </w:hyperlink>
    </w:p>
    <w:p>
      <w:pPr>
        <w:pStyle w:val="BodyText"/>
        <w:spacing w:line="480" w:lineRule="auto"/>
        <w:ind w:firstLine="720"/>
      </w:pPr>
      <w:bookmarkStart w:id="145" w:name="ref-6"/>
      <w:bookmarkEnd w:id="145"/>
      <w:r>
        <w:t xml:space="preserve">6. Makena Young, Center for Strategic and International Studies. Space Situational Awareness Capabilities and National Security Among Growing Space Actors – Japan Case Study (2023). doi:</w:t>
      </w:r>
      <w:r>
        <w:t xml:space="preserve"> </w:t>
      </w:r>
      <w:hyperlink r:id="rId139">
        <w:r>
          <w:rPr>
            <w:rStyle w:val="Hyperlink"/>
          </w:rPr>
          <w:t xml:space="preserve">10.64861/TCOA6256</w:t>
        </w:r>
      </w:hyperlink>
    </w:p>
    <w:p>
      <w:pPr>
        <w:pStyle w:val="BodyText"/>
        <w:spacing w:line="480" w:lineRule="auto"/>
        <w:ind w:firstLine="720"/>
      </w:pPr>
      <w:bookmarkStart w:id="146" w:name="ref-7"/>
      <w:bookmarkEnd w:id="146"/>
      <w:r>
        <w:t xml:space="preserve">7. Malcolm Davis, The Australian Strategic Policy Institute. Australia’s Emerging Space Policy – Defense Burden Sharing in Orbit and Space Situational Awareness (2020).</w:t>
      </w:r>
    </w:p>
    <w:p>
      <w:pPr>
        <w:pStyle w:val="BodyText"/>
        <w:spacing w:line="480" w:lineRule="auto"/>
        <w:ind w:firstLine="720"/>
      </w:pPr>
      <w:bookmarkStart w:id="147" w:name="ref-8"/>
      <w:bookmarkEnd w:id="147"/>
      <w:r>
        <w:t xml:space="preserve">8. Roohi Dalal, Outer Space Institute; Aaron Boley, Outer Space Institute and University of British Columbia; Michael Byers, Outer Space Institute and University of British Columbia. Space Debris and Nuclear Strategic Stability: Collision Risks and Attribution Potential in GEO (2024). doi:</w:t>
      </w:r>
      <w:r>
        <w:t xml:space="preserve"> </w:t>
      </w:r>
      <w:hyperlink r:id="rId141">
        <w:r>
          <w:rPr>
            <w:rStyle w:val="Hyperlink"/>
          </w:rPr>
          <w:t xml:space="preserve">10.64861/EIBC5616</w:t>
        </w:r>
      </w:hyperlink>
    </w:p>
    <w:p>
      <w:pPr>
        <w:pStyle w:val="BodyText"/>
        <w:spacing w:line="480" w:lineRule="auto"/>
        <w:ind w:firstLine="720"/>
      </w:pPr>
      <w:bookmarkStart w:id="148" w:name="ref-9"/>
      <w:bookmarkEnd w:id="148"/>
      <w:r>
        <w:t xml:space="preserve">9. Todd Harrison, Center for Strategic and International Studies. International Perspectives on Space Weapons (2020).</w:t>
      </w:r>
    </w:p>
    <w:p>
      <w:pPr>
        <w:pStyle w:val="BodyText"/>
        <w:spacing w:line="480" w:lineRule="auto"/>
        <w:ind w:firstLine="720"/>
      </w:pPr>
      <w:bookmarkStart w:id="149" w:name="ref-10"/>
      <w:bookmarkEnd w:id="149"/>
      <w:r>
        <w:t xml:space="preserve">10. Daniel Porras, Secure World Foundation; Laetitia Zarkan Cesari, University of Luxembourg. Safety Norms for Space Security: How the Development of STM Norms Can Strengthen Security in Space (2021).</w:t>
      </w:r>
    </w:p>
    <w:p>
      <w:pPr>
        <w:pStyle w:val="BodyText"/>
        <w:spacing w:line="480" w:lineRule="auto"/>
        <w:ind w:firstLine="720"/>
      </w:pPr>
      <w:bookmarkStart w:id="150" w:name="ref-11"/>
      <w:bookmarkEnd w:id="150"/>
      <w:r>
        <w:t xml:space="preserve">11. Kaitlyn Johnson, Center for Strategic and International Studies; Seamus P. Daniels, Center for Strategic and International Studies. Buying Space: Trends in U.S. SDA Acquisition (2022).</w:t>
      </w:r>
    </w:p>
    <w:p>
      <w:pPr>
        <w:pStyle w:val="BodyText"/>
        <w:spacing w:line="480" w:lineRule="auto"/>
        <w:ind w:firstLine="720"/>
      </w:pPr>
      <w:bookmarkStart w:id="151" w:name="ref-12"/>
      <w:bookmarkEnd w:id="151"/>
      <w:r>
        <w:t xml:space="preserve">12. Jonathan White (US Naval Observatory). Atmospheric Support for Space Situational Awareness and Space Control: The US Naval Observatory (2007).</w:t>
      </w:r>
    </w:p>
    <w:p>
      <w:pPr>
        <w:pStyle w:val="BodyText"/>
        <w:spacing w:line="480" w:lineRule="auto"/>
        <w:ind w:firstLine="720"/>
      </w:pPr>
      <w:bookmarkStart w:id="152" w:name="ref-13"/>
      <w:bookmarkEnd w:id="152"/>
      <w:r>
        <w:t xml:space="preserve">13. Jonathan Hutfilz, Space Domain Awareness Division; James “Chris” Higgins, Space Domain Awareness Division. Transformation of the Space Surveillance Telescope into a Dedicated Sensor in the Space Surveillance Network (2021).</w:t>
      </w:r>
    </w:p>
    <w:p>
      <w:pPr>
        <w:pStyle w:val="BodyText"/>
        <w:spacing w:line="480" w:lineRule="auto"/>
        <w:ind w:firstLine="720"/>
      </w:pPr>
      <w:bookmarkStart w:id="153" w:name="ref-14"/>
      <w:bookmarkEnd w:id="153"/>
      <w:r>
        <w:t xml:space="preserve">14. Carmen Pardini; Luciano Anselmo. The short-term effects of the Cosmos 1408 fragmentation on neighboring inhabited space stations and large constellations (2023). doi:</w:t>
      </w:r>
      <w:r>
        <w:t xml:space="preserve"> </w:t>
      </w:r>
      <w:hyperlink r:id="rId154">
        <w:r>
          <w:rPr>
            <w:rStyle w:val="Hyperlink"/>
          </w:rPr>
          <w:t xml:space="preserve">10.1016/j.actaastro.2023.02.043</w:t>
        </w:r>
      </w:hyperlink>
    </w:p>
    <w:p>
      <w:pPr>
        <w:pStyle w:val="BodyText"/>
        <w:spacing w:line="480" w:lineRule="auto"/>
        <w:ind w:firstLine="720"/>
      </w:pPr>
      <w:bookmarkStart w:id="155" w:name="ref-15"/>
      <w:bookmarkEnd w:id="155"/>
      <w:r>
        <w:t xml:space="preserve">15. Jie Long; Wenzhen Chen. Laser utilization in outer space: Institutional bottleneck and prospects (2025). doi:</w:t>
      </w:r>
      <w:r>
        <w:t xml:space="preserve"> </w:t>
      </w:r>
      <w:hyperlink r:id="rId156">
        <w:r>
          <w:rPr>
            <w:rStyle w:val="Hyperlink"/>
          </w:rPr>
          <w:t xml:space="preserve">10.1016/j.actaastro.2025.01.061</w:t>
        </w:r>
      </w:hyperlink>
    </w:p>
    <w:p>
      <w:pPr>
        <w:pStyle w:val="BodyText"/>
        <w:spacing w:line="480" w:lineRule="auto"/>
        <w:ind w:firstLine="720"/>
      </w:pPr>
      <w:bookmarkStart w:id="157" w:name="ref-16"/>
      <w:bookmarkEnd w:id="157"/>
      <w:r>
        <w:t xml:space="preserve">16. Jo�ão Reis. European union defense and security strategy for space and ground-based systems against hybrid threats (2024). doi:</w:t>
      </w:r>
      <w:r>
        <w:t xml:space="preserve"> </w:t>
      </w:r>
      <w:hyperlink r:id="rId144">
        <w:r>
          <w:rPr>
            <w:rStyle w:val="Hyperlink"/>
          </w:rPr>
          <w:t xml:space="preserve">10.1016/j.actaastro.2024.09.003</w:t>
        </w:r>
      </w:hyperlink>
    </w:p>
    <w:p>
      <w:pPr>
        <w:pStyle w:val="BodyText"/>
        <w:spacing w:line="480" w:lineRule="auto"/>
        <w:ind w:firstLine="720"/>
      </w:pPr>
      <w:bookmarkStart w:id="158" w:name="ref-17"/>
      <w:bookmarkEnd w:id="158"/>
      <w:r>
        <w:t xml:space="preserve">17. Clémence Poirier. Establishing a governance for cyber operations in outer space: Exploring challenges faced by space and cyber commands (2025). doi:</w:t>
      </w:r>
      <w:r>
        <w:t xml:space="preserve"> </w:t>
      </w:r>
      <w:hyperlink r:id="rId159">
        <w:r>
          <w:rPr>
            <w:rStyle w:val="Hyperlink"/>
          </w:rPr>
          <w:t xml:space="preserve">10.1016/j.actaastro.2025.08.048</w:t>
        </w:r>
      </w:hyperlink>
    </w:p>
    <w:p>
      <w:pPr>
        <w:pStyle w:val="BodyText"/>
        <w:spacing w:line="480" w:lineRule="auto"/>
        <w:ind w:firstLine="720"/>
      </w:pPr>
      <w:bookmarkStart w:id="160" w:name="ref-18"/>
      <w:bookmarkEnd w:id="160"/>
      <w:r>
        <w:t xml:space="preserve">18. Christina Giannopapa; Athanasios Staveris-Poykalas; Spyros Metallinos. Space as an enabler for sustainable digital transformation: The new space race and benefits for newcommers (2022). doi:</w:t>
      </w:r>
      <w:r>
        <w:t xml:space="preserve"> </w:t>
      </w:r>
      <w:hyperlink r:id="rId161">
        <w:r>
          <w:rPr>
            <w:rStyle w:val="Hyperlink"/>
          </w:rPr>
          <w:t xml:space="preserve">10.1016/j.actaastro.2022.06.005</w:t>
        </w:r>
      </w:hyperlink>
    </w:p>
    <w:p>
      <w:pPr>
        <w:pStyle w:val="BodyText"/>
        <w:spacing w:line="480" w:lineRule="auto"/>
        <w:ind w:firstLine="720"/>
      </w:pPr>
      <w:bookmarkStart w:id="162" w:name="ref-19"/>
      <w:bookmarkEnd w:id="162"/>
      <w:r>
        <w:t xml:space="preserve">19. N. L. Chabot; Elena Adams; Andy Rivkin; Jason S. Kalirai. DART: Latest results from the Dimorphos impact and a look forward to future planetary defense initiatives (2024). doi:</w:t>
      </w:r>
      <w:r>
        <w:t xml:space="preserve"> </w:t>
      </w:r>
      <w:hyperlink r:id="rId163">
        <w:r>
          <w:rPr>
            <w:rStyle w:val="Hyperlink"/>
          </w:rPr>
          <w:t xml:space="preserve">10.1016/j.actaastro.2024.04.001</w:t>
        </w:r>
      </w:hyperlink>
    </w:p>
    <w:p>
      <w:pPr>
        <w:pStyle w:val="BodyText"/>
        <w:spacing w:line="480" w:lineRule="auto"/>
        <w:ind w:firstLine="720"/>
      </w:pPr>
      <w:bookmarkStart w:id="164" w:name="ref-20"/>
      <w:bookmarkEnd w:id="164"/>
      <w:r>
        <w:t xml:space="preserve">20. Flaviane Venditti; S. Marshall; Maxime Devogèle; Luisa Fernanda Zambrano-Marin; Anna McGilvray. The Arecibo Observatory’s legacy and future radar capabilities (2023). doi:</w:t>
      </w:r>
      <w:r>
        <w:t xml:space="preserve"> </w:t>
      </w:r>
      <w:hyperlink r:id="rId165">
        <w:r>
          <w:rPr>
            <w:rStyle w:val="Hyperlink"/>
          </w:rPr>
          <w:t xml:space="preserve">10.1016/j.actaastro.2023.05.023</w:t>
        </w:r>
      </w:hyperlink>
    </w:p>
    <w:p>
      <w:pPr>
        <w:pStyle w:val="BodyText"/>
        <w:spacing w:line="480" w:lineRule="auto"/>
        <w:ind w:firstLine="720"/>
      </w:pPr>
      <w:bookmarkStart w:id="166" w:name="ref-21"/>
      <w:bookmarkEnd w:id="166"/>
      <w:r>
        <w:t xml:space="preserve">21. Jasper Dijks; Sybren de Jong; Alessandra Menicucci; Iklim Akay. Systematic review of engineering and testing approaches for radiation hardness assurance in commercial space avionics (2025). doi:</w:t>
      </w:r>
      <w:r>
        <w:t xml:space="preserve"> </w:t>
      </w:r>
      <w:hyperlink r:id="rId167">
        <w:r>
          <w:rPr>
            <w:rStyle w:val="Hyperlink"/>
          </w:rPr>
          <w:t xml:space="preserve">10.1016/j.actaastro.2025.07.055</w:t>
        </w:r>
      </w:hyperlink>
    </w:p>
    <w:bookmarkEnd w:id="168"/>
    <w:bookmarkEnd w:id="169"/>
    <w:bookmarkStart w:id="186"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77" w:name="X5d079dc1aa92b8cdf22f8aa78555c728adf64aa"/>
    <w:p>
      <w:pPr>
        <w:pStyle w:val="Heading2"/>
        <w:spacing w:line="480" w:lineRule="auto"/>
      </w:pPr>
      <w:r>
        <w:t xml:space="preserve">A.1 Signal Intensity in Defense Spending and Counterspace Capability A Cliometric Test of Whether Budge: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70"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6.6189</w:t>
            </w:r>
          </w:p>
        </w:tc>
        <w:tc>
          <w:tcPr>
            <w:tcW w:w="0" w:type="auto"/>
          </w:tcPr>
          <w:p>
            <w:pPr>
              <w:spacing w:line="240" w:lineRule="auto" w:before="0" w:after="0"/>
              <w:pStyle w:val="Compact"/>
            </w:pPr>
            <w:r>
              <w:rPr>
                <w:sz w:val="20"/>
                <w:szCs w:val="20"/>
              </w:rPr>
              <w:t xml:space="preserve">1.5435</w:t>
            </w:r>
          </w:p>
        </w:tc>
        <w:tc>
          <w:tcPr>
            <w:tcW w:w="0" w:type="auto"/>
          </w:tcPr>
          <w:p>
            <w:pPr>
              <w:spacing w:line="240" w:lineRule="auto" w:before="0" w:after="0"/>
              <w:pStyle w:val="Compact"/>
            </w:pPr>
            <w:r>
              <w:rPr>
                <w:sz w:val="20"/>
                <w:szCs w:val="20"/>
              </w:rPr>
              <w:t xml:space="preserve">4.2883</w:t>
            </w:r>
          </w:p>
        </w:tc>
        <w:tc>
          <w:tcPr>
            <w:tcW w:w="0" w:type="auto"/>
          </w:tcPr>
          <w:p>
            <w:pPr>
              <w:spacing w:line="240" w:lineRule="auto" w:before="0" w:after="0"/>
              <w:pStyle w:val="Compact"/>
            </w:pPr>
            <w:r>
              <w:rPr>
                <w:sz w:val="20"/>
                <w:szCs w:val="20"/>
              </w:rPr>
              <w:t xml:space="preserve">1.8e-05</w:t>
            </w:r>
          </w:p>
        </w:tc>
        <w:tc>
          <w:tcPr>
            <w:tcW w:w="0" w:type="auto"/>
          </w:tcPr>
          <w:p>
            <w:pPr>
              <w:spacing w:line="240" w:lineRule="auto" w:before="0" w:after="0"/>
              <w:pStyle w:val="Compact"/>
            </w:pPr>
            <w:r>
              <w:rPr>
                <w:sz w:val="20"/>
                <w:szCs w:val="20"/>
              </w:rPr>
              <w:t xml:space="preserve">[3.5938, 9.6441]</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0.1172</w:t>
            </w:r>
          </w:p>
        </w:tc>
        <w:tc>
          <w:tcPr>
            <w:tcW w:w="0" w:type="auto"/>
          </w:tcPr>
          <w:p>
            <w:pPr>
              <w:spacing w:line="240" w:lineRule="auto" w:before="0" w:after="0"/>
              <w:pStyle w:val="Compact"/>
            </w:pPr>
            <w:r>
              <w:rPr>
                <w:sz w:val="20"/>
                <w:szCs w:val="20"/>
              </w:rPr>
              <w:t xml:space="preserve">0.093</w:t>
            </w:r>
          </w:p>
        </w:tc>
        <w:tc>
          <w:tcPr>
            <w:tcW w:w="0" w:type="auto"/>
          </w:tcPr>
          <w:p>
            <w:pPr>
              <w:spacing w:line="240" w:lineRule="auto" w:before="0" w:after="0"/>
              <w:pStyle w:val="Compact"/>
            </w:pPr>
            <w:r>
              <w:rPr>
                <w:sz w:val="20"/>
                <w:szCs w:val="20"/>
              </w:rPr>
              <w:t xml:space="preserve">1.2597</w:t>
            </w:r>
          </w:p>
        </w:tc>
        <w:tc>
          <w:tcPr>
            <w:tcW w:w="0" w:type="auto"/>
          </w:tcPr>
          <w:p>
            <w:pPr>
              <w:spacing w:line="240" w:lineRule="auto" w:before="0" w:after="0"/>
              <w:pStyle w:val="Compact"/>
            </w:pPr>
            <w:r>
              <w:rPr>
                <w:sz w:val="20"/>
                <w:szCs w:val="20"/>
              </w:rPr>
              <w:t xml:space="preserve">0.2078</w:t>
            </w:r>
          </w:p>
        </w:tc>
        <w:tc>
          <w:tcPr>
            <w:tcW w:w="0" w:type="auto"/>
          </w:tcPr>
          <w:p>
            <w:pPr>
              <w:spacing w:line="240" w:lineRule="auto" w:before="0" w:after="0"/>
              <w:pStyle w:val="Compact"/>
            </w:pPr>
            <w:r>
              <w:rPr>
                <w:sz w:val="20"/>
                <w:szCs w:val="20"/>
              </w:rPr>
              <w:t xml:space="preserve">[-0.0651, 0.2995]</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-0.0126</w:t>
            </w:r>
          </w:p>
        </w:tc>
        <w:tc>
          <w:tcPr>
            <w:tcW w:w="0" w:type="auto"/>
          </w:tcPr>
          <w:p>
            <w:pPr>
              <w:spacing w:line="240" w:lineRule="auto" w:before="0" w:after="0"/>
              <w:pStyle w:val="Compact"/>
            </w:pPr>
            <w:r>
              <w:rPr>
                <w:sz w:val="20"/>
                <w:szCs w:val="20"/>
              </w:rPr>
              <w:t xml:space="preserve">0.0265</w:t>
            </w:r>
          </w:p>
        </w:tc>
        <w:tc>
          <w:tcPr>
            <w:tcW w:w="0" w:type="auto"/>
          </w:tcPr>
          <w:p>
            <w:pPr>
              <w:spacing w:line="240" w:lineRule="auto" w:before="0" w:after="0"/>
              <w:pStyle w:val="Compact"/>
            </w:pPr>
            <w:r>
              <w:rPr>
                <w:sz w:val="20"/>
                <w:szCs w:val="20"/>
              </w:rPr>
              <w:t xml:space="preserve">-0.4745</w:t>
            </w:r>
          </w:p>
        </w:tc>
        <w:tc>
          <w:tcPr>
            <w:tcW w:w="0" w:type="auto"/>
          </w:tcPr>
          <w:p>
            <w:pPr>
              <w:spacing w:line="240" w:lineRule="auto" w:before="0" w:after="0"/>
              <w:pStyle w:val="Compact"/>
            </w:pPr>
            <w:r>
              <w:rPr>
                <w:sz w:val="20"/>
                <w:szCs w:val="20"/>
              </w:rPr>
              <w:t xml:space="preserve">0.6351</w:t>
            </w:r>
          </w:p>
        </w:tc>
        <w:tc>
          <w:tcPr>
            <w:tcW w:w="0" w:type="auto"/>
          </w:tcPr>
          <w:p>
            <w:pPr>
              <w:spacing w:line="240" w:lineRule="auto" w:before="0" w:after="0"/>
              <w:pStyle w:val="Compact"/>
            </w:pPr>
            <w:r>
              <w:rPr>
                <w:sz w:val="20"/>
                <w:szCs w:val="20"/>
              </w:rPr>
              <w:t xml:space="preserve">[-0.0646, 0.0394]</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-2.1716</w:t>
            </w:r>
          </w:p>
        </w:tc>
        <w:tc>
          <w:tcPr>
            <w:tcW w:w="0" w:type="auto"/>
          </w:tcPr>
          <w:p>
            <w:pPr>
              <w:spacing w:line="240" w:lineRule="auto" w:before="0" w:after="0"/>
              <w:pStyle w:val="Compact"/>
            </w:pPr>
            <w:r>
              <w:rPr>
                <w:sz w:val="20"/>
                <w:szCs w:val="20"/>
              </w:rPr>
              <w:t xml:space="preserve">0.5476</w:t>
            </w:r>
          </w:p>
        </w:tc>
        <w:tc>
          <w:tcPr>
            <w:tcW w:w="0" w:type="auto"/>
          </w:tcPr>
          <w:p>
            <w:pPr>
              <w:spacing w:line="240" w:lineRule="auto" w:before="0" w:after="0"/>
              <w:pStyle w:val="Compact"/>
            </w:pPr>
            <w:r>
              <w:rPr>
                <w:sz w:val="20"/>
                <w:szCs w:val="20"/>
              </w:rPr>
              <w:t xml:space="preserve">-3.9656</w:t>
            </w:r>
          </w:p>
        </w:tc>
        <w:tc>
          <w:tcPr>
            <w:tcW w:w="0" w:type="auto"/>
          </w:tcPr>
          <w:p>
            <w:pPr>
              <w:spacing w:line="240" w:lineRule="auto" w:before="0" w:after="0"/>
              <w:pStyle w:val="Compact"/>
            </w:pPr>
            <w:r>
              <w:rPr>
                <w:sz w:val="20"/>
                <w:szCs w:val="20"/>
              </w:rPr>
              <w:t xml:space="preserve">7.323e-05</w:t>
            </w:r>
          </w:p>
        </w:tc>
        <w:tc>
          <w:tcPr>
            <w:tcW w:w="0" w:type="auto"/>
          </w:tcPr>
          <w:p>
            <w:pPr>
              <w:spacing w:line="240" w:lineRule="auto" w:before="0" w:after="0"/>
              <w:pStyle w:val="Compact"/>
            </w:pPr>
            <w:r>
              <w:rPr>
                <w:sz w:val="20"/>
                <w:szCs w:val="20"/>
              </w:rPr>
              <w:t xml:space="preserve">[-3.2449, -1.0983]</w:t>
            </w:r>
          </w:p>
        </w:tc>
      </w:tr>
    </w:tbl>
    <w:p>
      <w:pPr>
        <w:pStyle w:val="BodyText"/>
        <w:spacing w:line="480" w:lineRule="auto"/>
        <w:ind w:firstLine="720"/>
      </w:pPr>
      <w:r>
        <w:t xml:space="preserve">Fit: N = 30 R2 = 0.3123 R2_adj = 0.2329 F = 5.8048 F_p = 0.0036</w:t>
      </w:r>
    </w:p>
    <w:bookmarkEnd w:id="170"/>
    <w:bookmarkStart w:id="174"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72" name="Picture"/>
            <a:graphic>
              <a:graphicData uri="http://schemas.openxmlformats.org/drawingml/2006/picture">
                <pic:pic>
                  <pic:nvPicPr>
                    <pic:cNvPr descr="D:/Claude_Code/brain/collegium/candidates/dissertations/SECURITY_DETERRENCE_13/research_papers/p1/paper_fig1.png" id="173" name="Picture"/>
                    <pic:cNvPicPr>
                      <a:picLocks noChangeArrowheads="1" noChangeAspect="1"/>
                    </pic:cNvPicPr>
                  </pic:nvPicPr>
                  <pic:blipFill>
                    <a:blip r:embed="rId17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74"/>
    <w:bookmarkStart w:id="175"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10.64861/TCOA6256</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https://amostech.space/year/2020/australias-emerging-space-policy-defense-burden-sharing-in-orbit-and-space-situational-awareness/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10.64861/EIBC5616</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https://amostech.space/year/2021/safety-norms-for-space-security-how-the-development-of-stm-norms-can-strengthen-security-in-space/</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https://amostech.space/year/2022/buying-space-trends-in-u-s-sda-acquisition/</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https://amostech.space/year/2007/atmospheric-support-for-space-situational-awareness-and-space-control-the-us-naval-observatory/</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https://amostech.space/year/2021/transformation-of-the-space-surveillance-telescope-into-a-dedicated-sensor-in-the-space-surveillance-network/</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10.64861/QBNC8763</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10.64861/CZGF7141</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https://amostech.space/year/2007/assessing-space-and-satellite-environment-and-system-security/</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10.64861/KYFU6858</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10.1016/j.actaastro.2023.02.043</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10.1016/j.actaastro.2024.09.003</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10.1016/j.actaastro.2025.08.048</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10.1016/j.actaastro.2022.06.005</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10.1016/j.actaastro.2024.04.001</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10.1016/j.actaastro.2023.05.023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10.1016/j.actaastro.2025.07.055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10.1016/j.actaastro.2018.06.037</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10.1016/j.actaastro.2023.11.020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10.1016/j.actaastro.2020.06.032</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10.1016/j.actaastro.2019.10.026</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bl>
    <w:bookmarkEnd w:id="175"/>
    <w:bookmarkStart w:id="176"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76"/>
    <w:bookmarkEnd w:id="177"/>
    <w:bookmarkStart w:id="185" w:name="Xc76def4453ab3c7393441e64a58381c17af2abf"/>
    <w:p>
      <w:pPr>
        <w:pStyle w:val="Heading2"/>
        <w:spacing w:line="480" w:lineRule="auto"/>
      </w:pPr>
      <w:r>
        <w:t xml:space="preserve">A.2 Attention Accumulation in Defense Spending and Counterspace Capability A Cliometric Test of Whether Budge: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78"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0.9864</w:t>
            </w:r>
          </w:p>
        </w:tc>
        <w:tc>
          <w:tcPr>
            <w:tcW w:w="0" w:type="auto"/>
          </w:tcPr>
          <w:p>
            <w:pPr>
              <w:spacing w:line="240" w:lineRule="auto" w:before="0" w:after="0"/>
              <w:pStyle w:val="Compact"/>
            </w:pPr>
            <w:r>
              <w:rPr>
                <w:sz w:val="20"/>
                <w:szCs w:val="20"/>
              </w:rPr>
              <w:t xml:space="preserve">0.5542</w:t>
            </w:r>
          </w:p>
        </w:tc>
        <w:tc>
          <w:tcPr>
            <w:tcW w:w="0" w:type="auto"/>
          </w:tcPr>
          <w:p>
            <w:pPr>
              <w:spacing w:line="240" w:lineRule="auto" w:before="0" w:after="0"/>
              <w:pStyle w:val="Compact"/>
            </w:pPr>
            <w:r>
              <w:rPr>
                <w:sz w:val="20"/>
                <w:szCs w:val="20"/>
              </w:rPr>
              <w:t xml:space="preserve">1.7801</w:t>
            </w:r>
          </w:p>
        </w:tc>
        <w:tc>
          <w:tcPr>
            <w:tcW w:w="0" w:type="auto"/>
          </w:tcPr>
          <w:p>
            <w:pPr>
              <w:spacing w:line="240" w:lineRule="auto" w:before="0" w:after="0"/>
              <w:pStyle w:val="Compact"/>
            </w:pPr>
            <w:r>
              <w:rPr>
                <w:sz w:val="20"/>
                <w:szCs w:val="20"/>
              </w:rPr>
              <w:t xml:space="preserve">0.0751</w:t>
            </w:r>
          </w:p>
        </w:tc>
        <w:tc>
          <w:tcPr>
            <w:tcW w:w="0" w:type="auto"/>
          </w:tcPr>
          <w:p>
            <w:pPr>
              <w:spacing w:line="240" w:lineRule="auto" w:before="0" w:after="0"/>
              <w:pStyle w:val="Compact"/>
            </w:pPr>
            <w:r>
              <w:rPr>
                <w:sz w:val="20"/>
                <w:szCs w:val="20"/>
              </w:rPr>
              <w:t xml:space="preserve">[-0.0997, 2.0726]</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-0.1556</w:t>
            </w:r>
          </w:p>
        </w:tc>
        <w:tc>
          <w:tcPr>
            <w:tcW w:w="0" w:type="auto"/>
          </w:tcPr>
          <w:p>
            <w:pPr>
              <w:spacing w:line="240" w:lineRule="auto" w:before="0" w:after="0"/>
              <w:pStyle w:val="Compact"/>
            </w:pPr>
            <w:r>
              <w:rPr>
                <w:sz w:val="20"/>
                <w:szCs w:val="20"/>
              </w:rPr>
              <w:t xml:space="preserve">0.3128</w:t>
            </w:r>
          </w:p>
        </w:tc>
        <w:tc>
          <w:tcPr>
            <w:tcW w:w="0" w:type="auto"/>
          </w:tcPr>
          <w:p>
            <w:pPr>
              <w:spacing w:line="240" w:lineRule="auto" w:before="0" w:after="0"/>
              <w:pStyle w:val="Compact"/>
            </w:pPr>
            <w:r>
              <w:rPr>
                <w:sz w:val="20"/>
                <w:szCs w:val="20"/>
              </w:rPr>
              <w:t xml:space="preserve">-0.4974</w:t>
            </w:r>
          </w:p>
        </w:tc>
        <w:tc>
          <w:tcPr>
            <w:tcW w:w="0" w:type="auto"/>
          </w:tcPr>
          <w:p>
            <w:pPr>
              <w:spacing w:line="240" w:lineRule="auto" w:before="0" w:after="0"/>
              <w:pStyle w:val="Compact"/>
            </w:pPr>
            <w:r>
              <w:rPr>
                <w:sz w:val="20"/>
                <w:szCs w:val="20"/>
              </w:rPr>
              <w:t xml:space="preserve">0.6189</w:t>
            </w:r>
          </w:p>
        </w:tc>
        <w:tc>
          <w:tcPr>
            <w:tcW w:w="0" w:type="auto"/>
          </w:tcPr>
          <w:p>
            <w:pPr>
              <w:spacing w:line="240" w:lineRule="auto" w:before="0" w:after="0"/>
              <w:pStyle w:val="Compact"/>
            </w:pPr>
            <w:r>
              <w:rPr>
                <w:sz w:val="20"/>
                <w:szCs w:val="20"/>
              </w:rPr>
              <w:t xml:space="preserve">[-0.7687, 0.4576]</w:t>
            </w:r>
          </w:p>
        </w:tc>
      </w:tr>
    </w:tbl>
    <w:p>
      <w:pPr>
        <w:pStyle w:val="BodyText"/>
        <w:spacing w:line="480" w:lineRule="auto"/>
        <w:ind w:firstLine="720"/>
      </w:pPr>
      <w:r>
        <w:t xml:space="preserve">Fit: N = 30 R2 = 0.0055 elasticity_b = -0.1556 progress_ratio_2^b = 0.8978</w:t>
      </w:r>
    </w:p>
    <w:bookmarkEnd w:id="178"/>
    <w:bookmarkStart w:id="182"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80" name="Picture"/>
            <a:graphic>
              <a:graphicData uri="http://schemas.openxmlformats.org/drawingml/2006/picture">
                <pic:pic>
                  <pic:nvPicPr>
                    <pic:cNvPr descr="D:/Claude_Code/brain/collegium/candidates/dissertations/SECURITY_DETERRENCE_13/research_papers/p2/paper_fig1.png" id="181" name="Picture"/>
                    <pic:cNvPicPr>
                      <a:picLocks noChangeArrowheads="1" noChangeAspect="1"/>
                    </pic:cNvPicPr>
                  </pic:nvPicPr>
                  <pic:blipFill>
                    <a:blip r:embed="rId1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82"/>
    <w:bookmarkStart w:id="183"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10.64861/TCOA6256</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https://amostech.space/year/2020/australias-emerging-space-policy-defense-burden-sharing-in-orbit-and-space-situational-awareness/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10.64861/EIBC5616</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https://amostech.space/year/2021/safety-norms-for-space-security-how-the-development-of-stm-norms-can-strengthen-security-in-space/</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https://amostech.space/year/2022/buying-space-trends-in-u-s-sda-acquisition/</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https://amostech.space/year/2007/atmospheric-support-for-space-situational-awareness-and-space-control-the-us-naval-observatory/</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https://amostech.space/year/2021/transformation-of-the-space-surveillance-telescope-into-a-dedicated-sensor-in-the-space-surveillance-network/</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10.64861/QBNC8763</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10.64861/CZGF7141</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https://amostech.space/year/2007/assessing-space-and-satellite-environment-and-system-security/</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10.64861/KYFU6858</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10.1016/j.actaastro.2023.02.043</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10.1016/j.actaastro.2024.09.003</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10.1016/j.actaastro.2025.08.048</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10.1016/j.actaastro.2022.06.005</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10.1016/j.actaastro.2024.04.001</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10.1016/j.actaastro.2023.05.023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10.1016/j.actaastro.2025.07.055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10.1016/j.actaastro.2018.06.037</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10.1016/j.actaastro.2023.11.020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10.1016/j.actaastro.2020.06.032</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10.1016/j.actaastro.2019.10.026</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bl>
    <w:bookmarkEnd w:id="183"/>
    <w:bookmarkStart w:id="184"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84"/>
    <w:bookmarkEnd w:id="185"/>
    <w:bookmarkEnd w:id="1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71" Type="http://schemas.openxmlformats.org/officeDocument/2006/relationships/image" Target="media/rId171.png"/><Relationship Id="rId179" Type="http://schemas.openxmlformats.org/officeDocument/2006/relationships/image" Target="media/rId179.png"/><Relationship Id="rId161" Type="http://schemas.openxmlformats.org/officeDocument/2006/relationships/hyperlink" Target="https://doi.org/10.1016/j.actaastro.2022.06.005" TargetMode="External"/><Relationship Id="rId154" Type="http://schemas.openxmlformats.org/officeDocument/2006/relationships/hyperlink" Target="https://doi.org/10.1016/j.actaastro.2023.02.043" TargetMode="External"/><Relationship Id="rId165" Type="http://schemas.openxmlformats.org/officeDocument/2006/relationships/hyperlink" Target="https://doi.org/10.1016/j.actaastro.2023.05.023" TargetMode="External"/><Relationship Id="rId163" Type="http://schemas.openxmlformats.org/officeDocument/2006/relationships/hyperlink" Target="https://doi.org/10.1016/j.actaastro.2024.04.001" TargetMode="External"/><Relationship Id="rId144" Type="http://schemas.openxmlformats.org/officeDocument/2006/relationships/hyperlink" Target="https://doi.org/10.1016/j.actaastro.2024.09.003" TargetMode="External"/><Relationship Id="rId156" Type="http://schemas.openxmlformats.org/officeDocument/2006/relationships/hyperlink" Target="https://doi.org/10.1016/j.actaastro.2025.01.061" TargetMode="External"/><Relationship Id="rId167" Type="http://schemas.openxmlformats.org/officeDocument/2006/relationships/hyperlink" Target="https://doi.org/10.1016/j.actaastro.2025.07.055" TargetMode="External"/><Relationship Id="rId159" Type="http://schemas.openxmlformats.org/officeDocument/2006/relationships/hyperlink" Target="https://doi.org/10.1016/j.actaastro.2025.08.048" TargetMode="External"/><Relationship Id="rId141" Type="http://schemas.openxmlformats.org/officeDocument/2006/relationships/hyperlink" Target="https://doi.org/10.64861/EIBC5616" TargetMode="External"/><Relationship Id="rId139" Type="http://schemas.openxmlformats.org/officeDocument/2006/relationships/hyperlink" Target="https://doi.org/10.64861/TCOA6256" TargetMode="External"/></Relationships>
</file>

<file path=word/_rels/footnotes.xml.rels><?xml version='1.0' encoding='UTF-8' standalone='yes'?>
<Relationships xmlns="http://schemas.openxmlformats.org/package/2006/relationships"><Relationship Id="rId161" Type="http://schemas.openxmlformats.org/officeDocument/2006/relationships/hyperlink" Target="https://doi.org/10.1016/j.actaastro.2022.06.005" TargetMode="External"/><Relationship Id="rId154" Type="http://schemas.openxmlformats.org/officeDocument/2006/relationships/hyperlink" Target="https://doi.org/10.1016/j.actaastro.2023.02.043" TargetMode="External"/><Relationship Id="rId165" Type="http://schemas.openxmlformats.org/officeDocument/2006/relationships/hyperlink" Target="https://doi.org/10.1016/j.actaastro.2023.05.023" TargetMode="External"/><Relationship Id="rId163" Type="http://schemas.openxmlformats.org/officeDocument/2006/relationships/hyperlink" Target="https://doi.org/10.1016/j.actaastro.2024.04.001" TargetMode="External"/><Relationship Id="rId144" Type="http://schemas.openxmlformats.org/officeDocument/2006/relationships/hyperlink" Target="https://doi.org/10.1016/j.actaastro.2024.09.003" TargetMode="External"/><Relationship Id="rId156" Type="http://schemas.openxmlformats.org/officeDocument/2006/relationships/hyperlink" Target="https://doi.org/10.1016/j.actaastro.2025.01.061" TargetMode="External"/><Relationship Id="rId167" Type="http://schemas.openxmlformats.org/officeDocument/2006/relationships/hyperlink" Target="https://doi.org/10.1016/j.actaastro.2025.07.055" TargetMode="External"/><Relationship Id="rId159" Type="http://schemas.openxmlformats.org/officeDocument/2006/relationships/hyperlink" Target="https://doi.org/10.1016/j.actaastro.2025.08.048" TargetMode="External"/><Relationship Id="rId141" Type="http://schemas.openxmlformats.org/officeDocument/2006/relationships/hyperlink" Target="https://doi.org/10.64861/EIBC5616" TargetMode="External"/><Relationship Id="rId139" Type="http://schemas.openxmlformats.org/officeDocument/2006/relationships/hyperlink" Target="https://doi.org/10.64861/TCOA62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Defense Spending and Counterspace Capability: A Cliometric Test of Whether Budge</dc:title>
  <dc:creator>Mei Acosta (1B-SEC-165)</dc:creator>
  <cp:keywords/>
  <dcterms:created xsi:type="dcterms:W3CDTF">2026-07-02T22:46:36Z</dcterms:created>
  <dcterms:modified xsi:type="dcterms:W3CDTF">2026-07-02T22:46:36Z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