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79.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7" w:name="X3180be6874a05541c1007b03513c1f1f7b5c4d4"/>
    <w:p>
      <w:pPr>
        <w:pStyle w:val="Heading1"/>
      </w:pPr>
      <w:r>
        <w:t xml:space="preserve">Attention Accumulation in Air-Power Doctrine Migration Do Counterspace Concepts Recapitulate Douhet-Style: A Learning-Curve Analysis of Citation Growth by Article Age</w:t>
      </w:r>
    </w:p>
    <w:bookmarkStart w:id="61" w:name="introduction"/>
    <w:p>
      <w:pPr>
        <w:pStyle w:val="Heading2"/>
      </w:pPr>
      <w:r>
        <w:t xml:space="preserve">1. Introduction</w:t>
      </w:r>
    </w:p>
    <w:p>
      <w:pPr>
        <w:pStyle w:val="FirstParagraph"/>
      </w:pPr>
      <w:r>
        <w:t xml:space="preserve">This empirical paper supports Clara Okonkwo (1B-SEC-220) and the dissertation project</w:t>
      </w:r>
      <w:r>
        <w:t xml:space="preserve"> </w:t>
      </w:r>
      <w:r>
        <w:rPr>
          <w:i/>
          <w:iCs/>
        </w:rPr>
        <w:t xml:space="preserve">Air-Power Doctrine Migration: Do Counterspace Concepts Recapitulate Douhet-Style</w:t>
      </w:r>
      <w:r>
        <w:t xml:space="preserve">. The model tests whether citation accumulation is structured by article age inside the retrieved corpus. The analysis uses the local candidate source pack and reports only deterministic workbook results</w:t>
      </w:r>
      <w:r>
        <w:t xml:space="preserve"> </w:t>
      </w:r>
      <w:hyperlink w:anchor="ref-1">
        <m:oMathPara>
          <m:oMathParaPr>
            <m:jc m:val="center"/>
          </m:oMathParaPr>
          <m:oMath>
            <m:r>
              <m:t>1</m:t>
            </m:r>
          </m:oMath>
        </m:oMathPara>
      </w:hyperlink>
      <w:r>
        <w:t xml:space="preserve">,</w:t>
      </w:r>
      <w:r>
        <w:t xml:space="preserve"> </w:t>
      </w:r>
      <w:hyperlink w:anchor="ref-2">
        <m:oMathPara>
          <m:oMathParaPr>
            <m:jc m:val="center"/>
          </m:oMathParaPr>
          <m:oMath>
            <m:r>
              <m:t>2</m:t>
            </m:r>
          </m:oMath>
        </m:oMathPara>
      </w:hyperlink>
      <w:r>
        <w:t xml:space="preserve">,</w:t>
      </w:r>
      <w:r>
        <w:t xml:space="preserve"> </w:t>
      </w:r>
      <w:hyperlink w:anchor="ref-3">
        <m:oMathPara>
          <m:oMathParaPr>
            <m:jc m:val="center"/>
          </m:oMathParaPr>
          <m:oMath>
            <m:r>
              <m:t>3</m:t>
            </m:r>
          </m:oMath>
        </m:oMathPara>
      </w:hyperlink>
      <w:r>
        <w:t xml:space="preserve">.</w:t>
      </w:r>
    </w:p>
    <w:bookmarkEnd w:id="61"/>
    <w:bookmarkStart w:id="62" w:name="theory-and-hypotheses"/>
    <w:p>
      <w:pPr>
        <w:pStyle w:val="Heading2"/>
      </w:pPr>
      <w:r>
        <w:t xml:space="preserve">2. Theory and Hypotheses</w:t>
      </w:r>
    </w:p>
    <w:p>
      <w:pPr>
        <w:pStyle w:val="FirstParagraph"/>
      </w:pPr>
      <w:r>
        <w:t xml:space="preserve">The theoretical claim is intentionally narrow. If the candidate topic has become more visible in the retrieved literature, then source metadata should show structure across time, attention, or venue. If it has not, the model should return weak or unstable associations</w:t>
      </w:r>
      <w:r>
        <w:t xml:space="preserve"> </w:t>
      </w:r>
      <w:hyperlink w:anchor="ref-3">
        <m:oMathPara>
          <m:oMathParaPr>
            <m:jc m:val="center"/>
          </m:oMathParaPr>
          <m:oMath>
            <m:r>
              <m:t>3</m:t>
            </m:r>
          </m:oMath>
        </m:oMathPara>
      </w:hyperlink>
      <w:r>
        <w:t xml:space="preserve">,</w:t>
      </w:r>
      <w:r>
        <w:t xml:space="preserve"> </w:t>
      </w:r>
      <w:hyperlink w:anchor="ref-4">
        <m:oMathPara>
          <m:oMathParaPr>
            <m:jc m:val="center"/>
          </m:oMathParaPr>
          <m:oMath>
            <m:r>
              <m:t>4</m:t>
            </m:r>
          </m:oMath>
        </m:oMathPara>
      </w:hyperlink>
      <w:r>
        <w:t xml:space="preserve">.</w:t>
      </w:r>
    </w:p>
    <w:p>
      <w:pPr>
        <w:pStyle w:val="FirstParagraph"/>
      </w:pPr>
      <w:r>
        <w:t xml:space="preserve">H0: the modeled outcome is unrelated to the specified predictors.</w:t>
      </w:r>
    </w:p>
    <w:p>
      <w:pPr>
        <w:pStyle w:val="BodyText"/>
      </w:pPr>
      <w:r>
        <w:t xml:space="preserve">H1: the modeled outcome is systematically related to the specified predictors.</w:t>
      </w:r>
    </w:p>
    <w:bookmarkEnd w:id="62"/>
    <w:bookmarkStart w:id="63" w:name="data"/>
    <w:p>
      <w:pPr>
        <w:pStyle w:val="Heading2"/>
      </w:pPr>
      <w:r>
        <w:t xml:space="preserve">3. Data</w:t>
      </w:r>
    </w:p>
    <w:p>
      <w:pPr>
        <w:pStyle w:val="FirstParagraph"/>
      </w:pPr>
      <w:r>
        <w:t xml:space="preserve">The estimation file contains 30 retrieved source records. Variables are constructed from local metadata, including publication year, reported citation count, venue family, and deterministic topic-signal fields. Every row preserves a source column so the empirical workbook remains auditable.</w:t>
      </w:r>
    </w:p>
    <w:bookmarkEnd w:id="63"/>
    <w:bookmarkStart w:id="64" w:name="method"/>
    <w:p>
      <w:pPr>
        <w:pStyle w:val="Heading2"/>
      </w:pPr>
      <w:r>
        <w:t xml:space="preserve">4. Method</w:t>
      </w:r>
    </w:p>
    <w:p>
      <w:pPr>
        <w:pStyle w:val="FirstParagraph"/>
      </w:pPr>
      <w:r>
        <w:t xml:space="preserve">The estimator is a log-log learning-curve model with robust HC1 standard errors. The exact fit summary is: N=30, R2=0.011354439411137895, elasticity_b=-0.10722417249462365, progress_ratio_2^b=0.9283725863582539. The exact term summary is: const coef=0.5609544040819456 p=0.026096699687045546; _ln_x coef=-0.10722417249462365 p=0.3193035871587716. These values are interpreted as corpus-screen evidence, not as final causal estimates.</w:t>
      </w:r>
    </w:p>
    <w:bookmarkEnd w:id="64"/>
    <w:bookmarkStart w:id="65" w:name="findings"/>
    <w:p>
      <w:pPr>
        <w:pStyle w:val="Heading2"/>
      </w:pPr>
      <w:r>
        <w:t xml:space="preserve">5. Findings</w:t>
      </w:r>
    </w:p>
    <w:p>
      <w:pPr>
        <w:pStyle w:val="FirstParagraph"/>
      </w:pPr>
      <w:r>
        <w:t xml:space="preserve">The findings are bounded by the estimator output. Where a coefficient is signed and precise, it indicates structure in the retrieved source corpus. Where a coefficient is imprecise, the paper treats the result as evidence against a strong claim. This distinction matters because a noisy source pack should not be forced to carry more policy weight than it can bear</w:t>
      </w:r>
      <w:r>
        <w:t xml:space="preserve"> </w:t>
      </w:r>
      <w:hyperlink w:anchor="ref-2">
        <m:oMathPara>
          <m:oMathParaPr>
            <m:jc m:val="center"/>
          </m:oMathParaPr>
          <m:oMath>
            <m:r>
              <m:t>2</m:t>
            </m:r>
          </m:oMath>
        </m:oMathPara>
      </w:hyperlink>
      <w:r>
        <w:t xml:space="preserve">,</w:t>
      </w:r>
      <w:r>
        <w:t xml:space="preserve"> </w:t>
      </w:r>
      <w:hyperlink w:anchor="ref-5">
        <m:oMathPara>
          <m:oMathParaPr>
            <m:jc m:val="center"/>
          </m:oMathParaPr>
          <m:oMath>
            <m:r>
              <m:t>5</m:t>
            </m:r>
          </m:oMath>
        </m:oMathPara>
      </w:hyperlink>
      <w:r>
        <w:t xml:space="preserve">.</w:t>
      </w:r>
    </w:p>
    <w:bookmarkEnd w:id="65"/>
    <w:bookmarkStart w:id="66" w:name="discussion"/>
    <w:p>
      <w:pPr>
        <w:pStyle w:val="Heading2"/>
      </w:pPr>
      <w:r>
        <w:t xml:space="preserve">6. Discussion</w:t>
      </w:r>
    </w:p>
    <w:p>
      <w:pPr>
        <w:pStyle w:val="FirstParagraph"/>
      </w:pPr>
      <w:r>
        <w:t xml:space="preserve">The paper contributes to the dissertation by keeping the evidentiary chain inspectable. It shows which parts of the candidate topic are visible in metadata and which parts need a more direct document-coding design. The result is a disciplined bridge from source retrieval to dissertation-level interpretation</w:t>
      </w:r>
      <w:r>
        <w:t xml:space="preserve"> </w:t>
      </w:r>
      <w:hyperlink w:anchor="ref-1">
        <m:oMathPara>
          <m:oMathParaPr>
            <m:jc m:val="center"/>
          </m:oMathParaPr>
          <m:oMath>
            <m:r>
              <m:t>1</m:t>
            </m:r>
          </m:oMath>
        </m:oMathPara>
      </w:hyperlink>
      <w:r>
        <w:t xml:space="preserve">,</w:t>
      </w:r>
      <w:r>
        <w:t xml:space="preserve"> </w:t>
      </w:r>
      <w:hyperlink w:anchor="ref-6">
        <m:oMathPara>
          <m:oMathParaPr>
            <m:jc m:val="center"/>
          </m:oMathParaPr>
          <m:oMath>
            <m:r>
              <m:t>6</m:t>
            </m:r>
          </m:oMath>
        </m:oMathPara>
      </w:hyperlink>
      <w:r>
        <w:t xml:space="preserve">.</w:t>
      </w:r>
    </w:p>
    <w:bookmarkEnd w:id="66"/>
    <w:bookmarkStart w:id="77" w:name="references"/>
    <w:p>
      <w:pPr>
        <w:pStyle w:val="Heading2"/>
      </w:pPr>
      <w:r>
        <w:t xml:space="preserve">References</w:t>
      </w:r>
    </w:p>
    <w:p>
      <w:pPr>
        <w:pStyle w:val="FirstParagraph"/>
      </w:pPr>
      <w:bookmarkStart w:id="67" w:name="ref-1"/>
      <w:bookmarkEnd w:id="67"/>
      <w:r>
        <w:t xml:space="preserve">1. Todd Harrison, Center for Strategic and International Studies. International Perspectives on Space Weapons (2020). [AMOS]</w:t>
      </w:r>
      <w:r>
        <w:t xml:space="preserve"> </w:t>
      </w:r>
      <w:bookmarkStart w:id="68" w:name="ref-2"/>
      <w:bookmarkEnd w:id="68"/>
      <w:r>
        <w:t xml:space="preserve">2. Kelly Hand (Headquarters Air Force Space Command), Col Martin France (Headquarters Air Force Space Command). Environmental Space Situation Awareness and Joint Space Effects (2006). [AMOS]</w:t>
      </w:r>
      <w:r>
        <w:t xml:space="preserve"> </w:t>
      </w:r>
      <w:bookmarkStart w:id="69" w:name="ref-3"/>
      <w:bookmarkEnd w:id="69"/>
      <w:r>
        <w:t xml:space="preserve">3. Malcolm Davis, The Australian Strategic Policy Institute. Australia’s Emerging Space Policy – Defense Burden Sharing in Orbit and Space Situational Awareness (2020). [AMOS]</w:t>
      </w:r>
      <w:r>
        <w:t xml:space="preserve"> </w:t>
      </w:r>
      <w:bookmarkStart w:id="70" w:name="ref-4"/>
      <w:bookmarkEnd w:id="70"/>
      <w:r>
        <w:t xml:space="preserve">4. Makena Young, Center for Strategic and International Studies. Space Situational Awareness Capabilities and National Security Among Growing Space Actors – Japan Case Study (2023). doi:</w:t>
      </w:r>
      <w:r>
        <w:t xml:space="preserve"> </w:t>
      </w:r>
      <w:hyperlink r:id="rId71">
        <w:r>
          <w:rPr>
            <w:rStyle w:val="Hyperlink"/>
          </w:rPr>
          <w:t xml:space="preserve">10.64861/TCOA6256</w:t>
        </w:r>
      </w:hyperlink>
      <w:r>
        <w:t xml:space="preserve"> </w:t>
      </w:r>
      <w:bookmarkStart w:id="72" w:name="ref-5"/>
      <w:bookmarkEnd w:id="72"/>
      <w:r>
        <w:t xml:space="preserve">5. Ryotaro Sakamoto, Japan Air Self Defense Force; Nobuhiro Sakamoto, Japan Air Self Defense Force. Test on the New SSA System of JASDF (2021). [AMOS]</w:t>
      </w:r>
      <w:r>
        <w:t xml:space="preserve"> </w:t>
      </w:r>
      <w:bookmarkStart w:id="73" w:name="ref-6"/>
      <w:bookmarkEnd w:id="73"/>
      <w:r>
        <w:t xml:space="preserve">6. Enrique De Alba, EO Solutions; Alexander Cabello, EO Solutions; Garrett Fitzgerald, EO Solutions; Zach Gazak, Space Systems Command A&amp;AS; Justin Fletcher, Space Systems Command A&amp;AS. Toward Integration of Large Language Models for Command and Control in Space Domain Awareness (2025). doi:</w:t>
      </w:r>
      <w:r>
        <w:t xml:space="preserve"> </w:t>
      </w:r>
      <w:hyperlink r:id="rId74">
        <w:r>
          <w:rPr>
            <w:rStyle w:val="Hyperlink"/>
          </w:rPr>
          <w:t xml:space="preserve">10.64861/OWDT6586</w:t>
        </w:r>
      </w:hyperlink>
      <w:r>
        <w:t xml:space="preserve"> </w:t>
      </w:r>
      <w:bookmarkStart w:id="75" w:name="ref-7"/>
      <w:bookmarkEnd w:id="75"/>
      <w:r>
        <w:t xml:space="preserve">7. Jason Moore, Air Force Research Laboratory, Paul Havig, AFRL/RH. Project UNITY: Cross Domain Visualization Collaboration (2015). [AMOS]</w:t>
      </w:r>
      <w:r>
        <w:t xml:space="preserve"> </w:t>
      </w:r>
      <w:bookmarkStart w:id="76" w:name="ref-8"/>
      <w:bookmarkEnd w:id="76"/>
      <w:r>
        <w:t xml:space="preserve">8. Lt Col Thomas H. Freeman, USAF (Launch Test Squadron, SMC/SDTW), Maj Jose Delarosa, USAF (Launch Test Squadron, SMC/SDTW). Small Space Launch: Origins &amp; Challenges (2010). [AMOS]</w:t>
      </w:r>
    </w:p>
    <w:bookmarkEnd w:id="77"/>
    <w:bookmarkStart w:id="78" w:name="specification"/>
    <w:p>
      <w:pPr>
        <w:pStyle w:val="Heading2"/>
      </w:pPr>
      <w:r>
        <w:t xml:space="preserve">Specification</w:t>
      </w:r>
    </w:p>
    <w:p>
      <w:pPr>
        <w:pStyle w:val="FirstParagraph"/>
      </w:pPr>
      <m:oMathPara>
        <m:oMathParaPr>
          <m:jc m:val="center"/>
        </m:oMathParaPr>
        <m:oMath>
          <m:r>
            <m:rPr>
              <m:sty m:val="p"/>
            </m:rPr>
            <m:t>ln</m:t>
          </m:r>
          <m:r>
            <m:rPr>
              <m:sty m:val="p"/>
            </m:rPr>
            <m:t>(</m:t>
          </m:r>
          <m:sSub>
            <m:e>
              <m:r>
                <m:rPr>
                  <m:nor/>
                  <m:sty m:val="p"/>
                </m:rPr>
                <m:t>CitesPlus1</m:t>
              </m:r>
            </m:e>
            <m:sub>
              <m:r>
                <m:t>i</m:t>
              </m:r>
            </m:sub>
          </m:sSub>
          <m:r>
            <m:rPr>
              <m:sty m:val="p"/>
            </m:rPr>
            <m:t>)</m:t>
          </m:r>
          <m:r>
            <m:rPr>
              <m:sty m:val="p"/>
            </m:rPr>
            <m:t>=</m:t>
          </m:r>
          <m:r>
            <m:t>α</m:t>
          </m:r>
          <m:r>
            <m:rPr>
              <m:sty m:val="p"/>
            </m:rPr>
            <m:t>+</m:t>
          </m:r>
          <m:sSub>
            <m:e>
              <m:r>
                <m:t>β</m:t>
              </m:r>
            </m:e>
            <m:sub>
              <m:r>
                <m:t>1</m:t>
              </m:r>
            </m:sub>
          </m:sSub>
          <m:r>
            <m:rPr>
              <m:sty m:val="p"/>
            </m:rPr>
            <m:t>ln</m:t>
          </m:r>
          <m:r>
            <m:rPr>
              <m:sty m:val="p"/>
            </m:rPr>
            <m:t>(</m:t>
          </m:r>
          <m:sSub>
            <m:e>
              <m:r>
                <m:rPr>
                  <m:nor/>
                  <m:sty m:val="p"/>
                </m:rPr>
                <m:t>AgeIndex</m:t>
              </m:r>
            </m:e>
            <m:sub>
              <m:r>
                <m:t>i</m:t>
              </m:r>
            </m:sub>
          </m:sSub>
          <m:r>
            <m:rPr>
              <m:sty m:val="p"/>
            </m:rPr>
            <m:t>)</m:t>
          </m:r>
          <m:r>
            <m:rPr>
              <m:sty m:val="p"/>
            </m:rPr>
            <m:t>+</m:t>
          </m:r>
          <m:sSub>
            <m:e>
              <m:r>
                <m:t>ε</m:t>
              </m:r>
            </m:e>
            <m:sub>
              <m:r>
                <m:t>i</m:t>
              </m:r>
            </m:sub>
          </m:sSub>
        </m:oMath>
      </m:oMathPara>
    </w:p>
    <w:bookmarkEnd w:id="78"/>
    <w:bookmarkStart w:id="82"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0.561</w:t>
            </w:r>
          </w:p>
        </w:tc>
        <w:tc>
          <w:tcPr>
            <w:tcW w:w="0" w:type="auto"/>
          </w:tcPr>
          <w:p>
            <w:pPr>
              <w:spacing w:line="240" w:lineRule="auto" w:before="0" w:after="0"/>
              <w:pStyle w:val="Compact"/>
            </w:pPr>
            <w:r>
              <w:rPr>
                <w:sz w:val="20"/>
                <w:szCs w:val="20"/>
              </w:rPr>
              <w:t xml:space="preserve">0.2521</w:t>
            </w:r>
          </w:p>
        </w:tc>
        <w:tc>
          <w:tcPr>
            <w:tcW w:w="0" w:type="auto"/>
          </w:tcPr>
          <w:p>
            <w:pPr>
              <w:spacing w:line="240" w:lineRule="auto" w:before="0" w:after="0"/>
              <w:pStyle w:val="Compact"/>
            </w:pPr>
            <w:r>
              <w:rPr>
                <w:sz w:val="20"/>
                <w:szCs w:val="20"/>
              </w:rPr>
              <w:t xml:space="preserve">2.2248</w:t>
            </w:r>
          </w:p>
        </w:tc>
        <w:tc>
          <w:tcPr>
            <w:tcW w:w="0" w:type="auto"/>
          </w:tcPr>
          <w:p>
            <w:pPr>
              <w:spacing w:line="240" w:lineRule="auto" w:before="0" w:after="0"/>
              <w:pStyle w:val="Compact"/>
            </w:pPr>
            <w:r>
              <w:rPr>
                <w:sz w:val="20"/>
                <w:szCs w:val="20"/>
              </w:rPr>
              <w:t xml:space="preserve">0.0261</w:t>
            </w:r>
          </w:p>
        </w:tc>
        <w:tc>
          <w:tcPr>
            <w:tcW w:w="0" w:type="auto"/>
          </w:tcPr>
          <w:p>
            <w:pPr>
              <w:spacing w:line="240" w:lineRule="auto" w:before="0" w:after="0"/>
              <w:pStyle w:val="Compact"/>
            </w:pPr>
            <w:r>
              <w:rPr>
                <w:sz w:val="20"/>
                <w:szCs w:val="20"/>
              </w:rPr>
              <w:t xml:space="preserve">[0.0668, 1.0551]</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-0.1072</w:t>
            </w:r>
          </w:p>
        </w:tc>
        <w:tc>
          <w:tcPr>
            <w:tcW w:w="0" w:type="auto"/>
          </w:tcPr>
          <w:p>
            <w:pPr>
              <w:spacing w:line="240" w:lineRule="auto" w:before="0" w:after="0"/>
              <w:pStyle w:val="Compact"/>
            </w:pPr>
            <w:r>
              <w:rPr>
                <w:sz w:val="20"/>
                <w:szCs w:val="20"/>
              </w:rPr>
              <w:t xml:space="preserve">0.1077</w:t>
            </w:r>
          </w:p>
        </w:tc>
        <w:tc>
          <w:tcPr>
            <w:tcW w:w="0" w:type="auto"/>
          </w:tcPr>
          <w:p>
            <w:pPr>
              <w:spacing w:line="240" w:lineRule="auto" w:before="0" w:after="0"/>
              <w:pStyle w:val="Compact"/>
            </w:pPr>
            <w:r>
              <w:rPr>
                <w:sz w:val="20"/>
                <w:szCs w:val="20"/>
              </w:rPr>
              <w:t xml:space="preserve">-0.9959</w:t>
            </w:r>
          </w:p>
        </w:tc>
        <w:tc>
          <w:tcPr>
            <w:tcW w:w="0" w:type="auto"/>
          </w:tcPr>
          <w:p>
            <w:pPr>
              <w:spacing w:line="240" w:lineRule="auto" w:before="0" w:after="0"/>
              <w:pStyle w:val="Compact"/>
            </w:pPr>
            <w:r>
              <w:rPr>
                <w:sz w:val="20"/>
                <w:szCs w:val="20"/>
              </w:rPr>
              <w:t xml:space="preserve">0.3193</w:t>
            </w:r>
          </w:p>
        </w:tc>
        <w:tc>
          <w:tcPr>
            <w:tcW w:w="0" w:type="auto"/>
          </w:tcPr>
          <w:p>
            <w:pPr>
              <w:spacing w:line="240" w:lineRule="auto" w:before="0" w:after="0"/>
              <w:pStyle w:val="Compact"/>
            </w:pPr>
            <w:r>
              <w:rPr>
                <w:sz w:val="20"/>
                <w:szCs w:val="20"/>
              </w:rPr>
              <w:t xml:space="preserve">[-0.3182, 0.1038]</w:t>
            </w:r>
          </w:p>
        </w:tc>
      </w:tr>
    </w:tbl>
    <w:p>
      <w:pPr>
        <w:pStyle w:val="BodyText"/>
      </w:pPr>
      <w:r>
        <w:t xml:space="preserve">Fit: N = 30 R2 = 0.0114 elasticity_b = -0.1072 progress_ratio_2^b = 0.9284</w:t>
      </w:r>
    </w:p>
    <w:p>
      <w:pPr>
        <w:pStyle w:val="CaptionedFigure"/>
      </w:pPr>
      <w:r>
        <w:drawing>
          <wp:inline>
            <wp:extent cx="5669280" cy="3657600"/>
            <wp:effectExtent b="0" l="0" r="0" t="0"/>
            <wp:docPr descr="Figure 1. Citation accumulation against article age in the retrieved topic literature." title="" id="80" name="Picture"/>
            <a:graphic>
              <a:graphicData uri="http://schemas.openxmlformats.org/drawingml/2006/picture">
                <pic:pic>
                  <pic:nvPicPr>
                    <pic:cNvPr descr="D:\Claude_Code\brain\collegium\candidates\dissertations\SECURITY_DETERRENCE_12\research_papers\p2\paper_fig1.png" id="81" name="Picture"/>
                    <pic:cNvPicPr>
                      <a:picLocks noChangeArrowheads="1" noChangeAspect="1"/>
                    </pic:cNvPicPr>
                  </pic:nvPicPr>
                  <pic:blipFill>
                    <a:blip r:embed="rId79"/>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Citation accumulation against article age in the retrieved topic literature.</w:t>
      </w:r>
    </w:p>
    <w:bookmarkEnd w:id="82"/>
    <w:bookmarkStart w:id="86"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3"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https://amostech.space/year/2020/international-perspectives-on-space-weapons/</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2006</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https://amostech.space/year/2006/environmental-space-situation-awareness-and-joint-space-effects/</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https://amostech.space/year/2020/australias-emerging-space-policy-defense-burden-sharing-in-orbit-and-space-situational-awareness/</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10.64861/TCOA6256</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https://amostech.space/year/2021/test-on-the-new-ssa-system-of-jasdf/</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10.64861/OWDT6586</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https://amostech.space/year/2015/project-unity-cross-domain-visualization-collaboration/</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https://amostech.space/year/2010/small-space-launch-origins-challenges/</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2009</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https://amostech.space/year/2009/operationally-responsive-space-launch-for-space-situational-awareness-missions/</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https://amostech.space/year/2022/near-rectilinear-halo-orbit-surveillance-using-cislunar-periodic-orbits/</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10.64861/GDIM2412</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https://amostech.space/year/2015/deploying-the-nasa-meter-class-autonomous-telescope-mcat-on-ascension-island/</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10.1016/j.actaastro.2026.02.013</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10.1016/j.actaastro.2024.09.042</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10.1016/j.actaastro.2023.02.043</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10.1016/j.actaastro.2023.04.010</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10.1016/j.actaastro.2025.01.061</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10.1016/j.actaastro.2024.09.003</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10.1016/j.actaastro.2026.05.049</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10.1016/j.actaastro.2026.04.003</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10.1016/j.actaastro.2025.08.042</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10.1016/j.actaastro.2025.10.046</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10.1016/j.actaastro.2021.08.032</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10.1016/j.actaastro.2022.05.053</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Architectural Socio-Technological Transformative Change of Space-Use Norms</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A 2021 Johns Hopkins SAIS doctoral thesis by Nathaniel Dailey proposing an International Space Reference Architecture (ISRA) as a socio-technological transformative mechanism to resolve contemporary space governance failures – orbital debris, policy fragmentation, and space traffic management – by coupling enterprise architecture methodology with international relations constructivist theory, blockchain-enabled information sharing, and norms entrepreneurship.</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Stilwell et al. (IAC 2024) propose a</w:t>
            </w:r>
            <w:r>
              <w:rPr>
                <w:sz w:val="20"/>
                <w:szCs w:val="20"/>
              </w:rPr>
              <w:t xml:space="preserve"> </w:t>
            </w:r>
            <w:r>
              <w:rPr>
                <w:sz w:val="20"/>
                <w:szCs w:val="20"/>
              </w:rPr>
              <w:t xml:space="preserve">“LEO Class”</w:t>
            </w:r>
            <w:r>
              <w:rPr>
                <w:sz w:val="20"/>
                <w:szCs w:val="20"/>
              </w:rPr>
              <w:t xml:space="preserve"> </w:t>
            </w:r>
            <w:r>
              <w:rPr>
                <w:sz w:val="20"/>
                <w:szCs w:val="20"/>
              </w:rPr>
              <w:t xml:space="preserve">system modeled on ICAO aviation airspace classification, arguing that orbital carrying capacity is a safety metric best managed through altitude-band-specific entry requirements tied to maneuverability, SSA quality, and collision risk tolerance rather than a single satellite count threshold.</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Roadmap: Australia Economic-Technological Renaissance in Space</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OCEA/MITRE study critically evaluates major space economy forecasts, finds them systematically overstated due to CAGR methodology, double counting, and overreliance on nascent sectors; AR(1) time-series modeling projects a 2040 global space economy of $453-$511 billion, far below the widely cited $1 trillion figure, with $1 trillion not reachable before 2075.</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SFA Space Economy and Integrated Deterrence</w:t>
            </w:r>
          </w:p>
        </w:tc>
      </w:tr>
    </w:tbl>
    <w:bookmarkEnd w:id="83"/>
    <w:bookmarkStart w:id="84"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Citation count plus one</w:t>
            </w:r>
          </w:p>
        </w:tc>
        <w:tc>
          <w:tcPr>
            <w:tcW w:w="0" w:type="auto"/>
          </w:tcPr>
          <w:p>
            <w:pPr>
              <w:spacing w:line="240" w:lineRule="auto" w:before="0" w:after="0"/>
              <w:pStyle w:val="Compact"/>
            </w:pPr>
            <w:r>
              <w:rPr>
                <w:sz w:val="20"/>
                <w:szCs w:val="20"/>
              </w:rPr>
              <w:t xml:space="preserve">Computed as the reported citation count from the local brain index plus one so the log transformation is defined for uncited records</w:t>
            </w:r>
          </w:p>
        </w:tc>
      </w:tr>
      <w:tr>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Document age index</w:t>
            </w:r>
          </w:p>
        </w:tc>
        <w:tc>
          <w:tcPr>
            <w:tcW w:w="0" w:type="auto"/>
          </w:tcPr>
          <w:p>
            <w:pPr>
              <w:spacing w:line="240" w:lineRule="auto" w:before="0" w:after="0"/>
              <w:pStyle w:val="Compact"/>
            </w:pPr>
            <w:r>
              <w:rPr>
                <w:sz w:val="20"/>
                <w:szCs w:val="20"/>
              </w:rPr>
              <w:t xml:space="preserve">Computed as 2026 minus publication year plus one</w:t>
            </w:r>
          </w:p>
        </w:tc>
      </w:tr>
    </w:tbl>
    <w:bookmarkEnd w:id="84"/>
    <w:bookmarkStart w:id="85"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0.561</w:t>
            </w:r>
          </w:p>
        </w:tc>
        <w:tc>
          <w:tcPr>
            <w:tcW w:w="0" w:type="auto"/>
          </w:tcPr>
          <w:p>
            <w:pPr>
              <w:spacing w:line="240" w:lineRule="auto" w:before="0" w:after="0"/>
              <w:pStyle w:val="Compact"/>
            </w:pPr>
            <w:r>
              <w:rPr>
                <w:sz w:val="20"/>
                <w:szCs w:val="20"/>
              </w:rPr>
              <w:t xml:space="preserve">0.2521</w:t>
            </w:r>
          </w:p>
        </w:tc>
        <w:tc>
          <w:tcPr>
            <w:tcW w:w="0" w:type="auto"/>
          </w:tcPr>
          <w:p>
            <w:pPr>
              <w:spacing w:line="240" w:lineRule="auto" w:before="0" w:after="0"/>
              <w:pStyle w:val="Compact"/>
            </w:pPr>
            <w:r>
              <w:rPr>
                <w:sz w:val="20"/>
                <w:szCs w:val="20"/>
              </w:rPr>
              <w:t xml:space="preserve">2.2248</w:t>
            </w:r>
          </w:p>
        </w:tc>
        <w:tc>
          <w:tcPr>
            <w:tcW w:w="0" w:type="auto"/>
          </w:tcPr>
          <w:p>
            <w:pPr>
              <w:spacing w:line="240" w:lineRule="auto" w:before="0" w:after="0"/>
              <w:pStyle w:val="Compact"/>
            </w:pPr>
            <w:r>
              <w:rPr>
                <w:sz w:val="20"/>
                <w:szCs w:val="20"/>
              </w:rPr>
              <w:t xml:space="preserve">0.0261</w:t>
            </w:r>
          </w:p>
        </w:tc>
        <w:tc>
          <w:tcPr>
            <w:tcW w:w="0" w:type="auto"/>
          </w:tcPr>
          <w:p>
            <w:pPr>
              <w:spacing w:line="240" w:lineRule="auto" w:before="0" w:after="0"/>
              <w:pStyle w:val="Compact"/>
            </w:pPr>
            <w:r>
              <w:rPr>
                <w:sz w:val="20"/>
                <w:szCs w:val="20"/>
              </w:rPr>
              <w:t xml:space="preserve">[0.0668, 1.0551]</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-0.1072</w:t>
            </w:r>
          </w:p>
        </w:tc>
        <w:tc>
          <w:tcPr>
            <w:tcW w:w="0" w:type="auto"/>
          </w:tcPr>
          <w:p>
            <w:pPr>
              <w:spacing w:line="240" w:lineRule="auto" w:before="0" w:after="0"/>
              <w:pStyle w:val="Compact"/>
            </w:pPr>
            <w:r>
              <w:rPr>
                <w:sz w:val="20"/>
                <w:szCs w:val="20"/>
              </w:rPr>
              <w:t xml:space="preserve">0.1077</w:t>
            </w:r>
          </w:p>
        </w:tc>
        <w:tc>
          <w:tcPr>
            <w:tcW w:w="0" w:type="auto"/>
          </w:tcPr>
          <w:p>
            <w:pPr>
              <w:spacing w:line="240" w:lineRule="auto" w:before="0" w:after="0"/>
              <w:pStyle w:val="Compact"/>
            </w:pPr>
            <w:r>
              <w:rPr>
                <w:sz w:val="20"/>
                <w:szCs w:val="20"/>
              </w:rPr>
              <w:t xml:space="preserve">-0.9959</w:t>
            </w:r>
          </w:p>
        </w:tc>
        <w:tc>
          <w:tcPr>
            <w:tcW w:w="0" w:type="auto"/>
          </w:tcPr>
          <w:p>
            <w:pPr>
              <w:spacing w:line="240" w:lineRule="auto" w:before="0" w:after="0"/>
              <w:pStyle w:val="Compact"/>
            </w:pPr>
            <w:r>
              <w:rPr>
                <w:sz w:val="20"/>
                <w:szCs w:val="20"/>
              </w:rPr>
              <w:t xml:space="preserve">0.3193</w:t>
            </w:r>
          </w:p>
        </w:tc>
        <w:tc>
          <w:tcPr>
            <w:tcW w:w="0" w:type="auto"/>
          </w:tcPr>
          <w:p>
            <w:pPr>
              <w:spacing w:line="240" w:lineRule="auto" w:before="0" w:after="0"/>
              <w:pStyle w:val="Compact"/>
            </w:pPr>
            <w:r>
              <w:rPr>
                <w:sz w:val="20"/>
                <w:szCs w:val="20"/>
              </w:rPr>
              <w:t xml:space="preserve">[-0.3182, 0.1038]</w:t>
            </w:r>
          </w:p>
        </w:tc>
      </w:tr>
    </w:tbl>
    <w:p>
      <w:pPr>
        <w:pStyle w:val="BodyText"/>
      </w:pPr>
      <w:r>
        <w:t xml:space="preserve">Fit: N = 30 R2 = 0.0114 elasticity_b = -0.1072 progress_ratio_2^b = 0.9284</w:t>
      </w:r>
    </w:p>
    <w:bookmarkEnd w:id="85"/>
    <w:bookmarkEnd w:id="86"/>
    <w:bookmarkEnd w:id="87"/>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79" Target="media/rId79.png" /><Relationship Type="http://schemas.openxmlformats.org/officeDocument/2006/relationships/hyperlink" Id="rId74" Target="https://doi.org/10.64861/OWDT6586" TargetMode="External" /><Relationship Type="http://schemas.openxmlformats.org/officeDocument/2006/relationships/hyperlink" Id="rId71" Target="https://doi.org/10.64861/TCOA6256" TargetMode="External" /></Relationships>
</file>

<file path=word/_rels/footnotes.xml.rels><?xml version="1.0" encoding="UTF-8"?><Relationships xmlns="http://schemas.openxmlformats.org/package/2006/relationships"><Relationship Type="http://schemas.openxmlformats.org/officeDocument/2006/relationships/hyperlink" Id="rId74" Target="https://doi.org/10.64861/OWDT6586" TargetMode="External" /><Relationship Type="http://schemas.openxmlformats.org/officeDocument/2006/relationships/hyperlink" Id="rId71" Target="https://doi.org/10.64861/TCOA6256"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2026-06-29T09:43:06Z</dcterms:created>
  <dcterms:modified xsi:type="dcterms:W3CDTF">2026-06-29T09:43:06Z</dcterms:modified>
</cp:coreProperties>
</file>

<file path=docProps/custom.xml><?xml version="1.0" encoding="utf-8"?>
<Properties xmlns="http://schemas.openxmlformats.org/officeDocument/2006/custom-properties" xmlns:vt="http://schemas.openxmlformats.org/officeDocument/2006/docPropsVTypes"/>
</file>