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7d77aea7988d4127adc020b1adac8c67173f91f"/>
    <w:p>
      <w:pPr>
        <w:pStyle w:val="Heading1"/>
      </w:pPr>
      <w:r>
        <w:t xml:space="preserve">Signal Intensity in Air-Power Doctrine Migration Do Counterspace Concepts Recapitulate Douhet-Style: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Clara Okonkwo (1B-SEC-220) and the dissertation project</w:t>
      </w:r>
      <w:r>
        <w:t xml:space="preserve"> </w:t>
      </w:r>
      <w:r>
        <w:rPr>
          <w:i/>
          <w:iCs/>
        </w:rPr>
        <w:t xml:space="preserve">Air-Power Doctrine Migration: Do Counterspace Concepts Recapitulate Douhet-Style</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R2=0.19007222019891268, R2_adj=0.09661901483724877, F=2.8203796821621374, F_p=0.058582582609412424. The exact term summary is: const coef=5.843690837010619 p=3.455254980633593e-06; recency_index coef=0.10068960763976577 p=0.19806207138704346; cites_num coef=0.030352551032910714 p=0.7250835070147555; venue_score coef=-1.7992981519850932 p=0.004679546071799654.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Todd Harrison, Center for Strategic and International Studies. International Perspectives on Space Weapons (2020). [AMOS]</w:t>
      </w:r>
      <w:r>
        <w:t xml:space="preserve"> </w:t>
      </w:r>
      <w:bookmarkStart w:id="68" w:name="ref-2"/>
      <w:bookmarkEnd w:id="68"/>
      <w:r>
        <w:t xml:space="preserve">2. Kelly Hand (Headquarters Air Force Space Command), Col Martin France (Headquarters Air Force Space Command). Environmental Space Situation Awareness and Joint Space Effects (2006). [AMOS]</w:t>
      </w:r>
      <w:r>
        <w:t xml:space="preserve"> </w:t>
      </w:r>
      <w:bookmarkStart w:id="69" w:name="ref-3"/>
      <w:bookmarkEnd w:id="69"/>
      <w:r>
        <w:t xml:space="preserve">3. Malcolm Davis, The Australian Strategic Policy Institute. Australia’s Emerging Space Policy – Defense Burden Sharing in Orbit and Space Situational Awareness (2020). [AMOS]</w:t>
      </w:r>
      <w:r>
        <w:t xml:space="preserve"> </w:t>
      </w:r>
      <w:bookmarkStart w:id="70" w:name="ref-4"/>
      <w:bookmarkEnd w:id="70"/>
      <w:r>
        <w:t xml:space="preserve">4. Makena Young, Center for Strategic and International Studies. Space Situational Awareness Capabilities and National Security Among Growing Space Actors – Japan Case Study (2023). doi:</w:t>
      </w:r>
      <w:r>
        <w:t xml:space="preserve"> </w:t>
      </w:r>
      <w:hyperlink r:id="rId71">
        <w:r>
          <w:rPr>
            <w:rStyle w:val="Hyperlink"/>
          </w:rPr>
          <w:t xml:space="preserve">10.64861/TCOA6256</w:t>
        </w:r>
      </w:hyperlink>
      <w:r>
        <w:t xml:space="preserve"> </w:t>
      </w:r>
      <w:bookmarkStart w:id="72" w:name="ref-5"/>
      <w:bookmarkEnd w:id="72"/>
      <w:r>
        <w:t xml:space="preserve">5. Ryotaro Sakamoto, Japan Air Self Defense Force; Nobuhiro Sakamoto, Japan Air Self Defense Force. Test on the New SSA System of JASDF (2021). [AMOS]</w:t>
      </w:r>
      <w:r>
        <w:t xml:space="preserve"> </w:t>
      </w:r>
      <w:bookmarkStart w:id="73" w:name="ref-6"/>
      <w:bookmarkEnd w:id="73"/>
      <w:r>
        <w:t xml:space="preserve">6. Enrique De Alba, EO Solutions; Alexander Cabello, EO Solutions; Garrett Fitzgerald, EO Solutions; Zach Gazak, Space Systems Command A&amp;AS; Justin Fletcher, Space Systems Command A&amp;AS. Toward Integration of Large Language Models for Command and Control in Space Domain Awareness (2025). doi:</w:t>
      </w:r>
      <w:r>
        <w:t xml:space="preserve"> </w:t>
      </w:r>
      <w:hyperlink r:id="rId74">
        <w:r>
          <w:rPr>
            <w:rStyle w:val="Hyperlink"/>
          </w:rPr>
          <w:t xml:space="preserve">10.64861/OWDT6586</w:t>
        </w:r>
      </w:hyperlink>
      <w:r>
        <w:t xml:space="preserve"> </w:t>
      </w:r>
      <w:bookmarkStart w:id="75" w:name="ref-7"/>
      <w:bookmarkEnd w:id="75"/>
      <w:r>
        <w:t xml:space="preserve">7. Jason Moore, Air Force Research Laboratory, Paul Havig, AFRL/RH. Project UNITY: Cross Domain Visualization Collaboration (2015). [AMOS]</w:t>
      </w:r>
      <w:r>
        <w:t xml:space="preserve"> </w:t>
      </w:r>
      <w:bookmarkStart w:id="76" w:name="ref-8"/>
      <w:bookmarkEnd w:id="76"/>
      <w:r>
        <w:t xml:space="preserve">8. Lt Col Thomas H. Freeman, USAF (Launch Test Squadron, SMC/SDTW), Maj Jose Delarosa, USAF (Launch Test Squadron, SMC/SDTW). Small Space Launch: Origins &amp; Challenges (2010). [AMOS]</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5.8437</w:t>
            </w:r>
          </w:p>
        </w:tc>
        <w:tc>
          <w:tcPr>
            <w:tcW w:w="0" w:type="auto"/>
          </w:tcPr>
          <w:p>
            <w:pPr>
              <w:spacing w:line="240" w:lineRule="auto" w:before="0" w:after="0"/>
              <w:pStyle w:val="Compact"/>
            </w:pPr>
            <w:r>
              <w:rPr>
                <w:sz w:val="20"/>
                <w:szCs w:val="20"/>
              </w:rPr>
              <w:t xml:space="preserve">1.259</w:t>
            </w:r>
          </w:p>
        </w:tc>
        <w:tc>
          <w:tcPr>
            <w:tcW w:w="0" w:type="auto"/>
          </w:tcPr>
          <w:p>
            <w:pPr>
              <w:spacing w:line="240" w:lineRule="auto" w:before="0" w:after="0"/>
              <w:pStyle w:val="Compact"/>
            </w:pPr>
            <w:r>
              <w:rPr>
                <w:sz w:val="20"/>
                <w:szCs w:val="20"/>
              </w:rPr>
              <w:t xml:space="preserve">4.6417</w:t>
            </w:r>
          </w:p>
        </w:tc>
        <w:tc>
          <w:tcPr>
            <w:tcW w:w="0" w:type="auto"/>
          </w:tcPr>
          <w:p>
            <w:pPr>
              <w:spacing w:line="240" w:lineRule="auto" w:before="0" w:after="0"/>
              <w:pStyle w:val="Compact"/>
            </w:pPr>
            <w:r>
              <w:rPr>
                <w:sz w:val="20"/>
                <w:szCs w:val="20"/>
              </w:rPr>
              <w:t xml:space="preserve">3.455e-06</w:t>
            </w:r>
          </w:p>
        </w:tc>
        <w:tc>
          <w:tcPr>
            <w:tcW w:w="0" w:type="auto"/>
          </w:tcPr>
          <w:p>
            <w:pPr>
              <w:spacing w:line="240" w:lineRule="auto" w:before="0" w:after="0"/>
              <w:pStyle w:val="Compact"/>
            </w:pPr>
            <w:r>
              <w:rPr>
                <w:sz w:val="20"/>
                <w:szCs w:val="20"/>
              </w:rPr>
              <w:t xml:space="preserve">[3.3762, 8.3112]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0.1007</w:t>
            </w:r>
          </w:p>
        </w:tc>
        <w:tc>
          <w:tcPr>
            <w:tcW w:w="0" w:type="auto"/>
          </w:tcPr>
          <w:p>
            <w:pPr>
              <w:spacing w:line="240" w:lineRule="auto" w:before="0" w:after="0"/>
              <w:pStyle w:val="Compact"/>
            </w:pPr>
            <w:r>
              <w:rPr>
                <w:sz w:val="20"/>
                <w:szCs w:val="20"/>
              </w:rPr>
              <w:t xml:space="preserve">0.0782</w:t>
            </w:r>
          </w:p>
        </w:tc>
        <w:tc>
          <w:tcPr>
            <w:tcW w:w="0" w:type="auto"/>
          </w:tcPr>
          <w:p>
            <w:pPr>
              <w:spacing w:line="240" w:lineRule="auto" w:before="0" w:after="0"/>
              <w:pStyle w:val="Compact"/>
            </w:pPr>
            <w:r>
              <w:rPr>
                <w:sz w:val="20"/>
                <w:szCs w:val="20"/>
              </w:rPr>
              <w:t xml:space="preserve">1.2871</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[-0.0526, 0.254]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0.0304</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0.3517</w:t>
            </w:r>
          </w:p>
        </w:tc>
        <w:tc>
          <w:tcPr>
            <w:tcW w:w="0" w:type="auto"/>
          </w:tcPr>
          <w:p>
            <w:pPr>
              <w:spacing w:line="240" w:lineRule="auto" w:before="0" w:after="0"/>
              <w:pStyle w:val="Compact"/>
            </w:pPr>
            <w:r>
              <w:rPr>
                <w:sz w:val="20"/>
                <w:szCs w:val="20"/>
              </w:rPr>
              <w:t xml:space="preserve">0.7251</w:t>
            </w:r>
          </w:p>
        </w:tc>
        <w:tc>
          <w:tcPr>
            <w:tcW w:w="0" w:type="auto"/>
          </w:tcPr>
          <w:p>
            <w:pPr>
              <w:spacing w:line="240" w:lineRule="auto" w:before="0" w:after="0"/>
              <w:pStyle w:val="Compact"/>
            </w:pPr>
            <w:r>
              <w:rPr>
                <w:sz w:val="20"/>
                <w:szCs w:val="20"/>
              </w:rPr>
              <w:t xml:space="preserve">[-0.1388, 0.1995]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-1.7993</w:t>
            </w:r>
          </w:p>
        </w:tc>
        <w:tc>
          <w:tcPr>
            <w:tcW w:w="0" w:type="auto"/>
          </w:tcPr>
          <w:p>
            <w:pPr>
              <w:spacing w:line="240" w:lineRule="auto" w:before="0" w:after="0"/>
              <w:pStyle w:val="Compact"/>
            </w:pPr>
            <w:r>
              <w:rPr>
                <w:sz w:val="20"/>
                <w:szCs w:val="20"/>
              </w:rPr>
              <w:t xml:space="preserve">0.6362</w:t>
            </w:r>
          </w:p>
        </w:tc>
        <w:tc>
          <w:tcPr>
            <w:tcW w:w="0" w:type="auto"/>
          </w:tcPr>
          <w:p>
            <w:pPr>
              <w:spacing w:line="240" w:lineRule="auto" w:before="0" w:after="0"/>
              <w:pStyle w:val="Compact"/>
            </w:pPr>
            <w:r>
              <w:rPr>
                <w:sz w:val="20"/>
                <w:szCs w:val="20"/>
              </w:rPr>
              <w:t xml:space="preserve">-2.8283</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[-3.0462, -0.5524]</w:t>
            </w:r>
          </w:p>
        </w:tc>
      </w:tr>
    </w:tbl>
    <w:p>
      <w:pPr>
        <w:pStyle w:val="BodyText"/>
      </w:pPr>
      <w:r>
        <w:t xml:space="preserve">Fit: N = 30 R2 = 0.1901 R2_adj = 0.0966 F = 2.8204 F_p = 0.0586</w:t>
      </w:r>
    </w:p>
    <w:p>
      <w:pPr>
        <w:pStyle w:val="CaptionedFigure"/>
      </w:pPr>
      <w:r>
        <w:drawing>
          <wp:inline>
            <wp:extent cx="5669280" cy="3657600"/>
            <wp:effectExtent b="0" l="0" r="0" t="0"/>
            <wp:docPr descr="Figure 1. Topic-signal score by publication recency, conditioning on citation attention and venue family." title="" id="80" name="Picture"/>
            <a:graphic>
              <a:graphicData uri="http://schemas.openxmlformats.org/drawingml/2006/picture">
                <pic:pic>
                  <pic:nvPicPr>
                    <pic:cNvPr descr="D:\Claude_Code\brain\collegium\candidates\dissertations\SECURITY_DETERRENCE_12\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https://amostech.space/year/2006/environmental-space-situation-awareness-and-joint-space-effects/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10.64861/TCOA6256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https://amostech.space/year/2021/test-on-the-new-ssa-system-of-jasdf/</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https://amostech.space/year/2015/project-unity-cross-domain-visualization-collaboration/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https://amostech.space/year/2010/small-space-launch-origins-challenges/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https://amostech.space/year/2009/operationally-responsive-space-launch-for-space-situational-awareness-missions/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https://amostech.space/year/2015/deploying-the-nasa-meter-class-autonomous-telescope-mcat-on-ascension-island/</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10.1016/j.actaastro.2024.09.042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10.1016/j.actaastro.2023.04.010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10.1016/j.actaastro.2026.05.049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10.1016/j.actaastro.2026.04.003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10.1016/j.actaastro.2021.08.032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10.1016/j.actaastro.2022.05.053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5.8437</w:t>
            </w:r>
          </w:p>
        </w:tc>
        <w:tc>
          <w:tcPr>
            <w:tcW w:w="0" w:type="auto"/>
          </w:tcPr>
          <w:p>
            <w:pPr>
              <w:spacing w:line="240" w:lineRule="auto" w:before="0" w:after="0"/>
              <w:pStyle w:val="Compact"/>
            </w:pPr>
            <w:r>
              <w:rPr>
                <w:sz w:val="20"/>
                <w:szCs w:val="20"/>
              </w:rPr>
              <w:t xml:space="preserve">1.259</w:t>
            </w:r>
          </w:p>
        </w:tc>
        <w:tc>
          <w:tcPr>
            <w:tcW w:w="0" w:type="auto"/>
          </w:tcPr>
          <w:p>
            <w:pPr>
              <w:spacing w:line="240" w:lineRule="auto" w:before="0" w:after="0"/>
              <w:pStyle w:val="Compact"/>
            </w:pPr>
            <w:r>
              <w:rPr>
                <w:sz w:val="20"/>
                <w:szCs w:val="20"/>
              </w:rPr>
              <w:t xml:space="preserve">4.6417</w:t>
            </w:r>
          </w:p>
        </w:tc>
        <w:tc>
          <w:tcPr>
            <w:tcW w:w="0" w:type="auto"/>
          </w:tcPr>
          <w:p>
            <w:pPr>
              <w:spacing w:line="240" w:lineRule="auto" w:before="0" w:after="0"/>
              <w:pStyle w:val="Compact"/>
            </w:pPr>
            <w:r>
              <w:rPr>
                <w:sz w:val="20"/>
                <w:szCs w:val="20"/>
              </w:rPr>
              <w:t xml:space="preserve">3.455e-06</w:t>
            </w:r>
          </w:p>
        </w:tc>
        <w:tc>
          <w:tcPr>
            <w:tcW w:w="0" w:type="auto"/>
          </w:tcPr>
          <w:p>
            <w:pPr>
              <w:spacing w:line="240" w:lineRule="auto" w:before="0" w:after="0"/>
              <w:pStyle w:val="Compact"/>
            </w:pPr>
            <w:r>
              <w:rPr>
                <w:sz w:val="20"/>
                <w:szCs w:val="20"/>
              </w:rPr>
              <w:t xml:space="preserve">[3.3762, 8.3112]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0.1007</w:t>
            </w:r>
          </w:p>
        </w:tc>
        <w:tc>
          <w:tcPr>
            <w:tcW w:w="0" w:type="auto"/>
          </w:tcPr>
          <w:p>
            <w:pPr>
              <w:spacing w:line="240" w:lineRule="auto" w:before="0" w:after="0"/>
              <w:pStyle w:val="Compact"/>
            </w:pPr>
            <w:r>
              <w:rPr>
                <w:sz w:val="20"/>
                <w:szCs w:val="20"/>
              </w:rPr>
              <w:t xml:space="preserve">0.0782</w:t>
            </w:r>
          </w:p>
        </w:tc>
        <w:tc>
          <w:tcPr>
            <w:tcW w:w="0" w:type="auto"/>
          </w:tcPr>
          <w:p>
            <w:pPr>
              <w:spacing w:line="240" w:lineRule="auto" w:before="0" w:after="0"/>
              <w:pStyle w:val="Compact"/>
            </w:pPr>
            <w:r>
              <w:rPr>
                <w:sz w:val="20"/>
                <w:szCs w:val="20"/>
              </w:rPr>
              <w:t xml:space="preserve">1.2871</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[-0.0526, 0.254]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0.0304</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0.3517</w:t>
            </w:r>
          </w:p>
        </w:tc>
        <w:tc>
          <w:tcPr>
            <w:tcW w:w="0" w:type="auto"/>
          </w:tcPr>
          <w:p>
            <w:pPr>
              <w:spacing w:line="240" w:lineRule="auto" w:before="0" w:after="0"/>
              <w:pStyle w:val="Compact"/>
            </w:pPr>
            <w:r>
              <w:rPr>
                <w:sz w:val="20"/>
                <w:szCs w:val="20"/>
              </w:rPr>
              <w:t xml:space="preserve">0.7251</w:t>
            </w:r>
          </w:p>
        </w:tc>
        <w:tc>
          <w:tcPr>
            <w:tcW w:w="0" w:type="auto"/>
          </w:tcPr>
          <w:p>
            <w:pPr>
              <w:spacing w:line="240" w:lineRule="auto" w:before="0" w:after="0"/>
              <w:pStyle w:val="Compact"/>
            </w:pPr>
            <w:r>
              <w:rPr>
                <w:sz w:val="20"/>
                <w:szCs w:val="20"/>
              </w:rPr>
              <w:t xml:space="preserve">[-0.1388, 0.1995]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-1.7993</w:t>
            </w:r>
          </w:p>
        </w:tc>
        <w:tc>
          <w:tcPr>
            <w:tcW w:w="0" w:type="auto"/>
          </w:tcPr>
          <w:p>
            <w:pPr>
              <w:spacing w:line="240" w:lineRule="auto" w:before="0" w:after="0"/>
              <w:pStyle w:val="Compact"/>
            </w:pPr>
            <w:r>
              <w:rPr>
                <w:sz w:val="20"/>
                <w:szCs w:val="20"/>
              </w:rPr>
              <w:t xml:space="preserve">0.6362</w:t>
            </w:r>
          </w:p>
        </w:tc>
        <w:tc>
          <w:tcPr>
            <w:tcW w:w="0" w:type="auto"/>
          </w:tcPr>
          <w:p>
            <w:pPr>
              <w:spacing w:line="240" w:lineRule="auto" w:before="0" w:after="0"/>
              <w:pStyle w:val="Compact"/>
            </w:pPr>
            <w:r>
              <w:rPr>
                <w:sz w:val="20"/>
                <w:szCs w:val="20"/>
              </w:rPr>
              <w:t xml:space="preserve">-2.8283</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[-3.0462, -0.5524]</w:t>
            </w:r>
          </w:p>
        </w:tc>
      </w:tr>
    </w:tbl>
    <w:p>
      <w:pPr>
        <w:pStyle w:val="BodyText"/>
      </w:pPr>
      <w:r>
        <w:t xml:space="preserve">Fit: N = 30 R2 = 0.1901 R2_adj = 0.0966 F = 2.8204 F_p = 0.0586</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4" Target="https://doi.org/10.64861/OWDT6586" TargetMode="External" /><Relationship Type="http://schemas.openxmlformats.org/officeDocument/2006/relationships/hyperlink" Id="rId71" Target="https://doi.org/10.64861/TCOA6256"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OWDT6586" TargetMode="External" /><Relationship Type="http://schemas.openxmlformats.org/officeDocument/2006/relationships/hyperlink" Id="rId71" Target="https://doi.org/10.64861/TCOA625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2026-06-29T09:43:04Z</dcterms:created>
  <dcterms:modified xsi:type="dcterms:W3CDTF">2026-06-29T09:43:04Z</dcterms:modified>
</cp:coreProperties>
</file>

<file path=docProps/custom.xml><?xml version="1.0" encoding="utf-8"?>
<Properties xmlns="http://schemas.openxmlformats.org/officeDocument/2006/custom-properties" xmlns:vt="http://schemas.openxmlformats.org/officeDocument/2006/docPropsVTypes"/>
</file>