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AIR-POWER DOCTRINE MIGRATION: DO COUNTERSPACE CONCEPTS RECAPITULATE DOUHET-STYLE</w:t>
      </w:r>
    </w:p>
    <w:p>
      <w:pPr>
        <w:jc w:val="center"/>
      </w:pPr>
    </w:p>
    <w:p>
      <w:pPr>
        <w:jc w:val="center"/>
      </w:pPr>
      <w:r>
        <w:rPr>
          <w:rFonts w:ascii="Times New Roman" w:hAnsi="Times New Roman"/>
          <w:sz w:val="24"/>
        </w:rPr>
        <w:t>by</w:t>
      </w:r>
    </w:p>
    <w:p>
      <w:pPr>
        <w:jc w:val="center"/>
      </w:pPr>
      <w:r>
        <w:rPr>
          <w:rFonts w:ascii="Times New Roman" w:hAnsi="Times New Roman"/>
          <w:b/>
          <w:sz w:val="28"/>
        </w:rPr>
        <w:t>Clara Okonkwo</w:t>
      </w:r>
    </w:p>
    <w:p>
      <w:pPr>
        <w:jc w:val="center"/>
      </w:pPr>
      <w:r>
        <w:rPr>
          <w:rFonts w:ascii="Times New Roman" w:hAnsi="Times New Roman"/>
          <w:sz w:val="24"/>
        </w:rPr>
        <w:t>1B-SEC-220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Consider the mechanics. Doctrine travels. A concept invented to explain one kind of warfare rarely stays fixed to its birth domain; it migrates, borrowing the prestige of its origin while quietly changing the objects it governs. This dissertation asks whether one such migration has occurred in the security literature on outer space, whether the counterspace concepts now circulating among defense planners and orbital-warfare theorists recapitulate the structure of Giulio Douhet’s early air-power doctrine rather than describing the orbital environment on its own terms. The question sounds abstract. Its stakes are not.</w:t>
      </w:r>
    </w:p>
    <w:p>
      <w:pPr>
        <w:pStyle w:val="BodyText"/>
        <w:spacing w:line="480" w:lineRule="auto"/>
        <w:ind w:firstLine="720"/>
      </w:pPr>
      <w:r>
        <w:t xml:space="preserve">Start with the fit. Space governance problems tend to become visible before institutions agree on the operating rule that should contain them. A fragmentation event, a suspected co-orbital intercept, a demonstration of a directed-energy capability: each arrives in the public record long before treaty language, alliance doctrine, or national policy catches up. The interval between visibility and settlement is where the intellectual framing of the problem gets decided, and framing carries consequences. If counterspace thought is quietly importing a doctrine built for the atmosphere, then the orbital regime may be inheriting assumptions about offense dominance, decisive first strikes, and the futility of defense that were contested in their original setting and may fit orbit even less well. Todd Harrison’s survey of international perspectives on space weapons documents exactly this kind of conceptual borrowing across national defense communities, where terms of art move faster than the empirical claims that would justify them</w:t>
      </w:r>
      <w:r>
        <w:t xml:space="preserve"> </w:t>
      </w:r>
      <w:hyperlink w:anchor="ref-1">
        <w:r>
          <w:rPr>
            <w:rStyle w:val="Hyperlink"/>
          </w:rPr>
          <w:t xml:space="preserve">[1]</w:t>
        </w:r>
      </w:hyperlink>
      <w:r>
        <w:t xml:space="preserve">.</w:t>
      </w:r>
    </w:p>
    <w:p>
      <w:pPr>
        <w:pStyle w:val="BodyText"/>
        <w:spacing w:line="480" w:lineRule="auto"/>
        <w:ind w:firstLine="720"/>
      </w:pPr>
      <w:r>
        <w:t xml:space="preserve">The point is narrow. The problem is not merely rhetorical hygiene. Douhet’s argument that command of the air would prove decisive, that the bomber would always get through, and that civilian morale was the true target, shaped procurement, force structure, and expectations of war for a generation. Those predictions were tested and largely falsified, yet the doctrine’s grammar survived its empirical defeat. A comparable grammar now appears in discussions of space control, orbital superiority, and the vulnerability of high-value assets to a disarming first move. Malcolm Davis, writing on Australia’s emerging space posture and burden sharing, treats space situational awareness and defensive resilience as the load-bearing elements of allied strategy, which is precisely the register a Douhet-style offense-dominant frame tends to suppress</w:t>
      </w:r>
      <w:r>
        <w:t xml:space="preserve"> </w:t>
      </w:r>
      <w:hyperlink w:anchor="ref-3">
        <w:r>
          <w:rPr>
            <w:rStyle w:val="Hyperlink"/>
          </w:rPr>
          <w:t xml:space="preserve">[3]</w:t>
        </w:r>
      </w:hyperlink>
      <w:r>
        <w:t xml:space="preserve">. Whether that suppression is happening, and whether it is visible in the structure of the literature itself, is the empirical question this project takes up.</w:t>
      </w:r>
    </w:p>
    <w:bookmarkStart w:id="61" w:name="the-problem"/>
    <w:p>
      <w:pPr>
        <w:pStyle w:val="Heading2"/>
        <w:spacing w:line="480" w:lineRule="auto"/>
      </w:pPr>
      <w:r>
        <w:t xml:space="preserve">1.1 The Problem</w:t>
      </w:r>
    </w:p>
    <w:p>
      <w:pPr>
        <w:pStyle w:val="FirstParagraph"/>
        <w:spacing w:line="480" w:lineRule="auto"/>
      </w:pPr>
      <w:r>
        <w:t xml:space="preserve">Read it plainly. The core difficulty is that claims about doctrine migration are usually made narratively and defended anecdotally. An author notices a family resemblance between a counterspace argument and an air-power argument, quotes a suggestive passage, and asserts influence. That method cannot separate genuine conceptual inheritance from coincidence, convergent reasoning, or the ordinary reuse of military vocabulary. It also cannot say whether the resemblance is intensifying, whether it clusters in particular publication venues, or whether the attention the topic receives is growing in a manner consistent with an idea on the march.</w:t>
      </w:r>
    </w:p>
    <w:p>
      <w:pPr>
        <w:pStyle w:val="BodyText"/>
        <w:spacing w:line="480" w:lineRule="auto"/>
        <w:ind w:firstLine="720"/>
      </w:pPr>
      <w:r>
        <w:t xml:space="preserve">The pattern is stable. This dissertation treats the early visibility of the migration as measurable evidence rather than as a matter for connoisseurship. The candidate assembled a body of technical, governance, and policy records that frame counterspace and space-security concepts across venues and years, and derived from those records a set of deterministic, auditable variables: a topic-signal score, a publication recency index, a citation count, and an ordinal venue-family code. The empirical spine of the project rests on two estimators built from these variables, each reported later in full. Neither estimator settles the interpretive question by itself. Together they discipline it, converting a claim that would otherwise float free of data into one that can be checked against the structure of the retrieved corpus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61"/>
    <w:bookmarkStart w:id="62" w:name="the-stakes"/>
    <w:p>
      <w:pPr>
        <w:pStyle w:val="Heading2"/>
        <w:spacing w:line="480" w:lineRule="auto"/>
      </w:pPr>
      <w:r>
        <w:t xml:space="preserve">1.2 The Stakes</w:t>
      </w:r>
    </w:p>
    <w:p>
      <w:pPr>
        <w:pStyle w:val="FirstParagraph"/>
        <w:spacing w:line="480" w:lineRule="auto"/>
      </w:pPr>
      <w:r>
        <w:t xml:space="preserve">Weigh the magnitudes. Consider what follows if the migration is real and unexamined. Offense-dominant framing rewards preemption. It treats defensive investment as wasted motion, since the attacker’s advantage is assumed rather than demonstrated. In the orbital case, that assumption interacts badly with the physics of the environment: debris from a kinetic engagement does not disperse the way a bombed city’s rubble settles, and the short-term consequences of a single fragmentation event can threaten inhabited stations and large constellations far from the original target, as Pardini and Anselmo documented for the Cosmos 1408 breakup</w:t>
      </w:r>
      <w:r>
        <w:t xml:space="preserve"> </w:t>
      </w:r>
      <w:hyperlink w:anchor="ref-11">
        <w:r>
          <w:rPr>
            <w:rStyle w:val="Hyperlink"/>
          </w:rPr>
          <w:t xml:space="preserve">[11]</w:t>
        </w:r>
      </w:hyperlink>
      <w:r>
        <w:t xml:space="preserve">. A doctrine that discounts defense and normalizes first strikes is therefore not merely intellectually inherited; it is potentially self-defeating in a domain where the aggressor’s own assets share the contaminated orbits.</w:t>
      </w:r>
    </w:p>
    <w:p>
      <w:pPr>
        <w:pStyle w:val="BodyText"/>
        <w:spacing w:line="480" w:lineRule="auto"/>
        <w:ind w:firstLine="720"/>
      </w:pPr>
      <w:r>
        <w:t xml:space="preserve">The governance stakes run parallel. Institutional language hardens or stays loose depending on how the underlying threat is framed. Long and Chen’s analysis of the institutional bottleneck around laser use in orbit shows how technical capability outruns the legal categories meant to contain it, leaving governance to be written under the pressure of whatever conceptual frame arrives first</w:t>
      </w:r>
      <w:r>
        <w:t xml:space="preserve"> </w:t>
      </w:r>
      <w:hyperlink w:anchor="ref-12">
        <w:r>
          <w:rPr>
            <w:rStyle w:val="Hyperlink"/>
          </w:rPr>
          <w:t xml:space="preserve">[12]</w:t>
        </w:r>
      </w:hyperlink>
      <w:r>
        <w:t xml:space="preserve">. If that frame is a recapitulated air-power doctrine, the resulting rules may encode assumptions the space environment does not support. Reis, examining European defense strategy against hybrid threats to space and ground systems, similarly finds that strategic vocabulary shapes which threats get resourced and which get ignored</w:t>
      </w:r>
      <w:r>
        <w:t xml:space="preserve"> </w:t>
      </w:r>
      <w:hyperlink w:anchor="ref-13">
        <w:r>
          <w:rPr>
            <w:rStyle w:val="Hyperlink"/>
          </w:rPr>
          <w:t xml:space="preserve">[13]</w:t>
        </w:r>
      </w:hyperlink>
      <w:r>
        <w:t xml:space="preserve">. The migration question is thus a question about which future rulebook the field is unconsciously drafting.</w:t>
      </w:r>
    </w:p>
    <w:bookmarkEnd w:id="62"/>
    <w:bookmarkStart w:id="63" w:name="the-falsifiable-contribution"/>
    <w:p>
      <w:pPr>
        <w:pStyle w:val="Heading2"/>
        <w:spacing w:line="480" w:lineRule="auto"/>
      </w:pPr>
      <w:r>
        <w:t xml:space="preserve">1.3 The Falsifiable Contribution</w:t>
      </w:r>
    </w:p>
    <w:p>
      <w:pPr>
        <w:pStyle w:val="FirstParagraph"/>
        <w:spacing w:line="480" w:lineRule="auto"/>
      </w:pPr>
      <w:r>
        <w:t xml:space="preserve">This dissertation makes one bounded, falsifiable claim and reports only the deterministic results that bear on it. Stated as a null and an alternative:</w:t>
      </w:r>
    </w:p>
    <w:p>
      <w:pPr>
        <w:pStyle w:val="BodyText"/>
        <w:spacing w:line="480" w:lineRule="auto"/>
        <w:ind w:firstLine="720"/>
      </w:pPr>
      <w:r>
        <w:t xml:space="preserve">H0: the candidate topic signal is unrelated to publication recency, citation attention, and venue family in the retrieved source corpus.</w:t>
      </w:r>
    </w:p>
    <w:p>
      <w:pPr>
        <w:pStyle w:val="BodyText"/>
        <w:spacing w:line="480" w:lineRule="auto"/>
        <w:ind w:firstLine="720"/>
      </w:pPr>
      <w:r>
        <w:t xml:space="preserve">H1: the candidate topic signal is systematically related to publication recency, citation attention, and venue family in the retrieved source corpus.</w:t>
      </w:r>
    </w:p>
    <w:p>
      <w:pPr>
        <w:pStyle w:val="BodyText"/>
        <w:spacing w:line="480" w:lineRule="auto"/>
        <w:ind w:firstLine="720"/>
      </w:pPr>
      <w:r>
        <w:t xml:space="preserve">The contribution is not a grand theory of doctrine diffusion. It is a single document-level test, executed twice under two complementary specifications, that shows whether the fingerprints of an advancing concept are present in the metadata of the literature that carries it. Paper 1 estimates an ordinary least squares model of topic-signal intensity as a function of recency, citation count, and venue family; that fit returns N of 30, an R-squared of 0.1901, and an overall F p-value of 0.0586. Paper 2 estimates a log-log learning-curve model of citation accumulation against article age, returning N of 30 and an R-squared of 0.0114. The two designs interrogate different faces of the same corpus: one asks where the signal is concentrated, the other asks how attention builds over time. Reporting both, exactly as the workbooks produced them, keeps the evidentiary chain inspectable from source selection through estimator output to interpretation.</w:t>
      </w:r>
    </w:p>
    <w:p>
      <w:pPr>
        <w:pStyle w:val="BodyText"/>
        <w:spacing w:line="480" w:lineRule="auto"/>
        <w:ind w:firstLine="720"/>
      </w:pPr>
      <w:r>
        <w:t xml:space="preserve">Modesty here is a design choice, not a hedge. Makena Young’s case study of space situational awareness among growing space actors demonstrates how much interpretive weight national-security narratives can silently place on thin evidence, and part of this project’s purpose is to refuse that move</w:t>
      </w:r>
      <w:r>
        <w:t xml:space="preserve"> </w:t>
      </w:r>
      <w:hyperlink w:anchor="ref-4">
        <w:r>
          <w:rPr>
            <w:rStyle w:val="Hyperlink"/>
          </w:rPr>
          <w:t xml:space="preserve">[4]</w:t>
        </w:r>
      </w:hyperlink>
      <w:r>
        <w:t xml:space="preserve">. Where a coefficient is signed and precise, the dissertation reads it as structure in the corpus. Where a coefficient is imprecise, the dissertation reads that imprecision as evidence against a strong claim rather than as a nuisance to be argued away.</w:t>
      </w:r>
    </w:p>
    <w:bookmarkEnd w:id="63"/>
    <w:bookmarkStart w:id="64" w:name="scope-and-boundaries"/>
    <w:p>
      <w:pPr>
        <w:pStyle w:val="Heading2"/>
        <w:spacing w:line="480" w:lineRule="auto"/>
      </w:pPr>
      <w:r>
        <w:t xml:space="preserve">1.4 Scope and Boundaries</w:t>
      </w:r>
    </w:p>
    <w:p>
      <w:pPr>
        <w:pStyle w:val="FirstParagraph"/>
        <w:spacing w:line="480" w:lineRule="auto"/>
      </w:pPr>
      <w:r>
        <w:t xml:space="preserve">That is the crux. Three boundaries define what this project does and does not attempt. First, it studies corpus structure, not final causal policy impact; the estimators screen the evidence, they do not adjudicate the ultimate influence of Douhet on any particular strategist. Second, the citation counts are local index measures drawn from the candidate’s own retrieval, not universal citation totals, so their absolute magnitudes carry less meaning than their relative pattern. Third, the venue-family coding is ordinal, distinguishing conference proceedings from journal articles from policy-economy sources, and should not be overread as a quality ranking. Each boundary narrows the claim precisely so that what remains can be defended.</w:t>
      </w:r>
    </w:p>
    <w:p>
      <w:pPr>
        <w:pStyle w:val="BodyText"/>
        <w:spacing w:line="480" w:lineRule="auto"/>
        <w:ind w:firstLine="720"/>
      </w:pPr>
      <w:r>
        <w:t xml:space="preserve">It bears repeating. The design deliberately mixes documentary and bibliometric evidence. Bibliometric signals alone can mislead, since citation attention tracks many things besides doctrinal inheritance, and De Alba and colleagues note how quickly automated tooling can inflate apparent activity around a fashionable term without any corresponding conceptual substance</w:t>
      </w:r>
      <w:r>
        <w:t xml:space="preserve"> </w:t>
      </w:r>
      <w:hyperlink w:anchor="ref-6">
        <w:r>
          <w:rPr>
            <w:rStyle w:val="Hyperlink"/>
          </w:rPr>
          <w:t xml:space="preserve">[6]</w:t>
        </w:r>
      </w:hyperlink>
      <w:r>
        <w:t xml:space="preserve">. Documentary grounding in the actual source records guards against that inflation by tying every feature row back to a retrievable source. The result is a hybrid: quantitative enough to be falsifiable, documentary enough to stay honest about what the numbers describe</w:t>
      </w:r>
      <w:r>
        <w:t xml:space="preserve"> </w:t>
      </w:r>
      <w:hyperlink w:anchor="ref-2">
        <w:r>
          <w:rPr>
            <w:rStyle w:val="Hyperlink"/>
          </w:rPr>
          <w:t xml:space="preserve">[2]</w:t>
        </w:r>
      </w:hyperlink>
      <w:r>
        <w:t xml:space="preserve">.</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proceeds in seven chapters. Chapter 2 situates the argument against prior work on space-weapons framing, situational awareness, and the migration of military doctrine across domains, drawing on the retrieved literature to locate the specific gap this project fills. Chapter 3 develops the theory: the mechanism by which an air-power doctrine could recapitulate itself in orbital thought, and the testable predictions that mechanism implies for the metadata of the corpus. Chapter 4 lays out the methodology and identification strategy, explaining why the ordinary least squares and learning-curve estimators identify the corpus structure they are meant to detect. Chapter 5 describes the data and measurement in detail: the thirty source records, the construction of each variable, the provenance of every row, and the sample size that constrains inference. Chapter 6 reports the results exactly as the workbooks produced them, with the coefficients, standard errors, p-values, and fit statistics of both models, and interprets the signs and magnitudes. Chapter 7 discusses what the findings mean, the threats to their validity, and the questions the data cannot answer. Chapter 8 states the contribution, its relevance to space governance and defense programming, and the direction a more direct document-coding successor design should take.</w:t>
      </w:r>
    </w:p>
    <w:p>
      <w:pPr>
        <w:pStyle w:val="BodyText"/>
        <w:spacing w:line="480" w:lineRule="auto"/>
        <w:ind w:firstLine="720"/>
      </w:pPr>
      <w:r>
        <w:t xml:space="preserve">Note the direction. A reader should be able to follow a single unbroken path from the first source retrieved to the last interpretive sentence. That traceability is the point. Space-security scholarship has no shortage of confident assertions about how ideas move; it has a shortage of assertions a skeptic can check. By keeping the chain of evidence open at every link, and by refusing to let a noisy corpus carry more weight than it can bear, this dissertation tries to model the second kind of scholarship rather than the first. The chapters that follow build that chain link by link, and each estimator reported later can be traced back to a row, a source, and a rule stated in advance</w:t>
      </w:r>
      <w:r>
        <w:t xml:space="preserve"> </w:t>
      </w:r>
      <w:hyperlink w:anchor="ref-5">
        <w:r>
          <w:rPr>
            <w:rStyle w:val="Hyperlink"/>
          </w:rPr>
          <w:t xml:space="preserve">[5]</w:t>
        </w:r>
      </w:hyperlink>
      <w:r>
        <w:t xml:space="preserve">.</w:t>
      </w:r>
    </w:p>
    <w:bookmarkEnd w:id="65"/>
    <w:bookmarkStart w:id="66" w:name="why-douhet-and-why-now"/>
    <w:p>
      <w:pPr>
        <w:pStyle w:val="Heading2"/>
        <w:spacing w:line="480" w:lineRule="auto"/>
      </w:pPr>
      <w:r>
        <w:t xml:space="preserve">1.6 Why Douhet, and Why Now</w:t>
      </w:r>
    </w:p>
    <w:p>
      <w:pPr>
        <w:pStyle w:val="FirstParagraph"/>
        <w:spacing w:line="480" w:lineRule="auto"/>
      </w:pPr>
      <w:r>
        <w:t xml:space="preserve">The choice of Douhet as the reference doctrine is not arbitrary nostalgia for interwar strategy. Douhet’s system is the clearest historical case of a doctrine that was internally coherent, institutionally influential, empirically tested, and largely falsified, yet whose grammar outlived its defeat. That combination makes it the ideal template against which to check a suspected migration, because it gives a precise structure to look for rather than a vague family resemblance. The offense-dominance premise, the decisive-first-strike premise, the targeting of will over forces, and the dismissal of defense are four discrete propositions, and a genuine recapitulation should reproduce that structure rather than merely echo its vocabulary. Harrison’s cross-national survey shows that the vocabulary of space control is already in wide circulation; the harder question is whether the underlying propositions travel with it</w:t>
      </w:r>
      <w:r>
        <w:t xml:space="preserve"> </w:t>
      </w:r>
      <w:hyperlink w:anchor="ref-1">
        <w:r>
          <w:rPr>
            <w:rStyle w:val="Hyperlink"/>
          </w:rPr>
          <w:t xml:space="preserve">[1]</w:t>
        </w:r>
      </w:hyperlink>
      <w:r>
        <w:t xml:space="preserve">.</w:t>
      </w:r>
    </w:p>
    <w:p>
      <w:pPr>
        <w:pStyle w:val="BodyText"/>
        <w:spacing w:line="480" w:lineRule="auto"/>
        <w:ind w:firstLine="720"/>
      </w:pPr>
      <w:r>
        <w:t xml:space="preserve">The timing of the question is set by the pace of the orbital environment itself. The last decade has seen a demonstrated anti-satellite intercept that fragmented a defunct satellite, the rapid deployment of large commercial constellations, and the emergence of directed-energy and co-orbital capabilities that blur the line between civil and military use. Each development pushes defense communities to frame the orbital regime as a contested domain, and each framing decision is a moment when an inherited doctrine can quietly install itself. Pardini and Anselmo’s quantification of how the Cosmos 1408 fragmentation propagated risk to inhabited stations and constellations is the concrete backdrop that makes the framing question urgent rather than academic</w:t>
      </w:r>
      <w:r>
        <w:t xml:space="preserve"> </w:t>
      </w:r>
      <w:hyperlink w:anchor="ref-11">
        <w:r>
          <w:rPr>
            <w:rStyle w:val="Hyperlink"/>
          </w:rPr>
          <w:t xml:space="preserve">[11]</w:t>
        </w:r>
      </w:hyperlink>
      <w:r>
        <w:t xml:space="preserve">. The interval between capability and rule is open now, which is why the migration question is worth asking at this moment rather than in retrospect.</w:t>
      </w:r>
    </w:p>
    <w:bookmarkEnd w:id="66"/>
    <w:bookmarkStart w:id="67" w:name="the-character-of-the-evidence"/>
    <w:p>
      <w:pPr>
        <w:pStyle w:val="Heading2"/>
        <w:spacing w:line="480" w:lineRule="auto"/>
      </w:pPr>
      <w:r>
        <w:t xml:space="preserve">1.7 The Character of the Evidence</w:t>
      </w:r>
    </w:p>
    <w:p>
      <w:pPr>
        <w:pStyle w:val="FirstParagraph"/>
        <w:spacing w:line="480" w:lineRule="auto"/>
      </w:pPr>
      <w:r>
        <w:t xml:space="preserve">A word is owed at the outset about what kind of evidence this dissertation offers, because the design’s honesty depends on the reader understanding it from the start. The evidence is bibliometric and documentary: it lives in the metadata of retrieved sources, in publication years, citation counts, venue families, and deterministic term counts. It is not survey evidence, not interview evidence, not archival evidence of any strategist’s private reasoning. What such metadata can reveal is structure, the pattern of how a topic is distributed across time, attention, and venue. What it cannot reveal is intention or conceptual content in the deep sense. A record can be saturated with offense-dominant reasoning while using few of the counted terms, and the design keeps that gap in permanent view rather than papering over it.</w:t>
      </w:r>
    </w:p>
    <w:p>
      <w:pPr>
        <w:pStyle w:val="BodyText"/>
        <w:spacing w:line="480" w:lineRule="auto"/>
        <w:ind w:firstLine="720"/>
      </w:pPr>
      <w:r>
        <w:t xml:space="preserve">This character has a consequence for how the results should be read. A precise coefficient is evidence of structure in the corpus, and an imprecise one is evidence that the structure the theory predicted is not visible in the metadata, which is a different and weaker claim than saying the structure is absent from the field. Long and Chen’s account of the governance lag around orbital lasers illustrates why the distinction matters: a concept can be highly salient in strategic argument while leaving only a faint bibliometric trace, because argument and citation accumulate on different clocks</w:t>
      </w:r>
      <w:r>
        <w:t xml:space="preserve"> </w:t>
      </w:r>
      <w:hyperlink w:anchor="ref-12">
        <w:r>
          <w:rPr>
            <w:rStyle w:val="Hyperlink"/>
          </w:rPr>
          <w:t xml:space="preserve">[12]</w:t>
        </w:r>
      </w:hyperlink>
      <w:r>
        <w:t xml:space="preserve">. The dissertation therefore reads its own evidence as a screen that points toward where a richer, document-level design should look, not as a verdict that closes the question. Holding that posture from the first chapter is what allows the later chapters to report null results as findings rather than as disappointments to be explained away</w:t>
      </w:r>
      <w:r>
        <w:t xml:space="preserve"> </w:t>
      </w:r>
      <w:hyperlink w:anchor="ref-2">
        <w:r>
          <w:rPr>
            <w:rStyle w:val="Hyperlink"/>
          </w:rPr>
          <w:t xml:space="preserve">[2]</w:t>
        </w:r>
      </w:hyperlink>
      <w:r>
        <w:t xml:space="preserve">.</w:t>
      </w:r>
    </w:p>
    <w:bookmarkEnd w:id="67"/>
    <w:bookmarkStart w:id="68" w:name="the-argument-in-brief"/>
    <w:p>
      <w:pPr>
        <w:pStyle w:val="Heading2"/>
        <w:spacing w:line="480" w:lineRule="auto"/>
      </w:pPr>
      <w:r>
        <w:t xml:space="preserve">1.8 The Argument in Brief</w:t>
      </w:r>
    </w:p>
    <w:p>
      <w:pPr>
        <w:pStyle w:val="FirstParagraph"/>
        <w:spacing w:line="480" w:lineRule="auto"/>
      </w:pPr>
      <w:r>
        <w:t xml:space="preserve">It helps to state the whole argument in compressed form before the chapters unpack it. The claim under test is that counterspace doctrine reproduces the logical structure of Douhet’s air-power doctrine rather than reasoning from the orbital environment on its own terms. That structure has four propositions: offense dominates, the first strike is decisive, the adversary’s will is the true target, and defense is a waste. The orbital environment breaks the analogy at the first proposition, because a kinetic engagement contaminates the shared orbits the attacker also uses, a coupling Pardini and Anselmo measured for the Cosmos 1408 event</w:t>
      </w:r>
      <w:r>
        <w:t xml:space="preserve"> </w:t>
      </w:r>
      <w:hyperlink w:anchor="ref-11">
        <w:r>
          <w:rPr>
            <w:rStyle w:val="Hyperlink"/>
          </w:rPr>
          <w:t xml:space="preserve">[11]</w:t>
        </w:r>
      </w:hyperlink>
      <w:r>
        <w:t xml:space="preserve">. A doctrine that reproduces the air-power structure must therefore suppress that coupling, and the suppression should leave a trace: the topic signal should concentrate in the strategic-argument venues and thin where the journal literature documents the physics that breaks the frame.</w:t>
      </w:r>
    </w:p>
    <w:p>
      <w:pPr>
        <w:pStyle w:val="BodyText"/>
        <w:spacing w:line="480" w:lineRule="auto"/>
        <w:ind w:firstLine="720"/>
      </w:pPr>
      <w:r>
        <w:t xml:space="preserve">The test converts that expectation into two estimators over a traceable corpus of thirty records. One estimator asks whether the topic signal is organized by recency, citation attention, and venue family; the other asks whether citation attention accumulates with article age. Neither estimator reads the documents for their conceptual content, so neither can confirm the migration outright. What they can do is screen the metadata for the structure the migration would produce, report exactly what they find, and mark where a document-level successor design should take over. That is the argument: a falsifiable first pass, honest about its reach, that turns a circulating intuition into a claim a skeptic can check against the structure of the literature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68"/>
    <w:bookmarkStart w:id="69" w:name="what-counts-as-success"/>
    <w:p>
      <w:pPr>
        <w:pStyle w:val="Heading2"/>
        <w:spacing w:line="480" w:lineRule="auto"/>
      </w:pPr>
      <w:r>
        <w:t xml:space="preserve">1.9 What Counts as Success</w:t>
      </w:r>
    </w:p>
    <w:p>
      <w:pPr>
        <w:pStyle w:val="FirstParagraph"/>
        <w:spacing w:line="480" w:lineRule="auto"/>
      </w:pPr>
      <w:r>
        <w:t xml:space="preserve">Because the design is a screen rather than a definitive test, it is worth stating in advance what would count as a successful execution, so that the later chapters cannot move the goalposts. Success is not a significant coefficient on every predicted trace; the theory itself anticipates that some traces will be weak in a corpus this size, and it treats imprecision as information. Success is a clean, reported result on each estimator, interpreted proportionately to its precision, with every conclusion tethered to the source trail and no claim allowed to outrun the evidence that supports it. A screen that found nothing but reported that nothing honestly would be a success; a screen that manufactured a strong finding from a marginal fit would be a failure even if it flattered the migration thesis.</w:t>
      </w:r>
    </w:p>
    <w:p>
      <w:pPr>
        <w:pStyle w:val="BodyText"/>
        <w:spacing w:line="480" w:lineRule="auto"/>
        <w:ind w:firstLine="720"/>
      </w:pPr>
      <w:r>
        <w:t xml:space="preserve">This standard matters because the temptation in framing research is to let the prose carry the argument past what the numbers allow. Young’s case study shows how readily national-security narratives absorb thin evidence into confident claims, and the design’s entire posture is a refusal of that move</w:t>
      </w:r>
      <w:r>
        <w:t xml:space="preserve"> </w:t>
      </w:r>
      <w:hyperlink w:anchor="ref-4">
        <w:r>
          <w:rPr>
            <w:rStyle w:val="Hyperlink"/>
          </w:rPr>
          <w:t xml:space="preserve">[4]</w:t>
        </w:r>
      </w:hyperlink>
      <w:r>
        <w:t xml:space="preserve">. The chapters that follow are structured so that the reported output arrives before its interpretation, the limits arrive alongside the findings, and the successor design is specified precisely enough to show what the present work does not settle. Measured by that standard, the value of the dissertation lies as much in what it declines to claim as in what it establishes</w:t>
      </w:r>
      <w:r>
        <w:t xml:space="preserve"> </w:t>
      </w:r>
      <w:hyperlink w:anchor="ref-2">
        <w:r>
          <w:rPr>
            <w:rStyle w:val="Hyperlink"/>
          </w:rPr>
          <w:t xml:space="preserve">[2]</w:t>
        </w:r>
      </w:hyperlink>
      <w:r>
        <w:t xml:space="preserve">.</w:t>
      </w:r>
    </w:p>
    <w:bookmarkEnd w:id="69"/>
    <w:bookmarkEnd w:id="70"/>
    <w:bookmarkStart w:id="82" w:name="chapter-2-literature-review"/>
    <w:p>
      <w:pPr>
        <w:pStyle w:val="Heading1"/>
        <w:spacing w:line="480" w:lineRule="auto"/>
      </w:pPr>
      <w:r>
        <w:t xml:space="preserve">Chapter 2: Literature Review</w:t>
      </w:r>
    </w:p>
    <w:p>
      <w:pPr>
        <w:pStyle w:val="FirstParagraph"/>
        <w:spacing w:line="480" w:lineRule="auto"/>
      </w:pPr>
      <w:r>
        <w:t xml:space="preserve">The sample is small. Two bodies of work bear on the question of whether counterspace doctrine recapitulates Douhet, and they rarely meet. One is substantive: the strategic, technical, and governance writing that makes space security a live problem for operators and institutions. The other is methodological: the tradition of turning documents, citations, venues, and publication dates into measurable evidence about how ideas spread. This chapter reads both against the specific claim at issue, then locates the gap the dissertation fills. The aim is not an exhaustive survey. It is a targeted map of what has been argued, what has been measured, and what has been left unchecked.</w:t>
      </w:r>
    </w:p>
    <w:bookmarkStart w:id="71" w:name="the-strategic-framing-of-space-weapons"/>
    <w:p>
      <w:pPr>
        <w:pStyle w:val="Heading2"/>
        <w:spacing w:line="480" w:lineRule="auto"/>
      </w:pPr>
      <w:r>
        <w:t xml:space="preserve">2.1 The Strategic Framing of Space Weapons</w:t>
      </w:r>
    </w:p>
    <w:p>
      <w:pPr>
        <w:pStyle w:val="FirstParagraph"/>
        <w:spacing w:line="480" w:lineRule="auto"/>
      </w:pPr>
      <w:r>
        <w:t xml:space="preserve">Nothing is inflated here. The most direct predecessor to this study is the comparative literature on how nations conceive of space weapons. Harrison’s survey of international perspectives is the anchor: it catalogs how different defense establishments describe orbital threats, and it shows that the vocabulary of space control is neither uniform nor settled</w:t>
      </w:r>
      <w:r>
        <w:t xml:space="preserve"> </w:t>
      </w:r>
      <w:hyperlink w:anchor="ref-1">
        <w:r>
          <w:rPr>
            <w:rStyle w:val="Hyperlink"/>
          </w:rPr>
          <w:t xml:space="preserve">[1]</w:t>
        </w:r>
      </w:hyperlink>
      <w:r>
        <w:t xml:space="preserve">. What Harrison documents implicitly is the very phenomenon this dissertation makes explicit, namely that strategic terms migrate across national communities and across domains, carrying assumptions with them. Where his account stops short is in treating that migration as something to be measured rather than narrated.</w:t>
      </w:r>
    </w:p>
    <w:p>
      <w:pPr>
        <w:pStyle w:val="BodyText"/>
        <w:spacing w:line="480" w:lineRule="auto"/>
        <w:ind w:firstLine="720"/>
      </w:pPr>
      <w:r>
        <w:t xml:space="preserve">The claim stays bounded. Davis extends the framing question into alliance strategy, arguing that Australia’s space posture should center on situational awareness and burden sharing rather than on independent offensive capability</w:t>
      </w:r>
      <w:r>
        <w:t xml:space="preserve"> </w:t>
      </w:r>
      <w:hyperlink w:anchor="ref-3">
        <w:r>
          <w:rPr>
            <w:rStyle w:val="Hyperlink"/>
          </w:rPr>
          <w:t xml:space="preserve">[3]</w:t>
        </w:r>
      </w:hyperlink>
      <w:r>
        <w:t xml:space="preserve">. His argument is instructive precisely because it resists the offense-dominant frame that a Douhet-style inheritance would predict. If the field were uniformly recapitulating air-power doctrine, one would expect resilience and awareness to be marginal; Davis makes them central. That tension, between an offense-first grammar and a defense-and-awareness grammar, is the interpretive fault line the empirical chapters try to detect in the structure of the literature.</w:t>
      </w:r>
    </w:p>
    <w:p>
      <w:pPr>
        <w:pStyle w:val="BodyText"/>
        <w:spacing w:line="480" w:lineRule="auto"/>
        <w:ind w:firstLine="720"/>
      </w:pPr>
      <w:r>
        <w:t xml:space="preserve">The evidence is thin. Reis approaches the same terrain from the European side, analyzing defense and security strategy for space and ground systems against hybrid threats</w:t>
      </w:r>
      <w:r>
        <w:t xml:space="preserve"> </w:t>
      </w:r>
      <w:hyperlink w:anchor="ref-13">
        <w:r>
          <w:rPr>
            <w:rStyle w:val="Hyperlink"/>
          </w:rPr>
          <w:t xml:space="preserve">[13]</w:t>
        </w:r>
      </w:hyperlink>
      <w:r>
        <w:t xml:space="preserve">. His treatment underscores that the framing of a threat determines which countermeasures get resourced, a point that matters for the migration thesis because a recapitulated air-power doctrine would systematically underweight the diffuse, below-threshold threats that hybrid analysis foregrounds. Long and Chen sharpen the governance stakes further, showing that the institutional response to orbital laser use lags the underlying capability and is therefore vulnerable to being framed by whichever conceptual model arrives first</w:t>
      </w:r>
      <w:r>
        <w:t xml:space="preserve"> </w:t>
      </w:r>
      <w:hyperlink w:anchor="ref-12">
        <w:r>
          <w:rPr>
            <w:rStyle w:val="Hyperlink"/>
          </w:rPr>
          <w:t xml:space="preserve">[12]</w:t>
        </w:r>
      </w:hyperlink>
      <w:r>
        <w:t xml:space="preserve">. Together these works establish that framing is consequential. None of them tests whether a particular historical doctrine is the frame doing the work.</w:t>
      </w:r>
    </w:p>
    <w:bookmarkEnd w:id="71"/>
    <w:bookmarkStart w:id="72" w:name="Xea41f7c1c23a5b1fac4896f908afa383fbb7967"/>
    <w:p>
      <w:pPr>
        <w:pStyle w:val="Heading2"/>
        <w:spacing w:line="480" w:lineRule="auto"/>
      </w:pPr>
      <w:r>
        <w:t xml:space="preserve">2.2 Situational Awareness as the Contested Ground</w:t>
      </w:r>
    </w:p>
    <w:p>
      <w:pPr>
        <w:pStyle w:val="FirstParagraph"/>
        <w:spacing w:line="480" w:lineRule="auto"/>
      </w:pPr>
      <w:r>
        <w:t xml:space="preserve">The venue axis dominates. A second strand treats space situational awareness as the empirical substrate on which strategy is built, and it is here that the offense-defense tension becomes concrete. Hand and France, writing early, connect environmental situational awareness to joint space effects, framing awareness as an enabler of operations rather than as a strategic end in itself</w:t>
      </w:r>
      <w:r>
        <w:t xml:space="preserve"> </w:t>
      </w:r>
      <w:hyperlink w:anchor="ref-2">
        <w:r>
          <w:rPr>
            <w:rStyle w:val="Hyperlink"/>
          </w:rPr>
          <w:t xml:space="preserve">[2]</w:t>
        </w:r>
      </w:hyperlink>
      <w:r>
        <w:t xml:space="preserve">. That framing is telling. When awareness is instrumentalized toward effects, the door opens to an offense-oriented reading; when awareness is treated as a stabilizing good in its own right, the door opens to a defense-oriented reading. The literature contains both moves, often within the same document, which is one reason a purely narrative method struggles to adjudicate the migration claim.</w:t>
      </w:r>
    </w:p>
    <w:p>
      <w:pPr>
        <w:pStyle w:val="BodyText"/>
        <w:spacing w:line="480" w:lineRule="auto"/>
        <w:ind w:firstLine="720"/>
      </w:pPr>
      <w:r>
        <w:t xml:space="preserve">Precision matters. Young’s case study of situational awareness among growing space actors, focused on Japan, shows how national-security narratives can rest on comparatively thin evidence while nonetheless driving capability decisions</w:t>
      </w:r>
      <w:r>
        <w:t xml:space="preserve"> </w:t>
      </w:r>
      <w:hyperlink w:anchor="ref-4">
        <w:r>
          <w:rPr>
            <w:rStyle w:val="Hyperlink"/>
          </w:rPr>
          <w:t xml:space="preserve">[4]</w:t>
        </w:r>
      </w:hyperlink>
      <w:r>
        <w:t xml:space="preserve">. Sakamoto and Sakamoto’s report on the Japan Air Self-Defense Force’s new awareness system supplies the operational counterpart, documenting the practical construction of a national capability whose strategic justification draws on exactly the framing Young interrogates</w:t>
      </w:r>
      <w:r>
        <w:t xml:space="preserve"> </w:t>
      </w:r>
      <w:hyperlink w:anchor="ref-5">
        <w:r>
          <w:rPr>
            <w:rStyle w:val="Hyperlink"/>
          </w:rPr>
          <w:t xml:space="preserve">[5]</w:t>
        </w:r>
      </w:hyperlink>
      <w:r>
        <w:t xml:space="preserve">. Reading the two together reveals a recurring pattern: operational build-out and strategic narrative reinforce each other, and the narrative tends to import assumptions faster than the operational record can validate them. That is the seam a measurement approach can probe.</w:t>
      </w:r>
    </w:p>
    <w:p>
      <w:pPr>
        <w:pStyle w:val="BodyText"/>
        <w:spacing w:line="480" w:lineRule="auto"/>
        <w:ind w:firstLine="720"/>
      </w:pPr>
      <w:r>
        <w:t xml:space="preserve">The math is plain. De Alba and colleagues introduce a further complication by examining the integration of large language models into command and control for space domain awareness</w:t>
      </w:r>
      <w:r>
        <w:t xml:space="preserve"> </w:t>
      </w:r>
      <w:hyperlink w:anchor="ref-6">
        <w:r>
          <w:rPr>
            <w:rStyle w:val="Hyperlink"/>
          </w:rPr>
          <w:t xml:space="preserve">[6]</w:t>
        </w:r>
      </w:hyperlink>
      <w:r>
        <w:t xml:space="preserve">. Their work matters to this dissertation for a methodological reason as much as a substantive one: automated tooling can generate apparent activity and attention around a term without any corresponding growth in conceptual substance. Any bibliometric signal must therefore be read against the possibility of inflation, a caution the empirical design takes seriously by grounding every observation in a retrievable source record.</w:t>
      </w:r>
    </w:p>
    <w:bookmarkEnd w:id="72"/>
    <w:bookmarkStart w:id="73" w:name="X8b37285dd92411674f89316a35cc1a202e2d717"/>
    <w:p>
      <w:pPr>
        <w:pStyle w:val="Heading2"/>
        <w:spacing w:line="480" w:lineRule="auto"/>
      </w:pPr>
      <w:r>
        <w:t xml:space="preserve">2.3 The Physical Environment That Doctrine Ignores</w:t>
      </w:r>
    </w:p>
    <w:p>
      <w:pPr>
        <w:pStyle w:val="FirstParagraph"/>
        <w:spacing w:line="480" w:lineRule="auto"/>
      </w:pPr>
      <w:r>
        <w:t xml:space="preserve">So the reading holds. A third strand describes the orbital environment itself, and it functions in this project as a reality check on inherited doctrine. Pardini and Anselmo’s analysis of the Cosmos 1408 fragmentation quantifies how a single destructive event propagates risk to inhabited stations and large constellations, demonstrating that the orbital consequences of a kinetic engagement are shared, persistent, and indifferent to the attacker’s intentions</w:t>
      </w:r>
      <w:r>
        <w:t xml:space="preserve"> </w:t>
      </w:r>
      <w:hyperlink w:anchor="ref-11">
        <w:r>
          <w:rPr>
            <w:rStyle w:val="Hyperlink"/>
          </w:rPr>
          <w:t xml:space="preserve">[11]</w:t>
        </w:r>
      </w:hyperlink>
      <w:r>
        <w:t xml:space="preserve">. This is the empirical fact an offense-dominant frame must suppress in order to remain coherent, since a doctrine celebrating the decisive first strike sits uneasily with a physics that contaminates the victor’s own orbits. The migration thesis predicts that the field will nonetheless underweight this fact, and the environmental literature gives that prediction something concrete to be wrong or right about.</w:t>
      </w:r>
    </w:p>
    <w:p>
      <w:pPr>
        <w:pStyle w:val="BodyText"/>
        <w:spacing w:line="480" w:lineRule="auto"/>
        <w:ind w:firstLine="720"/>
      </w:pPr>
      <w:r>
        <w:t xml:space="preserve">Precision is earned. Adjacent technical and governance work reinforces the point that space is not the atmosphere. Long and Chen’s institutional analysis of orbital laser use shows a governance vacuum forming precisely where a novel capability meets an untested legal category</w:t>
      </w:r>
      <w:r>
        <w:t xml:space="preserve"> </w:t>
      </w:r>
      <w:hyperlink w:anchor="ref-12">
        <w:r>
          <w:rPr>
            <w:rStyle w:val="Hyperlink"/>
          </w:rPr>
          <w:t xml:space="preserve">[12]</w:t>
        </w:r>
      </w:hyperlink>
      <w:r>
        <w:t xml:space="preserve">. Brennan’s proposal for an independent international monitoring mechanism for asteroid mining, though aimed at a different activity, models the kind of institutional response that offense-dominant framing tends to preclude, one built on transparency and shared oversight rather than on unilateral advantage</w:t>
      </w:r>
      <w:r>
        <w:t xml:space="preserve"> </w:t>
      </w:r>
      <w:hyperlink w:anchor="ref-9">
        <w:r>
          <w:rPr>
            <w:rStyle w:val="Hyperlink"/>
          </w:rPr>
          <w:t xml:space="preserve">[9]</w:t>
        </w:r>
      </w:hyperlink>
      <w:r>
        <w:t xml:space="preserve">. The contrast between what the environment demands and what an inherited air-power doctrine would supply is the substantive core of the dissertation’s motivation.</w:t>
      </w:r>
    </w:p>
    <w:bookmarkEnd w:id="73"/>
    <w:bookmarkStart w:id="74" w:name="the-measurement-tradition-and-its-limits"/>
    <w:p>
      <w:pPr>
        <w:pStyle w:val="Heading2"/>
        <w:spacing w:line="480" w:lineRule="auto"/>
      </w:pPr>
      <w:r>
        <w:t xml:space="preserve">2.4 The Measurement Tradition and Its Limits</w:t>
      </w:r>
    </w:p>
    <w:p>
      <w:pPr>
        <w:pStyle w:val="FirstParagraph"/>
        <w:spacing w:line="480" w:lineRule="auto"/>
      </w:pPr>
      <w:r>
        <w:t xml:space="preserve">The methodological literature this project draws on treats publication metadata as evidence about the diffusion of ideas. Recency, citation attention, and venue family are standard signals: a concept on the rise tends to appear in more recent work, to attract citations, and to concentrate in particular kinds of venues. The learning-curve tradition adds a temporal expectation, that attention to a maturing idea accumulates with predictable structure as the underlying literature ages. These are well-worn tools, and their strength is that they are auditable and reproducible from the record.</w:t>
      </w:r>
    </w:p>
    <w:p>
      <w:pPr>
        <w:pStyle w:val="BodyText"/>
        <w:spacing w:line="480" w:lineRule="auto"/>
        <w:ind w:firstLine="720"/>
      </w:pPr>
      <w:r>
        <w:t xml:space="preserve">Their weakness is equally well known. Citation counts drawn from a local index are not universal totals, venue coding is coarse, and metadata structure can reflect many forces besides the specific inheritance under study. The De Alba caution about inflated automated activity applies here with force</w:t>
      </w:r>
      <w:r>
        <w:t xml:space="preserve"> </w:t>
      </w:r>
      <w:hyperlink w:anchor="ref-6">
        <w:r>
          <w:rPr>
            <w:rStyle w:val="Hyperlink"/>
          </w:rPr>
          <w:t xml:space="preserve">[6]</w:t>
        </w:r>
      </w:hyperlink>
      <w:r>
        <w:t xml:space="preserve">. The methodological literature, in other words, offers discipline but not certainty, and the honest use of it is to report what the estimators show while refusing to overread thin or imprecise coefficients.</w:t>
      </w:r>
    </w:p>
    <w:bookmarkEnd w:id="74"/>
    <w:bookmarkStart w:id="75" w:name="the-gap"/>
    <w:p>
      <w:pPr>
        <w:pStyle w:val="Heading2"/>
        <w:spacing w:line="480" w:lineRule="auto"/>
      </w:pPr>
      <w:r>
        <w:t xml:space="preserve">2.5 The Gap</w:t>
      </w:r>
    </w:p>
    <w:p>
      <w:pPr>
        <w:pStyle w:val="FirstParagraph"/>
        <w:spacing w:line="480" w:lineRule="auto"/>
      </w:pPr>
      <w:r>
        <w:t xml:space="preserve">Set side by side, the two literatures leave a specific gap. The strategic strand asserts that framing matters and gestures at doctrinal inheritance without measuring it. The situational-awareness strand documents the offense-defense tension without resolving whether one frame is winning. The environmental strand establishes what a sound doctrine would have to accommodate. And the measurement strand offers tools that no one has yet pointed at the migration question in this domain. This dissertation fills that gap by converting the retrieved literature into an auditable design: source records become rows, variables are constructed from observable fields, two complementary estimators screen the corpus, and interpretation stays inside the reported output. The next chapter states the mechanism that makes the migration testable and the predictions it implies</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75"/>
    <w:bookmarkStart w:id="76" w:name="Xf94b4fd60e4c7602bf6da3d6238fb152e1f6b91"/>
    <w:p>
      <w:pPr>
        <w:pStyle w:val="Heading2"/>
        <w:spacing w:line="480" w:lineRule="auto"/>
      </w:pPr>
      <w:r>
        <w:t xml:space="preserve">2.6 Doctrine Migration as a Studied Phenomenon</w:t>
      </w:r>
    </w:p>
    <w:p>
      <w:pPr>
        <w:pStyle w:val="FirstParagraph"/>
        <w:spacing w:line="480" w:lineRule="auto"/>
      </w:pPr>
      <w:r>
        <w:t xml:space="preserve">It helps to place the specific question within the broader problem of how military doctrine crosses domains, because that framing clarifies what a rigorous test would demand. Doctrines migrate for identifiable reasons: a new domain presents a problem that resembles an old one, the community reasoning about it is trained in the older tradition, and the prestige of a successful past doctrine lends borrowed authority to its reuse. Air power is the recurring donor doctrine in twentieth-century strategy, having lent its offense-dominant grammar to nuclear thought and, later, to cyber and now to space. The pattern is familiar enough that its recurrence in the space domain would be unsurprising, which is exactly why it needs testing rather than assuming. A resemblance that everyone expects is the kind most likely to be asserted without evidence.</w:t>
      </w:r>
    </w:p>
    <w:p>
      <w:pPr>
        <w:pStyle w:val="BodyText"/>
        <w:spacing w:line="480" w:lineRule="auto"/>
        <w:ind w:firstLine="720"/>
      </w:pPr>
      <w:r>
        <w:t xml:space="preserve">The migration literature also warns that surface vocabulary is a poor guide to underlying inheritance. Terms like superiority, control, and denial appear across many doctrinal traditions and prove nothing on their own. What distinguishes genuine recapitulation is the reproduction of the doctrine’s logical structure, its ordering of offense above defense and its treatment of the decisive strike as available and rational. Davis’s insistence on awareness and resilience as central rather than peripheral is significant precisely because it inverts that ordering, offering a counter-case within the same community that a migration thesis must account for</w:t>
      </w:r>
      <w:r>
        <w:t xml:space="preserve"> </w:t>
      </w:r>
      <w:hyperlink w:anchor="ref-3">
        <w:r>
          <w:rPr>
            <w:rStyle w:val="Hyperlink"/>
          </w:rPr>
          <w:t xml:space="preserve">[3]</w:t>
        </w:r>
      </w:hyperlink>
      <w:r>
        <w:t xml:space="preserve">. A field uniformly recapitulating Douhet would not produce a Davis; the presence of such counter-cases is itself data about how complete or contested the migration is.</w:t>
      </w:r>
    </w:p>
    <w:bookmarkEnd w:id="76"/>
    <w:bookmarkStart w:id="77" w:name="positioning-the-present-study"/>
    <w:p>
      <w:pPr>
        <w:pStyle w:val="Heading2"/>
        <w:spacing w:line="480" w:lineRule="auto"/>
      </w:pPr>
      <w:r>
        <w:t xml:space="preserve">2.7 Positioning the Present Study</w:t>
      </w:r>
    </w:p>
    <w:p>
      <w:pPr>
        <w:pStyle w:val="FirstParagraph"/>
        <w:spacing w:line="480" w:lineRule="auto"/>
      </w:pPr>
      <w:r>
        <w:t xml:space="preserve">Against this backdrop the present study occupies a deliberately narrow position. It does not attempt the full document-level reading that a definitive test of doctrinal inheritance would require, and it does not claim to. What it offers is a prior step, a screen that asks whether the metadata of the retrieved literature carries structure consistent with an advancing frame, and that identifies which observable signals are strong enough to reward a deeper look. This is the role a well-designed first-pass study plays in a research program: it does not answer the ultimate question, but it disciplines the next investment of effort by showing where the observable structure lies.</w:t>
      </w:r>
    </w:p>
    <w:p>
      <w:pPr>
        <w:pStyle w:val="BodyText"/>
        <w:spacing w:line="480" w:lineRule="auto"/>
        <w:ind w:firstLine="720"/>
      </w:pPr>
      <w:r>
        <w:t xml:space="preserve">The study’s relationship to its sources is therefore instrumental rather than exhaustive. Harrison, Davis, Hand and France, Young, and Sakamoto and Sakamoto are not treated here as a complete map of the field but as the anchor records that define the terms, the venues, and the plausible mechanisms the screen will test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Pardini and Anselmo, Long and Chen, Reis, and Brennan supply the environmental and governance reality against which the inherited doctrine is measured for fit</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9">
        <w:r>
          <w:rPr>
            <w:rStyle w:val="Hyperlink"/>
          </w:rPr>
          <w:t xml:space="preserve">[9]</w:t>
        </w:r>
      </w:hyperlink>
      <w:r>
        <w:t xml:space="preserve">. De Alba and colleagues supply the methodological caution that keeps the bibliometric signals honest</w:t>
      </w:r>
      <w:r>
        <w:t xml:space="preserve"> </w:t>
      </w:r>
      <w:hyperlink w:anchor="ref-6">
        <w:r>
          <w:rPr>
            <w:rStyle w:val="Hyperlink"/>
          </w:rPr>
          <w:t xml:space="preserve">[6]</w:t>
        </w:r>
      </w:hyperlink>
      <w:r>
        <w:t xml:space="preserve">. The chapter that follows converts this positioning into a stated mechanism and a set of predictions precise enough to be wrong.</w:t>
      </w:r>
    </w:p>
    <w:bookmarkEnd w:id="77"/>
    <w:bookmarkStart w:id="78" w:name="X6372c8651648ff1934d43a25f7cec261cc91edd"/>
    <w:p>
      <w:pPr>
        <w:pStyle w:val="Heading2"/>
        <w:spacing w:line="480" w:lineRule="auto"/>
      </w:pPr>
      <w:r>
        <w:t xml:space="preserve">2.8 Situational Awareness and the Offense-Defense Balance</w:t>
      </w:r>
    </w:p>
    <w:p>
      <w:pPr>
        <w:pStyle w:val="FirstParagraph"/>
        <w:spacing w:line="480" w:lineRule="auto"/>
      </w:pPr>
      <w:r>
        <w:t xml:space="preserve">One thread running through the anchor literature deserves separate treatment because it bears directly on the migration thesis: the ambiguous strategic role of situational awareness. Awareness is the connective tissue of any orbital strategy, since nothing can be targeted, defended, or deconflicted without knowing where objects are and what they are doing. Its ambiguity is that the same capability serves offense and defense alike. Hand and France frame awareness as an enabler of joint space effects, a formulation that leans toward the operational and, by extension, the offensive</w:t>
      </w:r>
      <w:r>
        <w:t xml:space="preserve"> </w:t>
      </w:r>
      <w:hyperlink w:anchor="ref-2">
        <w:r>
          <w:rPr>
            <w:rStyle w:val="Hyperlink"/>
          </w:rPr>
          <w:t xml:space="preserve">[2]</w:t>
        </w:r>
      </w:hyperlink>
      <w:r>
        <w:t xml:space="preserve">. Sakamoto and Sakamoto document a national awareness system whose justification blends defensive resilience with the capacity to act, leaving the balance unresolved in exactly the way the doctrine question predicts</w:t>
      </w:r>
      <w:r>
        <w:t xml:space="preserve"> </w:t>
      </w:r>
      <w:hyperlink w:anchor="ref-5">
        <w:r>
          <w:rPr>
            <w:rStyle w:val="Hyperlink"/>
          </w:rPr>
          <w:t xml:space="preserve">[5]</w:t>
        </w:r>
      </w:hyperlink>
      <w:r>
        <w:t xml:space="preserve">.</w:t>
      </w:r>
    </w:p>
    <w:p>
      <w:pPr>
        <w:pStyle w:val="BodyText"/>
        <w:spacing w:line="480" w:lineRule="auto"/>
        <w:ind w:firstLine="720"/>
      </w:pPr>
      <w:r>
        <w:t xml:space="preserve">This ambiguity is why awareness cannot settle the migration question by itself, and why a metadata screen is a reasonable first probe. If the field were importing an offense-dominant frame, awareness would tend to be discussed as an enabler of effects; if it were reasoning from the environment, awareness would tend to be discussed as a stabilizing good that reduces the risk of miscalculation and debris. Young’s case study shows both framings coexisting in the discourse around growing space actors, which suggests the balance is genuinely contested rather than settled</w:t>
      </w:r>
      <w:r>
        <w:t xml:space="preserve"> </w:t>
      </w:r>
      <w:hyperlink w:anchor="ref-4">
        <w:r>
          <w:rPr>
            <w:rStyle w:val="Hyperlink"/>
          </w:rPr>
          <w:t xml:space="preserve">[4]</w:t>
        </w:r>
      </w:hyperlink>
      <w:r>
        <w:t xml:space="preserve">. The screen in the later chapters cannot resolve the contest, but it can ask whether the topic signal that carries these framings is structured by venue and time in ways consistent with an advancing offense-dominant reading.</w:t>
      </w:r>
    </w:p>
    <w:bookmarkEnd w:id="78"/>
    <w:bookmarkStart w:id="79" w:name="X285c7b4cdb10dd6702fe255b3a8d30761c04484"/>
    <w:p>
      <w:pPr>
        <w:pStyle w:val="Heading2"/>
        <w:spacing w:line="480" w:lineRule="auto"/>
      </w:pPr>
      <w:r>
        <w:t xml:space="preserve">2.9 The Governance Vacuum the Literature Describes</w:t>
      </w:r>
    </w:p>
    <w:p>
      <w:pPr>
        <w:pStyle w:val="FirstParagraph"/>
        <w:spacing w:line="480" w:lineRule="auto"/>
      </w:pPr>
      <w:r>
        <w:t xml:space="preserve">A final strand worth isolating is the recurring description, across the retrieved journal literature, of a governance vacuum forming faster than institutions can fill it. Long and Chen make the point explicitly for orbital laser use, tracing how a novel capability outruns the legal categories meant to contain it and leaves the resulting rules to be written under the pressure of whatever frame arrives first</w:t>
      </w:r>
      <w:r>
        <w:t xml:space="preserve"> </w:t>
      </w:r>
      <w:hyperlink w:anchor="ref-12">
        <w:r>
          <w:rPr>
            <w:rStyle w:val="Hyperlink"/>
          </w:rPr>
          <w:t xml:space="preserve">[12]</w:t>
        </w:r>
      </w:hyperlink>
      <w:r>
        <w:t xml:space="preserve">. Reis makes a parallel argument for hybrid threats to space and ground systems, showing how strategic vocabulary shapes which threats are recognized and resourced</w:t>
      </w:r>
      <w:r>
        <w:t xml:space="preserve"> </w:t>
      </w:r>
      <w:hyperlink w:anchor="ref-13">
        <w:r>
          <w:rPr>
            <w:rStyle w:val="Hyperlink"/>
          </w:rPr>
          <w:t xml:space="preserve">[13]</w:t>
        </w:r>
      </w:hyperlink>
      <w:r>
        <w:t xml:space="preserve">. Brennan, writing on asteroid mining, proposes an independent international monitoring mechanism precisely because the alternative is a vacuum filled by unilateral advantage rather than shared oversight</w:t>
      </w:r>
      <w:r>
        <w:t xml:space="preserve"> </w:t>
      </w:r>
      <w:hyperlink w:anchor="ref-9">
        <w:r>
          <w:rPr>
            <w:rStyle w:val="Hyperlink"/>
          </w:rPr>
          <w:t xml:space="preserve">[9]</w:t>
        </w:r>
      </w:hyperlink>
      <w:r>
        <w:t xml:space="preserve">.</w:t>
      </w:r>
    </w:p>
    <w:p>
      <w:pPr>
        <w:pStyle w:val="BodyText"/>
        <w:spacing w:line="480" w:lineRule="auto"/>
        <w:ind w:firstLine="720"/>
      </w:pPr>
      <w:r>
        <w:t xml:space="preserve">These accounts matter to the present study because they identify the stakes of the framing question in institutional terms. If a recapitulated air-power doctrine is the frame that arrives first, then the rules written into the vacuum will encode its assumptions, including the suppressed physics of shared contamination that Pardini and Anselmo document</w:t>
      </w:r>
      <w:r>
        <w:t xml:space="preserve"> </w:t>
      </w:r>
      <w:hyperlink w:anchor="ref-11">
        <w:r>
          <w:rPr>
            <w:rStyle w:val="Hyperlink"/>
          </w:rPr>
          <w:t xml:space="preserve">[11]</w:t>
        </w:r>
      </w:hyperlink>
      <w:r>
        <w:t xml:space="preserve">. The governance literature thus supplies the reason the migration question is worth testing at all: the frame that wins the interval between capability and rule will shape the rulebook, and a field that imports its frame unexamined risks governing orbit by an analogy the domain does not support. The chapter that follows builds the mechanism that makes this risk empirically checkable.</w:t>
      </w:r>
    </w:p>
    <w:bookmarkEnd w:id="79"/>
    <w:bookmarkStart w:id="80" w:name="what-the-review-establishes"/>
    <w:p>
      <w:pPr>
        <w:pStyle w:val="Heading2"/>
        <w:spacing w:line="480" w:lineRule="auto"/>
      </w:pPr>
      <w:r>
        <w:t xml:space="preserve">2.10 What the Review Establishes</w:t>
      </w:r>
    </w:p>
    <w:p>
      <w:pPr>
        <w:pStyle w:val="FirstParagraph"/>
        <w:spacing w:line="480" w:lineRule="auto"/>
      </w:pPr>
      <w:r>
        <w:t xml:space="preserve">Three conclusions carry forward from this review into the design. The literature agrees that framing is consequential, that situational awareness sits ambiguously between offense and defense, and that a governance vacuum is forming faster than institutions can fill it. None of the anchor works, however, converts the suspected doctrinal inheritance into a measured claim, and none points a bibliometric method at the migration question in this domain. That is the precise gap the design fills. The review also establishes the corpus’s substantive spine: proceedings records carrying operational and strategic argument, journal records carrying environmental and governance analysis, and policy-economy records carrying forecast and deterrence discourse. That tripartite structure is not incidental to the test; it is the venue axis the estimators will probe.</w:t>
      </w:r>
    </w:p>
    <w:p>
      <w:pPr>
        <w:pStyle w:val="BodyText"/>
        <w:spacing w:line="480" w:lineRule="auto"/>
        <w:ind w:firstLine="720"/>
      </w:pPr>
      <w:r>
        <w:t xml:space="preserve">The review’s final contribution is to fix the sources that will do double duty as both substance and data. Harrison and Davis define the strategic framing, Hand and France and Sakamoto and Sakamoto define the awareness thread, Young supplies the caution about thin evidence, Pardini and Anselmo supply the environmental reality, Long and Chen and Reis supply the governance stakes, Brennan supplies the transparency counter-model, and De Alba and colleagues supply the methodological warning about inflated attention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9">
        <w:r>
          <w:rPr>
            <w:rStyle w:val="Hyperlink"/>
          </w:rPr>
          <w:t xml:space="preserve">[9]</w:t>
        </w:r>
      </w:hyperlink>
      <w:r>
        <w:t xml:space="preserve"> </w:t>
      </w:r>
      <w:hyperlink w:anchor="ref-6">
        <w:r>
          <w:rPr>
            <w:rStyle w:val="Hyperlink"/>
          </w:rPr>
          <w:t xml:space="preserve">[6]</w:t>
        </w:r>
      </w:hyperlink>
      <w:r>
        <w:t xml:space="preserve">. With the field mapped and the gap located, the next chapter states the mechanism by which an air-power doctrine could recapitulate itself in orbital thought and the predictions that mechanism makes testable.</w:t>
      </w:r>
    </w:p>
    <w:bookmarkEnd w:id="80"/>
    <w:bookmarkStart w:id="81" w:name="why-a-mixed-method-fits-the-gap"/>
    <w:p>
      <w:pPr>
        <w:pStyle w:val="Heading2"/>
        <w:spacing w:line="480" w:lineRule="auto"/>
      </w:pPr>
      <w:r>
        <w:t xml:space="preserve">2.11 Why a Mixed Method Fits the Gap</w:t>
      </w:r>
    </w:p>
    <w:p>
      <w:pPr>
        <w:pStyle w:val="FirstParagraph"/>
        <w:spacing w:line="480" w:lineRule="auto"/>
      </w:pPr>
      <w:r>
        <w:t xml:space="preserve">The gap the review identifies is neither purely substantive nor purely methodological, and that hybrid character is what dictates a mixed approach. A purely qualitative reading would reproduce the very method that has left the migration claim unchecked, asserting resemblance without measuring it. A purely quantitative sweep, divorced from the source records, would risk the inflation De Alba and colleagues warn against, mistaking automated activity for conceptual substance</w:t>
      </w:r>
      <w:r>
        <w:t xml:space="preserve"> </w:t>
      </w:r>
      <w:hyperlink w:anchor="ref-6">
        <w:r>
          <w:rPr>
            <w:rStyle w:val="Hyperlink"/>
          </w:rPr>
          <w:t xml:space="preserve">[6]</w:t>
        </w:r>
      </w:hyperlink>
      <w:r>
        <w:t xml:space="preserve">. The design’s answer is to keep both hands on the evidence: documentary grounding ties every observation to a retrievable source, and bibliometric structure turns those sources into variables that can be modeled. Each guards the other’s weakness.</w:t>
      </w:r>
    </w:p>
    <w:p>
      <w:pPr>
        <w:pStyle w:val="BodyText"/>
        <w:spacing w:line="480" w:lineRule="auto"/>
        <w:ind w:firstLine="720"/>
      </w:pPr>
      <w:r>
        <w:t xml:space="preserve">This is why the anchor works are treated as substance and as data at once. Harrison’s survey supplies both the strategic vocabulary the screen looks for and, through its retrieval, a row in the corpus</w:t>
      </w:r>
      <w:r>
        <w:t xml:space="preserve"> </w:t>
      </w:r>
      <w:hyperlink w:anchor="ref-1">
        <w:r>
          <w:rPr>
            <w:rStyle w:val="Hyperlink"/>
          </w:rPr>
          <w:t xml:space="preserve">[1]</w:t>
        </w:r>
      </w:hyperlink>
      <w:r>
        <w:t xml:space="preserve">. Pardini and Anselmo supply both the environmental reality that tests the frame and a heavily cited record whose citation history shapes the accumulation model</w:t>
      </w:r>
      <w:r>
        <w:t xml:space="preserve"> </w:t>
      </w:r>
      <w:hyperlink w:anchor="ref-11">
        <w:r>
          <w:rPr>
            <w:rStyle w:val="Hyperlink"/>
          </w:rPr>
          <w:t xml:space="preserve">[11]</w:t>
        </w:r>
      </w:hyperlink>
      <w:r>
        <w:t xml:space="preserve">. Holding the two roles together is the review’s methodological contribution: it shows that the literature is not merely a backdrop to be summarized but a dataset to be structured, and that the migration question is answerable only if the two are joined. The chapter that follows makes that joining precise by stating the mechanism the screen tests.</w:t>
      </w:r>
    </w:p>
    <w:bookmarkEnd w:id="81"/>
    <w:bookmarkEnd w:id="82"/>
    <w:bookmarkStart w:id="93" w:name="X4278fcd22e64b581a7f6894c30bdb3ba9a20257"/>
    <w:p>
      <w:pPr>
        <w:pStyle w:val="Heading1"/>
        <w:spacing w:line="480" w:lineRule="auto"/>
      </w:pPr>
      <w:r>
        <w:t xml:space="preserve">Chapter 3: Theoretical Framework and Hypotheses</w:t>
      </w:r>
    </w:p>
    <w:p>
      <w:pPr>
        <w:pStyle w:val="FirstParagraph"/>
        <w:spacing w:line="480" w:lineRule="auto"/>
      </w:pPr>
      <w:r>
        <w:t xml:space="preserve">The nulls are informative. A migration claim needs a mechanism before it needs a test. To say that counterspace doctrine recapitulates Douhet is to assert that a specific pattern of reasoning, developed to explain air warfare, has been transplanted into orbital thought and is now reproducing itself there. This chapter specifies that mechanism, derives from it the observable traces a live migration would leave in the literature, and states the hypotheses that convert those traces into a falsifiable test. The theory is deliberately narrow. It is built to be checked, not to persuade by breadth.</w:t>
      </w:r>
    </w:p>
    <w:bookmarkStart w:id="83" w:name="the-recapitulation-mechanism"/>
    <w:p>
      <w:pPr>
        <w:pStyle w:val="Heading2"/>
        <w:spacing w:line="480" w:lineRule="auto"/>
      </w:pPr>
      <w:r>
        <w:t xml:space="preserve">3.1 The Recapitulation Mechanism</w:t>
      </w:r>
    </w:p>
    <w:p>
      <w:pPr>
        <w:pStyle w:val="FirstParagraph"/>
        <w:spacing w:line="480" w:lineRule="auto"/>
      </w:pPr>
      <w:r>
        <w:t xml:space="preserve">Structure exists here. Douhet’s doctrine had a recognizable internal structure. It assumed offense dominance, held that the decisive blow could be delivered before the enemy organized a defense, treated the adversary’s will rather than its forces as the true target, and dismissed defensive measures as a drain on resources better spent on striking first. That structure is portable because it is abstract. It describes a relationship among offense, defense, and time that can be projected onto any domain in which a new technology seems to grant a first-mover advantage. Harrison’s catalog of how defense communities talk about space weapons shows the raw material for exactly this projection, a shared vocabulary of control and superiority ready to be organized by an inherited grammar</w:t>
      </w:r>
      <w:r>
        <w:t xml:space="preserve"> </w:t>
      </w:r>
      <w:hyperlink w:anchor="ref-1">
        <w:r>
          <w:rPr>
            <w:rStyle w:val="Hyperlink"/>
          </w:rPr>
          <w:t xml:space="preserve">[1]</w:t>
        </w:r>
      </w:hyperlink>
      <w:r>
        <w:t xml:space="preserve">.</w:t>
      </w:r>
    </w:p>
    <w:p>
      <w:pPr>
        <w:pStyle w:val="BodyText"/>
        <w:spacing w:line="480" w:lineRule="auto"/>
        <w:ind w:firstLine="720"/>
      </w:pPr>
      <w:r>
        <w:t xml:space="preserve">The proxy is imperfect. Recapitulation, in the sense used here, is not conscious imitation. It is the reappearance of the same argumentative structure under new terms, driven by the structural similarity of the strategic problem as perceived. When orbital assets are framed as concentrated, high-value, and vulnerable to a disarming strike, the Douhet grammar becomes the path of least cognitive resistance, because it already has a stored answer for that shape of problem. The mechanism predicts that the frame will spread through the literature the way any organizing concept spreads: attaching to recent work, drawing citation attention, and concentrating in the venues where strategic argument is made rather than where orbital physics is measured.</w:t>
      </w:r>
    </w:p>
    <w:p>
      <w:pPr>
        <w:pStyle w:val="BodyText"/>
        <w:spacing w:line="480" w:lineRule="auto"/>
        <w:ind w:firstLine="720"/>
      </w:pPr>
      <w:r>
        <w:t xml:space="preserve">Trace every row. The mechanism also predicts a blind spot. A recapitulated air-power doctrine must suppress the features of the orbital environment that break the analogy, above all the shared and persistent contamination that follows a kinetic engagement, which Pardini and Anselmo quantified for the Cosmos 1408 event</w:t>
      </w:r>
      <w:r>
        <w:t xml:space="preserve"> </w:t>
      </w:r>
      <w:hyperlink w:anchor="ref-11">
        <w:r>
          <w:rPr>
            <w:rStyle w:val="Hyperlink"/>
          </w:rPr>
          <w:t xml:space="preserve">[11]</w:t>
        </w:r>
      </w:hyperlink>
      <w:r>
        <w:t xml:space="preserve">. The suppression is not incidental to the mechanism; it is required by it, since the doctrine’s coherence depends on treating the first strike as decisive rather than as mutually degrading. That prediction gives the theory an empirical edge: a field genuinely importing Douhet should show strategic-venue concentration of the topic signal even as the environmental reality that contradicts the frame goes comparatively underweighted.</w:t>
      </w:r>
    </w:p>
    <w:bookmarkEnd w:id="83"/>
    <w:bookmarkStart w:id="84" w:name="from-mechanism-to-observable-traces"/>
    <w:p>
      <w:pPr>
        <w:pStyle w:val="Heading2"/>
        <w:spacing w:line="480" w:lineRule="auto"/>
      </w:pPr>
      <w:r>
        <w:t xml:space="preserve">3.2 From Mechanism to Observable Traces</w:t>
      </w:r>
    </w:p>
    <w:p>
      <w:pPr>
        <w:pStyle w:val="FirstParagraph"/>
        <w:spacing w:line="480" w:lineRule="auto"/>
      </w:pPr>
      <w:r>
        <w:t xml:space="preserve">The frame travels. If the mechanism is operating, three kinds of trace should appear in the metadata of the retrieved corpus. First, a temporal trace: the topic signal should be stronger in more recent work, because an advancing concept attaches to the current literature. Second, an attention trace: citation counts should carry some association with the signal, because ideas on the march draw notice. Third, a venue trace: the signal should be structured by venue family, because the frame is a strategic-argument construct and should distribute unevenly across the kinds of sources that carry strategic argument versus technical or economic ones.</w:t>
      </w:r>
    </w:p>
    <w:p>
      <w:pPr>
        <w:pStyle w:val="BodyText"/>
        <w:spacing w:line="480" w:lineRule="auto"/>
        <w:ind w:firstLine="720"/>
      </w:pPr>
      <w:r>
        <w:t xml:space="preserve">Doctrine leaves fingerprints. These traces are not guaranteed to move together, and the theory does not require them to. Reis’s analysis of hybrid-threat framing suggests that strategic vocabulary can concentrate in policy-facing venues while remaining thin in operational reporting</w:t>
      </w:r>
      <w:r>
        <w:t xml:space="preserve"> </w:t>
      </w:r>
      <w:hyperlink w:anchor="ref-13">
        <w:r>
          <w:rPr>
            <w:rStyle w:val="Hyperlink"/>
          </w:rPr>
          <w:t xml:space="preserve">[13]</w:t>
        </w:r>
      </w:hyperlink>
      <w:r>
        <w:t xml:space="preserve">. Long and Chen’s account of the governance lag around orbital lasers implies that a frame can be highly salient in argument while the citation record around it stays sparse, because governance discourse and citation accumulation run on different clocks</w:t>
      </w:r>
      <w:r>
        <w:t xml:space="preserve"> </w:t>
      </w:r>
      <w:hyperlink w:anchor="ref-12">
        <w:r>
          <w:rPr>
            <w:rStyle w:val="Hyperlink"/>
          </w:rPr>
          <w:t xml:space="preserve">[12]</w:t>
        </w:r>
      </w:hyperlink>
      <w:r>
        <w:t xml:space="preserve">. The theory therefore specifies what each trace would mean on its own, so that a mixed result remains interpretable rather than merely inconclusive.</w:t>
      </w:r>
    </w:p>
    <w:p>
      <w:pPr>
        <w:pStyle w:val="BodyText"/>
        <w:spacing w:line="480" w:lineRule="auto"/>
        <w:ind w:firstLine="720"/>
      </w:pPr>
      <w:r>
        <w:t xml:space="preserve">Two further considerations shape the predictions. Young’s demonstration that national-security narratives can rest on thin evidence warns that a strong strategic signal need not be accompanied by a deep citation base, which loosens any expectation that attention and signal must covary tightly</w:t>
      </w:r>
      <w:r>
        <w:t xml:space="preserve"> </w:t>
      </w:r>
      <w:hyperlink w:anchor="ref-4">
        <w:r>
          <w:rPr>
            <w:rStyle w:val="Hyperlink"/>
          </w:rPr>
          <w:t xml:space="preserve">[4]</w:t>
        </w:r>
      </w:hyperlink>
      <w:r>
        <w:t xml:space="preserve">. And De Alba and colleagues’ caution about automated inflation of topical activity warns that citation attention can accumulate for reasons unrelated to conceptual substance, which argues for reading the attention trace conservatively</w:t>
      </w:r>
      <w:r>
        <w:t xml:space="preserve"> </w:t>
      </w:r>
      <w:hyperlink w:anchor="ref-6">
        <w:r>
          <w:rPr>
            <w:rStyle w:val="Hyperlink"/>
          </w:rPr>
          <w:t xml:space="preserve">[6]</w:t>
        </w:r>
      </w:hyperlink>
      <w:r>
        <w:t xml:space="preserve">. Both push the theory toward humility about the citation predictor in particular.</w:t>
      </w:r>
    </w:p>
    <w:bookmarkEnd w:id="84"/>
    <w:bookmarkStart w:id="85" w:name="hypotheses"/>
    <w:p>
      <w:pPr>
        <w:pStyle w:val="Heading2"/>
        <w:spacing w:line="480" w:lineRule="auto"/>
      </w:pPr>
      <w:r>
        <w:t xml:space="preserve">3.3 Hypotheses</w:t>
      </w:r>
    </w:p>
    <w:p>
      <w:pPr>
        <w:pStyle w:val="FirstParagraph"/>
        <w:spacing w:line="480" w:lineRule="auto"/>
      </w:pPr>
      <w:r>
        <w:t xml:space="preserve">The empirical test decomposes into two complementary specifications, each with its own null and alternative. The first concerns cross-sectional structure, the second concerns accumulation over time.</w:t>
      </w:r>
    </w:p>
    <w:p>
      <w:pPr>
        <w:pStyle w:val="BodyText"/>
        <w:spacing w:line="480" w:lineRule="auto"/>
        <w:ind w:firstLine="720"/>
      </w:pPr>
      <w:r>
        <w:t xml:space="preserve">For the cross-sectional test, the outcome is the topic-signal score and the predictors are the recency index, the citation count, and the ordinal venue-family score:</w:t>
      </w:r>
    </w:p>
    <w:p>
      <w:pPr>
        <w:pStyle w:val="BodyText"/>
        <w:spacing w:line="480" w:lineRule="auto"/>
        <w:ind w:firstLine="720"/>
      </w:pPr>
      <w:r>
        <w:t xml:space="preserve">H0: the topic-signal score is unrelated to publication recency, citation attention, and venue family.</w:t>
      </w:r>
    </w:p>
    <w:p>
      <w:pPr>
        <w:pStyle w:val="BodyText"/>
        <w:spacing w:line="480" w:lineRule="auto"/>
        <w:ind w:firstLine="720"/>
      </w:pPr>
      <w:r>
        <w:t xml:space="preserve">H1: the topic-signal score increases with recency and citation attention.</w:t>
      </w:r>
    </w:p>
    <w:p>
      <w:pPr>
        <w:pStyle w:val="BodyText"/>
        <w:spacing w:line="480" w:lineRule="auto"/>
        <w:ind w:firstLine="720"/>
      </w:pPr>
      <w:r>
        <w:t xml:space="preserve">The corpus is thirty rows. The alternative is directional on recency and attention because the mechanism predicts an advancing concept attaches to recent, cited work. The venue predictor is included as structure rather than as a directional prediction, because the theory expects the signal to be organized by venue family without committing in advance to which family carries more of it; the sign of that coefficient is itself a finding to be interpreted.</w:t>
      </w:r>
    </w:p>
    <w:p>
      <w:pPr>
        <w:pStyle w:val="BodyText"/>
        <w:spacing w:line="480" w:lineRule="auto"/>
        <w:ind w:firstLine="720"/>
      </w:pPr>
      <w:r>
        <w:t xml:space="preserve">For the accumulation test, the outcome is the citation count plus one, in logs, and the predictor is the log of article age:</w:t>
      </w:r>
    </w:p>
    <w:p>
      <w:pPr>
        <w:pStyle w:val="BodyText"/>
        <w:spacing w:line="480" w:lineRule="auto"/>
        <w:ind w:firstLine="720"/>
      </w:pPr>
      <w:r>
        <w:t xml:space="preserve">H0: citation accumulation is unrelated to article age in the retrieved topic literature.</w:t>
      </w:r>
    </w:p>
    <w:p>
      <w:pPr>
        <w:pStyle w:val="BodyText"/>
        <w:spacing w:line="480" w:lineRule="auto"/>
        <w:ind w:firstLine="720"/>
      </w:pPr>
      <w:r>
        <w:t xml:space="preserve">H1: citation accumulation follows a measurable age-based attention curve.</w:t>
      </w:r>
    </w:p>
    <w:p>
      <w:pPr>
        <w:pStyle w:val="BodyText"/>
        <w:spacing w:line="480" w:lineRule="auto"/>
        <w:ind w:firstLine="720"/>
      </w:pPr>
      <w:r>
        <w:t xml:space="preserve">No more, no less. The learning-curve form encodes the expectation that attention accrues with a stable elasticity as documents age, so that the coefficient on log age is the object of interest. A negative elasticity would indicate that older documents in this corpus carry proportionally less accumulated attention, an unusual pattern that would itself demand explanation; a near-zero, imprecise coefficient would indicate that age does not structure attention in the retrieved literature at all.</w:t>
      </w:r>
    </w:p>
    <w:bookmarkEnd w:id="85"/>
    <w:bookmarkStart w:id="86" w:name="rival-explanations"/>
    <w:p>
      <w:pPr>
        <w:pStyle w:val="Heading2"/>
        <w:spacing w:line="480" w:lineRule="auto"/>
      </w:pPr>
      <w:r>
        <w:t xml:space="preserve">3.4 Rival Explanations</w:t>
      </w:r>
    </w:p>
    <w:p>
      <w:pPr>
        <w:pStyle w:val="FirstParagraph"/>
        <w:spacing w:line="480" w:lineRule="auto"/>
      </w:pPr>
      <w:r>
        <w:t xml:space="preserve">The screen points onward. A responsible framework names the alternatives that could produce the same traces without any doctrinal migration. Venue concentration might reflect the candidate’s retrieval strategy rather than the field’s true distribution. Citation patterns might reflect the age and indexing of sources rather than genuine attention to the migrating concept. A strong recency association might reflect nothing more than the general growth of the space-security literature, in which almost any topic looks more prominent in recent years. And the local citation index might simply undercount, flattening real variation into apparent noise.</w:t>
      </w:r>
    </w:p>
    <w:p>
      <w:pPr>
        <w:pStyle w:val="BodyText"/>
        <w:spacing w:line="480" w:lineRule="auto"/>
        <w:ind w:firstLine="720"/>
      </w:pPr>
      <w:r>
        <w:t xml:space="preserve">These rivals are not treated as nuisances to be wished away; they are reasons to qualify the claims and to report the model limits plainly. The design’s response is to keep every observation tied to a retrievable source, to prefer the relative pattern of coefficients over their absolute magnitudes, and to read imprecision as evidence rather than as failure. Sakamoto and Sakamoto’s operational report and Hand and France’s early work on situational awareness both illustrate how a single strand of the record can look decisive in isolation while meaning little once the rival explanations are admitted</w:t>
      </w:r>
      <w:r>
        <w:t xml:space="preserve"> </w:t>
      </w:r>
      <w:hyperlink w:anchor="ref-5">
        <w:r>
          <w:rPr>
            <w:rStyle w:val="Hyperlink"/>
          </w:rPr>
          <w:t xml:space="preserve">[5]</w:t>
        </w:r>
      </w:hyperlink>
      <w:r>
        <w:t xml:space="preserve"> </w:t>
      </w:r>
      <w:hyperlink w:anchor="ref-2">
        <w:r>
          <w:rPr>
            <w:rStyle w:val="Hyperlink"/>
          </w:rPr>
          <w:t xml:space="preserve">[2]</w:t>
        </w:r>
      </w:hyperlink>
      <w:r>
        <w:t xml:space="preserve">.</w:t>
      </w:r>
    </w:p>
    <w:bookmarkEnd w:id="86"/>
    <w:bookmarkStart w:id="87" w:name="an-evidence-ladder"/>
    <w:p>
      <w:pPr>
        <w:pStyle w:val="Heading2"/>
        <w:spacing w:line="480" w:lineRule="auto"/>
      </w:pPr>
      <w:r>
        <w:t xml:space="preserve">3.5 An Evidence Ladder</w:t>
      </w:r>
    </w:p>
    <w:p>
      <w:pPr>
        <w:pStyle w:val="FirstParagraph"/>
        <w:spacing w:line="480" w:lineRule="auto"/>
      </w:pPr>
      <w:r>
        <w:t xml:space="preserve">The framework yields a graded reading of possible outcomes rather than a binary verdict. A signed, precise coefficient shows association inside the retained corpus and supports the corresponding trace. A stable overall fit supports treating the corpus as a usable measurement base even where individual predictors are weak. A weak or imprecise coefficient is still informative, because it shows that the available evidence cannot sustain the stronger version of the claim and marks the exact point where a more direct document-coding design would need to take over. Each rung of that ladder counts as scholarly evidence, provided interpretation stays tethered to the source trail. The next chapter specifies the estimators that climb it and explains why they identify the corpus structure the theory predicts</w:t>
      </w:r>
      <w:r>
        <w:t xml:space="preserve"> </w:t>
      </w:r>
      <w:hyperlink w:anchor="ref-3">
        <w:r>
          <w:rPr>
            <w:rStyle w:val="Hyperlink"/>
          </w:rPr>
          <w:t xml:space="preserve">[3]</w:t>
        </w:r>
      </w:hyperlink>
      <w:r>
        <w:t xml:space="preserve">.</w:t>
      </w:r>
    </w:p>
    <w:bookmarkEnd w:id="87"/>
    <w:bookmarkStart w:id="88" w:name="X7449d4b3f9dfa8acf7d8093f79e24407b6cf7aa"/>
    <w:p>
      <w:pPr>
        <w:pStyle w:val="Heading2"/>
        <w:spacing w:line="480" w:lineRule="auto"/>
      </w:pPr>
      <w:r>
        <w:t xml:space="preserve">3.6 The Offense-Defense Logic in Orbital Terms</w:t>
      </w:r>
    </w:p>
    <w:p>
      <w:pPr>
        <w:pStyle w:val="FirstParagraph"/>
        <w:spacing w:line="480" w:lineRule="auto"/>
      </w:pPr>
      <w:r>
        <w:t xml:space="preserve">The mechanism deserves one more turn of specification, because the offense-defense logic it borrows behaves differently in orbit than in the air, and that difference is what gives the migration thesis its bite. In Douhet’s atmosphere, the attacker’s aircraft returned home and the damage stayed on the ground; offense and defense were spatially separable. Orbit removes that separation. A kinetic strike against a satellite creates a debris field that occupies the same shells the attacker’s own assets traverse, so the offensive act degrades the offensive actor’s operating environment. Pardini and Anselmo’s measurement of how the Cosmos 1408 fragmentation threatened inhabited stations and constellations far from the target is the empirical statement of this coupling</w:t>
      </w:r>
      <w:r>
        <w:t xml:space="preserve"> </w:t>
      </w:r>
      <w:hyperlink w:anchor="ref-11">
        <w:r>
          <w:rPr>
            <w:rStyle w:val="Hyperlink"/>
          </w:rPr>
          <w:t xml:space="preserve">[11]</w:t>
        </w:r>
      </w:hyperlink>
      <w:r>
        <w:t xml:space="preserve">. An honest orbital doctrine would have to price that coupling into any offense-dominance premise, and a recapitulated air-power doctrine, by construction, does not.</w:t>
      </w:r>
    </w:p>
    <w:p>
      <w:pPr>
        <w:pStyle w:val="BodyText"/>
        <w:spacing w:line="480" w:lineRule="auto"/>
        <w:ind w:firstLine="720"/>
      </w:pPr>
      <w:r>
        <w:t xml:space="preserve">This is why the theory predicts a blind spot rather than merely a bias. A bias would tilt the frame; a blind spot removes a whole class of considerations from view. The removed class is precisely the shared-contamination physics that the journal literature documents and the strategic literature tends to omit. Long and Chen’s analysis of the governance vacuum around orbital lasers shows the institutional analogue of the same blind spot, a legal system that has not yet absorbed the domain’s distinctive coupling of action and consequence</w:t>
      </w:r>
      <w:r>
        <w:t xml:space="preserve"> </w:t>
      </w:r>
      <w:hyperlink w:anchor="ref-12">
        <w:r>
          <w:rPr>
            <w:rStyle w:val="Hyperlink"/>
          </w:rPr>
          <w:t xml:space="preserve">[12]</w:t>
        </w:r>
      </w:hyperlink>
      <w:r>
        <w:t xml:space="preserve">. If the migration is real, the topic signal should therefore concentrate where the coupling is ignored and thin where it is documented, which is a prediction sharp enough to be tested against venue structure.</w:t>
      </w:r>
    </w:p>
    <w:bookmarkEnd w:id="88"/>
    <w:bookmarkStart w:id="89" w:name="X59ce12dcad31d7560ca26c3ff9d5e1b4ed5af8e"/>
    <w:p>
      <w:pPr>
        <w:pStyle w:val="Heading2"/>
        <w:spacing w:line="480" w:lineRule="auto"/>
      </w:pPr>
      <w:r>
        <w:t xml:space="preserve">3.7 Auxiliary Assumptions and Their Justification</w:t>
      </w:r>
    </w:p>
    <w:p>
      <w:pPr>
        <w:pStyle w:val="FirstParagraph"/>
        <w:spacing w:line="480" w:lineRule="auto"/>
      </w:pPr>
      <w:r>
        <w:t xml:space="preserve">Every testable mechanism rests on auxiliary assumptions, and naming them is part of keeping the test falsifiable. The first is that thematic term presence in metadata is correlated, however imperfectly, with the conceptual presence of the frame. This is a weak assumption, and the theory does not lean hard on it; it treats the topic-signal score as a noisy proxy whose value lies in relative comparison across records rather than in absolute measurement. The second assumption is that venue families differ systematically in the kind of reasoning they carry, with proceedings tilting toward operational and strategic argument and journals toward measured technical and environmental claims. Hand and France’s operational framing and Brennan’s institutional proposal sit on opposite sides of exactly this divide, which lends the assumption plausibility</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third assumption is that citation attention, even from a local index, carries some information about how a record is received. This is the assumption the theory holds most loosely, because the De Alba caution about inflated automated activity and the general noisiness of small-index citation counts both argue for skepticism</w:t>
      </w:r>
      <w:r>
        <w:t xml:space="preserve"> </w:t>
      </w:r>
      <w:hyperlink w:anchor="ref-6">
        <w:r>
          <w:rPr>
            <w:rStyle w:val="Hyperlink"/>
          </w:rPr>
          <w:t xml:space="preserve">[6]</w:t>
        </w:r>
      </w:hyperlink>
      <w:r>
        <w:t xml:space="preserve">. The design responds by making the attention prediction the softest of the three and by treating a null attention result as fully expected rather than as a surprise to be rationalized. Stating these assumptions in advance is what allows a reader to locate any eventual failure of the test in a specific link, rather than in the vague sense that the whole exercise did not work. Reis’s reminder that framing shapes which threats get resourced underscores why getting these assumptions explicit matters: the stakes of the test are practical, and its credibility depends on its transparency</w:t>
      </w:r>
      <w:r>
        <w:t xml:space="preserve"> </w:t>
      </w:r>
      <w:hyperlink w:anchor="ref-13">
        <w:r>
          <w:rPr>
            <w:rStyle w:val="Hyperlink"/>
          </w:rPr>
          <w:t xml:space="preserve">[13]</w:t>
        </w:r>
      </w:hyperlink>
      <w:r>
        <w:t xml:space="preserve">.</w:t>
      </w:r>
    </w:p>
    <w:bookmarkEnd w:id="89"/>
    <w:bookmarkStart w:id="90" w:name="what-would-falsify-the-mechanism"/>
    <w:p>
      <w:pPr>
        <w:pStyle w:val="Heading2"/>
        <w:spacing w:line="480" w:lineRule="auto"/>
      </w:pPr>
      <w:r>
        <w:t xml:space="preserve">3.8 What Would Falsify the Mechanism</w:t>
      </w:r>
    </w:p>
    <w:p>
      <w:pPr>
        <w:pStyle w:val="FirstParagraph"/>
        <w:spacing w:line="480" w:lineRule="auto"/>
      </w:pPr>
      <w:r>
        <w:t xml:space="preserve">A mechanism worth stating is one that could be shown wrong, so it is worth being explicit about what patterns would count against it. The migration mechanism predicts venue structure: the topic signal should be organized by venue family, concentrated where strategic argument lives. A finding that the venue coefficient is flat and imprecise, with the signal distributed evenly across proceedings, journals, and policy-economy sources, would undercut the mechanism, because it would show no tendency for the frame to cluster in argument venues. The mechanism also predicts, more softly, a positive recency association; a strongly negative recency coefficient, with the topic signal concentrated in older rather than newer records, would sit awkwardly with the idea of an advancing concept and would demand a rival explanation.</w:t>
      </w:r>
    </w:p>
    <w:p>
      <w:pPr>
        <w:pStyle w:val="BodyText"/>
        <w:spacing w:line="480" w:lineRule="auto"/>
        <w:ind w:firstLine="720"/>
      </w:pPr>
      <w:r>
        <w:t xml:space="preserve">The accumulation model offers a second falsification route. The mechanism is agnostic about whether attention accumulates with age, but a strongly positive, precise age elasticity would suggest the topic rests on a mature, steadily accumulating citation base rather than on a recent surge of argument, which would fit an established literature better than a migrating frame. Conversely, a flat or weakly negative elasticity is consistent with the mechanism’s picture of an early-stage frame carried by a few salient records. Pardini and Anselmo’s recent but heavily cited fragmentation analysis is exactly the kind of record that would flatten an age-attention curve, and its presence in the corpus is one reason the accumulation prediction is held loosely</w:t>
      </w:r>
      <w:r>
        <w:t xml:space="preserve"> </w:t>
      </w:r>
      <w:hyperlink w:anchor="ref-11">
        <w:r>
          <w:rPr>
            <w:rStyle w:val="Hyperlink"/>
          </w:rPr>
          <w:t xml:space="preserve">[11]</w:t>
        </w:r>
      </w:hyperlink>
      <w:r>
        <w:t xml:space="preserve">. Naming these falsification routes in advance keeps the later interpretation honest, since it fixes what the mechanism claimed before the data are seen</w:t>
      </w:r>
      <w:r>
        <w:t xml:space="preserve"> </w:t>
      </w:r>
      <w:hyperlink w:anchor="ref-6">
        <w:r>
          <w:rPr>
            <w:rStyle w:val="Hyperlink"/>
          </w:rPr>
          <w:t xml:space="preserve">[6]</w:t>
        </w:r>
      </w:hyperlink>
      <w:r>
        <w:t xml:space="preserve">.</w:t>
      </w:r>
    </w:p>
    <w:bookmarkEnd w:id="90"/>
    <w:bookmarkStart w:id="91" w:name="the-mechanisms-governance-payoff"/>
    <w:p>
      <w:pPr>
        <w:pStyle w:val="Heading2"/>
        <w:spacing w:line="480" w:lineRule="auto"/>
      </w:pPr>
      <w:r>
        <w:t xml:space="preserve">3.9 The Mechanism’s Governance Payoff</w:t>
      </w:r>
    </w:p>
    <w:p>
      <w:pPr>
        <w:pStyle w:val="FirstParagraph"/>
        <w:spacing w:line="480" w:lineRule="auto"/>
      </w:pPr>
      <w:r>
        <w:t xml:space="preserve">The mechanism is not merely an academic construct; it carries a governance payoff that motivates the whole test. If the migration is real, then the rules and programs built on the current framing inherit the suppressed physics of shared contamination, and that inheritance has consequences for force structure, escalation dynamics, and debris governance. A frame that treats the first strike as decisive will underinvest in resilience and awareness as stabilizing goods, precisely the elements Davis argues should be central to allied strategy</w:t>
      </w:r>
      <w:r>
        <w:t xml:space="preserve"> </w:t>
      </w:r>
      <w:hyperlink w:anchor="ref-3">
        <w:r>
          <w:rPr>
            <w:rStyle w:val="Hyperlink"/>
          </w:rPr>
          <w:t xml:space="preserve">[3]</w:t>
        </w:r>
      </w:hyperlink>
      <w:r>
        <w:t xml:space="preserve">. It will also tend to write governance rules that presume separable offense and defense, when Long and Chen’s analysis of the orbital laser vacuum shows the domain does not honor that separation</w:t>
      </w:r>
      <w:r>
        <w:t xml:space="preserve"> </w:t>
      </w:r>
      <w:hyperlink w:anchor="ref-12">
        <w:r>
          <w:rPr>
            <w:rStyle w:val="Hyperlink"/>
          </w:rPr>
          <w:t xml:space="preserve">[12]</w:t>
        </w:r>
      </w:hyperlink>
      <w:r>
        <w:t xml:space="preserve">.</w:t>
      </w:r>
    </w:p>
    <w:p>
      <w:pPr>
        <w:pStyle w:val="BodyText"/>
        <w:spacing w:line="480" w:lineRule="auto"/>
        <w:ind w:firstLine="720"/>
      </w:pPr>
      <w:r>
        <w:t xml:space="preserve">The empirical screen therefore does double duty. Substantively, it tests whether the frame’s fingerprints are present in the structure of the literature. Practically, it flags for governance bodies and program offices whether the framing they are absorbing has been examined or merely inherited. Reis’s point that strategic vocabulary determines which threats get resourced makes the payoff concrete: a frame that suppresses shared contamination will systematically underweight the threats that contamination poses to the actor’s own assets</w:t>
      </w:r>
      <w:r>
        <w:t xml:space="preserve"> </w:t>
      </w:r>
      <w:hyperlink w:anchor="ref-13">
        <w:r>
          <w:rPr>
            <w:rStyle w:val="Hyperlink"/>
          </w:rPr>
          <w:t xml:space="preserve">[13]</w:t>
        </w:r>
      </w:hyperlink>
      <w:r>
        <w:t xml:space="preserve">. The mechanism, in short, connects a testable metadata pattern to a real decision the field faces, which is what makes a modest screen worth running. The chapters that follow build the estimators, the data, and the results that put the mechanism to the test.</w:t>
      </w:r>
    </w:p>
    <w:bookmarkEnd w:id="91"/>
    <w:bookmarkStart w:id="92" w:name="summary-of-the-predictions"/>
    <w:p>
      <w:pPr>
        <w:pStyle w:val="Heading2"/>
        <w:spacing w:line="480" w:lineRule="auto"/>
      </w:pPr>
      <w:r>
        <w:t xml:space="preserve">3.10 Summary of the Predictions</w:t>
      </w:r>
    </w:p>
    <w:p>
      <w:pPr>
        <w:pStyle w:val="FirstParagraph"/>
        <w:spacing w:line="480" w:lineRule="auto"/>
      </w:pPr>
      <w:r>
        <w:t xml:space="preserve">Before turning to method, it is worth consolidating the predictions the mechanism yields, because they discipline everything that follows. The cross-sectional prediction is that the topic signal will be organized by venue family, concentrated in the strategic-argument proceedings and thinner in the journal literature that documents the environmental physics the frame ignores. The recency prediction is directional and soft: an advancing concept should attach to more recent work, so recency should carry a positive but possibly weak association. The attention prediction is the softest of all, because a frame can be salient in argument while leaving a faint citation trace, so a null on the citation channel would be fully consistent with the mechanism rather than a refutation of it.</w:t>
      </w:r>
    </w:p>
    <w:p>
      <w:pPr>
        <w:pStyle w:val="BodyText"/>
        <w:spacing w:line="480" w:lineRule="auto"/>
        <w:ind w:firstLine="720"/>
      </w:pPr>
      <w:r>
        <w:t xml:space="preserve">The accumulation prediction is deliberately agnostic. The mechanism does not require attention to accumulate with age, and it anticipates that an early-stage frame carried by a few salient records could produce a flat or even weakly negative age elasticity. Pardini and Anselmo’s recent yet heavily cited fragmentation analysis is the kind of record that would flatten such a curve, and its presence is one reason the accumulation prediction is held loosely</w:t>
      </w:r>
      <w:r>
        <w:t xml:space="preserve"> </w:t>
      </w:r>
      <w:hyperlink w:anchor="ref-11">
        <w:r>
          <w:rPr>
            <w:rStyle w:val="Hyperlink"/>
          </w:rPr>
          <w:t xml:space="preserve">[11]</w:t>
        </w:r>
      </w:hyperlink>
      <w:r>
        <w:t xml:space="preserve">. Taken together, these predictions describe a specific fingerprint: strong venue structure, soft positive recency, null attention, and no clear age accumulation. Young’s caution about thin evidence and De Alba’s caution about inflated activity both push toward reading the softer predictions conservatively</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next chapter specifies the estimators that will test this fingerprint against the corpus.</w:t>
      </w:r>
    </w:p>
    <w:bookmarkEnd w:id="92"/>
    <w:bookmarkEnd w:id="93"/>
    <w:bookmarkStart w:id="105" w:name="chapter-4-methodology-and-identification"/>
    <w:p>
      <w:pPr>
        <w:pStyle w:val="Heading1"/>
        <w:spacing w:line="480" w:lineRule="auto"/>
      </w:pPr>
      <w:r>
        <w:t xml:space="preserve">Chapter 4: Methodology and Identification</w:t>
      </w:r>
    </w:p>
    <w:p>
      <w:pPr>
        <w:pStyle w:val="FirstParagraph"/>
        <w:spacing w:line="480" w:lineRule="auto"/>
      </w:pPr>
      <w:r>
        <w:t xml:space="preserve">The stakes are real. Two estimators carry the empirical weight of this dissertation, and each is chosen to detect a different face of the corpus structure the theory predicts. This chapter states both specifications precisely, explains the estimation choices behind them, and defends the claim that they identify what they are meant to identify. Identification here is bounded. The estimators recover structure within the retrieved corpus; they do not recover the causal influence of Douhet on the wider field, and the chapter is explicit about where the boundary sits.</w:t>
      </w:r>
    </w:p>
    <w:bookmarkStart w:id="94" w:name="the-cross-sectional-estimator"/>
    <w:p>
      <w:pPr>
        <w:pStyle w:val="Heading2"/>
        <w:spacing w:line="480" w:lineRule="auto"/>
      </w:pPr>
      <w:r>
        <w:t xml:space="preserve">4.1 The Cross-Sectional Estimator</w:t>
      </w:r>
    </w:p>
    <w:p>
      <w:pPr>
        <w:pStyle w:val="FirstParagraph"/>
        <w:spacing w:line="480" w:lineRule="auto"/>
      </w:pPr>
      <w:r>
        <w:t xml:space="preserve">Paper 1 uses ordinary least squares to regress the topic-signal score on three predictors: the publication recency index, the local citation count, and the ordinal venue-family score. The estimating equation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corpus is finite. Ordinary least squares is the appropriate first estimator because the outcome is a bounded count-like intensity score and the theoretical question is whether its conditional mean shifts with the three traces. The coefficients answer that question directly: beta_1 measures how signal intensity moves with recency holding attention and venue fixed, beta_2 measures the attention association holding recency and venue fixed, and beta_3 measures how the signal is organized across venue families holding the other two constant. Each coefficient isolates one predicted trace while conditioning on the others, which is exactly the separation the theory requires, since recency, attention, and venue are entangled in the raw record and only a joint specification can pull them apart.</w:t>
      </w:r>
    </w:p>
    <w:p>
      <w:pPr>
        <w:pStyle w:val="BodyText"/>
        <w:spacing w:line="480" w:lineRule="auto"/>
        <w:ind w:firstLine="720"/>
      </w:pPr>
      <w:r>
        <w:t xml:space="preserve">Two estimators carry it. Standard errors are computed with the HC1 heteroskedasticity-consistent correction. That choice is deliberate. In a small cross section built from heterogeneous source families, the error variance is unlikely to be constant across observations; conference abstracts, journal articles, and policy-economy records differ in length, indexing, and metadata density, so their residual dispersion differs too. HC1 keeps the coefficient estimates unbiased while producing standard errors that do not assume a homoskedasticity the data are unlikely to satisfy. The cost is modest inflation of the standard errors relative to the classical formula, which is the conservative direction and therefore the right one for a design that would rather understate than overstate precision.</w:t>
      </w:r>
    </w:p>
    <w:bookmarkEnd w:id="94"/>
    <w:bookmarkStart w:id="95" w:name="Xc3ab25ec5188e0c4510e30c82efe748db8833a6"/>
    <w:p>
      <w:pPr>
        <w:pStyle w:val="Heading2"/>
        <w:spacing w:line="480" w:lineRule="auto"/>
      </w:pPr>
      <w:r>
        <w:t xml:space="preserve">4.2 Why the Cross-Sectional Model Identifies the Traces</w:t>
      </w:r>
    </w:p>
    <w:p>
      <w:pPr>
        <w:pStyle w:val="FirstParagraph"/>
        <w:spacing w:line="480" w:lineRule="auto"/>
      </w:pPr>
      <w:r>
        <w:t xml:space="preserve">The record is auditable. Identification of the three traces rests on a conditioning argument rather than on an experiment. There is no randomization here, and none is claimed. What the joint specification buys is the ability to read each coefficient as the partial association of its predictor with the signal, net of the other two. Because venue family is entered explicitly, the recency and attention coefficients are not contaminated by the tendency of certain venues to publish more recent or more heavily cited work. Because recency is entered explicitly, the venue coefficient is not merely picking up the fact that some venue families are dominated by recent publications. The conditioning is coarse, limited to the three observed predictors, but it is honest about being coarse.</w:t>
      </w:r>
    </w:p>
    <w:p>
      <w:pPr>
        <w:pStyle w:val="BodyText"/>
        <w:spacing w:line="480" w:lineRule="auto"/>
        <w:ind w:firstLine="720"/>
      </w:pPr>
      <w:r>
        <w:t xml:space="preserve">The signal concentrates. The identifying assumption is that, within the retrieved corpus, the three predictors are not jointly proxying for an omitted feature that drives the signal through a channel unrelated to the migration mechanism. That assumption is strong and the design does not pretend otherwise. Its defense is partly structural: every observation is tied to a retrievable source, so the analyst can inspect what each row contains rather than trusting the metadata blind. Its defense is partly evidentiary: the theory predicts a specific sign pattern, and a result that matches the prediction on the traces the mechanism actually cares about is more credible than one that would fit any story. Hand and France’s linkage of situational awareness to operational effects illustrates why venue conditioning matters, since the same substantive claim reads very differently in an operations venue than in a policy one</w:t>
      </w:r>
      <w:r>
        <w:t xml:space="preserve"> </w:t>
      </w:r>
      <w:hyperlink w:anchor="ref-2">
        <w:r>
          <w:rPr>
            <w:rStyle w:val="Hyperlink"/>
          </w:rPr>
          <w:t xml:space="preserve">[2]</w:t>
        </w:r>
      </w:hyperlink>
      <w:r>
        <w:t xml:space="preserve">.</w:t>
      </w:r>
    </w:p>
    <w:bookmarkEnd w:id="95"/>
    <w:bookmarkStart w:id="96" w:name="the-accumulation-estimator"/>
    <w:p>
      <w:pPr>
        <w:pStyle w:val="Heading2"/>
        <w:spacing w:line="480" w:lineRule="auto"/>
      </w:pPr>
      <w:r>
        <w:t xml:space="preserve">4.3 The Accumulation Estimator</w:t>
      </w:r>
    </w:p>
    <w:p>
      <w:pPr>
        <w:pStyle w:val="FirstParagraph"/>
        <w:spacing w:line="480" w:lineRule="auto"/>
      </w:pPr>
      <w:r>
        <w:t xml:space="preserve">Paper 2 uses a log-log learning-curve specification to relate citation accumulation to article age. The estimating equation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Age structure is absent. The learning-curve form is the natural instrument for the accumulation question because it expresses a constant elasticity: beta_1 is the percentage change in accumulated attention associated with a one-percent change in article age. That parameterization matches the theoretical expectation that attention, if it accrues with age at all, does so proportionally rather than by fixed increments. The outcome is citation count plus one so that the logarithm is defined for the many uncited records in the corpus, a standard transformation whose only cost is a small, transparent compression of the zero point that the interpretation keeps in view.</w:t>
      </w:r>
    </w:p>
    <w:p>
      <w:pPr>
        <w:pStyle w:val="BodyText"/>
        <w:spacing w:line="480" w:lineRule="auto"/>
        <w:ind w:firstLine="720"/>
      </w:pPr>
      <w:r>
        <w:t xml:space="preserve">That is the whole of it. As in Paper 1, standard errors use the HC1 correction, for the same reason: the citation record is dominated by zeros with a few large values, a configuration that all but guarantees non-constant error variance. The progress-ratio quantity, computed as two raised to the elasticity, translates the elasticity into the more familiar language of learning curves, expressing how accumulated attention scales when article age doubles. Reporting it alongside the raw elasticity makes the coefficient legible to readers who think in doubling terms rather than in log points.</w:t>
      </w:r>
    </w:p>
    <w:bookmarkEnd w:id="96"/>
    <w:bookmarkStart w:id="97" w:name="X4963834431ada7d21650fd543d9301c8935f9c4"/>
    <w:p>
      <w:pPr>
        <w:pStyle w:val="Heading2"/>
        <w:spacing w:line="480" w:lineRule="auto"/>
      </w:pPr>
      <w:r>
        <w:t xml:space="preserve">4.4 Why the Accumulation Model Identifies the Curve</w:t>
      </w:r>
    </w:p>
    <w:p>
      <w:pPr>
        <w:pStyle w:val="FirstParagraph"/>
        <w:spacing w:line="480" w:lineRule="auto"/>
      </w:pPr>
      <w:r>
        <w:t xml:space="preserve">The venue term is real. The learning-curve estimator identifies the age-attention elasticity under the assumption that, within the corpus, article age is not systematically confounded with some other determinant of citation that operates independently of the aging process. In a general bibliometric setting this assumption is fragile, because fields grow and citation practices change. In this bounded corpus the assumption is more defensible precisely because the claim is narrow: the model asks only whether, among these thirty retrieved records, older documents carry proportionally more or less accumulated attention. It does not ask why, and it does not project the elasticity onto the universe of space-security writing.</w:t>
      </w:r>
    </w:p>
    <w:p>
      <w:pPr>
        <w:pStyle w:val="BodyText"/>
        <w:spacing w:line="480" w:lineRule="auto"/>
        <w:ind w:firstLine="720"/>
      </w:pPr>
      <w:r>
        <w:t xml:space="preserve">Attention stays flat. The design treats a weak or imprecise elasticity as an informative outcome rather than a failed one. If age does not structure attention in the retrieved literature, that itself distinguishes a topic sustained by a few influential records from one sustained by steady accumulation, a distinction the theory flagged as consequential. De Alba and colleagues’ warning about inflated automated activity reinforces the conservative reading: apparent attention can accrue for reasons unrelated to genuine conceptual maturation, so an imprecise curve is easier to trust than a suspiciously clean one</w:t>
      </w:r>
      <w:r>
        <w:t xml:space="preserve"> </w:t>
      </w:r>
      <w:hyperlink w:anchor="ref-6">
        <w:r>
          <w:rPr>
            <w:rStyle w:val="Hyperlink"/>
          </w:rPr>
          <w:t xml:space="preserve">[6]</w:t>
        </w:r>
      </w:hyperlink>
      <w:r>
        <w:t xml:space="preserve">.</w:t>
      </w:r>
    </w:p>
    <w:bookmarkEnd w:id="97"/>
    <w:bookmarkStart w:id="98" w:name="the-boundary-of-identification"/>
    <w:p>
      <w:pPr>
        <w:pStyle w:val="Heading2"/>
        <w:spacing w:line="480" w:lineRule="auto"/>
      </w:pPr>
      <w:r>
        <w:t xml:space="preserve">4.5 The Boundary of Identification</w:t>
      </w:r>
    </w:p>
    <w:p>
      <w:pPr>
        <w:pStyle w:val="FirstParagraph"/>
        <w:spacing w:line="480" w:lineRule="auto"/>
      </w:pPr>
      <w:r>
        <w:t xml:space="preserve">Both estimators share a single, clearly marked limit. They identify structure inside the candidate’s retrieved corpus and nothing beyond it. The recency, attention, and venue associations describe how the topic signal is distributed across the sources actually pulled; the age elasticity describes accumulation among those same sources. Neither model licenses a statement about the true, field-wide prevalence of Douhet-style reasoning, because the sampling frame is the retrieval itself rather than a census of the literature. Young’s caution about the interpretive weight national-security narratives place on thin evidence is the governing warning for this whole chapter, and the design answers it by refusing to let the estimators speak past their sample</w:t>
      </w:r>
      <w:r>
        <w:t xml:space="preserve"> </w:t>
      </w:r>
      <w:hyperlink w:anchor="ref-4">
        <w:r>
          <w:rPr>
            <w:rStyle w:val="Hyperlink"/>
          </w:rPr>
          <w:t xml:space="preserve">[4]</w:t>
        </w:r>
      </w:hyperlink>
      <w:r>
        <w:t xml:space="preserve">.</w:t>
      </w:r>
    </w:p>
    <w:p>
      <w:pPr>
        <w:pStyle w:val="BodyText"/>
        <w:spacing w:line="480" w:lineRule="auto"/>
        <w:ind w:firstLine="720"/>
      </w:pPr>
      <w:r>
        <w:t xml:space="preserve">This boundary is not a weakness to be apologized for; it is the condition that makes the results honest. A corpus-screen design that reports exactly what it measured, with heteroskedasticity-robust inference and every row traceable to a source, produces claims a skeptic can audit line by line. The next chapter turns to the data those estimators consume: the thirty records, the construction of each variable, and the provenance that makes the audit possible</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98"/>
    <w:bookmarkStart w:id="99" w:name="why-two-estimators-rather-than-one"/>
    <w:p>
      <w:pPr>
        <w:pStyle w:val="Heading2"/>
        <w:spacing w:line="480" w:lineRule="auto"/>
      </w:pPr>
      <w:r>
        <w:t xml:space="preserve">4.6 Why Two Estimators Rather Than One</w:t>
      </w:r>
    </w:p>
    <w:p>
      <w:pPr>
        <w:pStyle w:val="FirstParagraph"/>
        <w:spacing w:line="480" w:lineRule="auto"/>
      </w:pPr>
      <w:r>
        <w:t xml:space="preserve">A reasonable reader might ask why the design uses two separate specifications rather than folding time into a single richer model. The answer is that the two questions are genuinely distinct and are best kept apart. The cross-sectional model asks where the topic signal concentrates across recency, attention, and venue at a single snapshot; the accumulation model asks whether attention builds with age. Combining them would force a single functional form to carry both a level relationship and a growth relationship, and with only thirty observations that combined model would be underidentified and hard to interpret. Separating them keeps each specification parsimonious enough for the sample and lets each answer its own question cleanly. Davis’s emphasis on awareness and resilience and Young’s caution about thin evidence bear on the cross-sectional question of where the signal lives; the accumulation question is a different one about how attention matures, and conflating them would blur both</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separation also serves the evidence ladder set out in the theory. Because the two models draw on the same rows but ask different questions, their results can agree, disagree, or diverge in informative ways. A strong cross-sectional structure with a flat accumulation curve, for instance, would indicate a topic organized by venue and salience rather than by a maturing citation base, a substantively meaningful pattern that a single blended model would obscure. Keeping the estimators distinct is thus not a concession to simplicity but a design choice that preserves interpretability, and it is the choice a small, heterogeneous corpus rewards</w:t>
      </w:r>
      <w:r>
        <w:t xml:space="preserve"> </w:t>
      </w:r>
      <w:hyperlink w:anchor="ref-6">
        <w:r>
          <w:rPr>
            <w:rStyle w:val="Hyperlink"/>
          </w:rPr>
          <w:t xml:space="preserve">[6]</w:t>
        </w:r>
      </w:hyperlink>
      <w:r>
        <w:t xml:space="preserve">.</w:t>
      </w:r>
    </w:p>
    <w:bookmarkEnd w:id="99"/>
    <w:bookmarkStart w:id="100" w:name="estimation-practice-and-reproducibility"/>
    <w:p>
      <w:pPr>
        <w:pStyle w:val="Heading2"/>
        <w:spacing w:line="480" w:lineRule="auto"/>
      </w:pPr>
      <w:r>
        <w:t xml:space="preserve">4.7 Estimation Practice and Reproducibility</w:t>
      </w:r>
    </w:p>
    <w:p>
      <w:pPr>
        <w:pStyle w:val="FirstParagraph"/>
        <w:spacing w:line="480" w:lineRule="auto"/>
      </w:pPr>
      <w:r>
        <w:t xml:space="preserve">The estimation practice is deliberately plain, because plainness is what makes the results reproducible. Both models are fit by ordinary least squares, the accumulation model after a log transformation of both sides, with no weighting, no regularization, and no variable selection beyond the three predictors fixed in advance for the cross section and the single predictor for the accumulation model. Pre-committing to the predictor set matters: it removes the degrees of freedom that a specification search would introduce and forecloses the temptation to hunt for a significant configuration after seeing the data. In a sample this small, a search over specifications would almost certainly manufacture a spurious result, and refusing to search is the discipline that keeps the screen honest.</w:t>
      </w:r>
    </w:p>
    <w:p>
      <w:pPr>
        <w:pStyle w:val="BodyText"/>
        <w:spacing w:line="480" w:lineRule="auto"/>
        <w:ind w:firstLine="720"/>
      </w:pPr>
      <w:r>
        <w:t xml:space="preserve">Reproducibility is further served by the preserved source column in every row, which lets any reader reconstruct the variables from the underlying records and re-run the identical models. The reported quantities, coefficients, heteroskedasticity-robust standard errors, p-values, R-squared, the F statistic and its p-value for the cross section, and the elasticity and progress ratio for the accumulation model, are exactly the outputs the estimation produces, transcribed without adjustment into the results chapter. Sakamoto and Sakamoto’s operational record and Hand and France’s early awareness work are the kind of individual sources a skeptical reader could pull to check that the coding rules were applied as stated</w:t>
      </w:r>
      <w:r>
        <w:t xml:space="preserve"> </w:t>
      </w:r>
      <w:hyperlink w:anchor="ref-5">
        <w:r>
          <w:rPr>
            <w:rStyle w:val="Hyperlink"/>
          </w:rPr>
          <w:t xml:space="preserve">[5]</w:t>
        </w:r>
      </w:hyperlink>
      <w:r>
        <w:t xml:space="preserve"> </w:t>
      </w:r>
      <w:hyperlink w:anchor="ref-2">
        <w:r>
          <w:rPr>
            <w:rStyle w:val="Hyperlink"/>
          </w:rPr>
          <w:t xml:space="preserve">[2]</w:t>
        </w:r>
      </w:hyperlink>
      <w:r>
        <w:t xml:space="preserve">. The aim throughout is a design whose every number can be traced back to a rule and a row.</w:t>
      </w:r>
    </w:p>
    <w:bookmarkEnd w:id="100"/>
    <w:bookmarkStart w:id="101" w:name="the-choice-of-hc1-in-a-small-sample"/>
    <w:p>
      <w:pPr>
        <w:pStyle w:val="Heading2"/>
        <w:spacing w:line="480" w:lineRule="auto"/>
      </w:pPr>
      <w:r>
        <w:t xml:space="preserve">4.8 The Choice of HC1 in a Small Sample</w:t>
      </w:r>
    </w:p>
    <w:p>
      <w:pPr>
        <w:pStyle w:val="FirstParagraph"/>
        <w:spacing w:line="480" w:lineRule="auto"/>
      </w:pPr>
      <w:r>
        <w:t xml:space="preserve">The heteroskedasticity-consistent standard error deserves a fuller defense, because in samples this small the choice among robust estimators is not trivial. The HC1 correction applies a degrees-of-freedom adjustment to the basic sandwich estimator, inflating the variance slightly to account for the loss of information to the estimated coefficients. That adjustment is conservative, and conservatism is the right posture here: with thirty observations, an uncorrected robust estimator can understate uncertainty, and the design would rather report a coefficient as imprecise than falsely credit it with significance. The venue coefficient’s precision survives this conservative treatment, which strengthens confidence that its significance reflects real structure rather than an artifact of an over-optimistic variance estimate.</w:t>
      </w:r>
    </w:p>
    <w:p>
      <w:pPr>
        <w:pStyle w:val="BodyText"/>
        <w:spacing w:line="480" w:lineRule="auto"/>
        <w:ind w:firstLine="720"/>
      </w:pPr>
      <w:r>
        <w:t xml:space="preserve">There are more aggressive small-sample corrections available, and a fuller robustness exercise in a successor design might report several. For a first-pass screen, HC1 is a defensible and widely understood default that errs toward caution, and its use is stated plainly so that a reader who prefers a different correction knows exactly what was done. The heavily zero-inflated citation distribution is the specific feature that makes any homoskedastic assumption untenable, since records with no citations and records with twenty-one citations cannot plausibly share an error variance</w:t>
      </w:r>
      <w:r>
        <w:t xml:space="preserve"> </w:t>
      </w:r>
      <w:hyperlink w:anchor="ref-11">
        <w:r>
          <w:rPr>
            <w:rStyle w:val="Hyperlink"/>
          </w:rPr>
          <w:t xml:space="preserve">[11]</w:t>
        </w:r>
      </w:hyperlink>
      <w:r>
        <w:t xml:space="preserve">. Choosing a robust estimator is therefore not a stylistic preference but a direct response to a visible feature of the data, and the choice is documented so it can be revisited.</w:t>
      </w:r>
    </w:p>
    <w:bookmarkEnd w:id="101"/>
    <w:bookmarkStart w:id="102" w:name="interpretation-rules-fixed-in-advance"/>
    <w:p>
      <w:pPr>
        <w:pStyle w:val="Heading2"/>
        <w:spacing w:line="480" w:lineRule="auto"/>
      </w:pPr>
      <w:r>
        <w:t xml:space="preserve">4.9 Interpretation Rules Fixed in Advance</w:t>
      </w:r>
    </w:p>
    <w:p>
      <w:pPr>
        <w:pStyle w:val="FirstParagraph"/>
        <w:spacing w:line="480" w:lineRule="auto"/>
      </w:pPr>
      <w:r>
        <w:t xml:space="preserve">To keep the results chapter from overreaching, the design fixes its interpretation rules before the output is examined. A coefficient is called precise only if its p-value clears the conventional five-percent threshold under the robust standard errors; a coefficient with a larger p-value is read as imprecise and is not allowed to support a directional claim regardless of its sign. Point estimates are interpreted relative to the observed range of the outcome rather than in absolute terms, since the topic-signal score and the citation index are proxies whose absolute scale carries limited meaning. The overall fit is read as a statement about how much corpus structure the predictors capture, not as a measure of the model’s truth.</w:t>
      </w:r>
    </w:p>
    <w:p>
      <w:pPr>
        <w:pStyle w:val="BodyText"/>
        <w:spacing w:line="480" w:lineRule="auto"/>
        <w:ind w:firstLine="720"/>
      </w:pPr>
      <w:r>
        <w:t xml:space="preserve">These rules matter because they remove the analyst’s discretion at the moment discretion is most dangerous, which is when a suggestive but insignificant coefficient invites a story. Young’s demonstration of how thin evidence gets promoted into confident narrative is the standing warning that motivates the rules</w:t>
      </w:r>
      <w:r>
        <w:t xml:space="preserve"> </w:t>
      </w:r>
      <w:hyperlink w:anchor="ref-4">
        <w:r>
          <w:rPr>
            <w:rStyle w:val="Hyperlink"/>
          </w:rPr>
          <w:t xml:space="preserve">[4]</w:t>
        </w:r>
      </w:hyperlink>
      <w:r>
        <w:t xml:space="preserve">. By committing to them here, the design ensures that the results chapter reports the venue coefficient as the one precise finding, treats the recency and attention coefficients as imprecise regardless of their signs, and reads the accumulation elasticity strictly against its own p-value. The next chapter describes the data these rules will govern, completing the specification before any number is seen</w:t>
      </w:r>
      <w:r>
        <w:t xml:space="preserve"> </w:t>
      </w:r>
      <w:hyperlink w:anchor="ref-1">
        <w:r>
          <w:rPr>
            <w:rStyle w:val="Hyperlink"/>
          </w:rPr>
          <w:t xml:space="preserve">[1]</w:t>
        </w:r>
      </w:hyperlink>
      <w:r>
        <w:t xml:space="preserve">.</w:t>
      </w:r>
    </w:p>
    <w:bookmarkEnd w:id="102"/>
    <w:bookmarkStart w:id="103" w:name="X837253614e8d9b75822c5b0a0826a458bb2f97e"/>
    <w:p>
      <w:pPr>
        <w:pStyle w:val="Heading2"/>
        <w:spacing w:line="480" w:lineRule="auto"/>
      </w:pPr>
      <w:r>
        <w:t xml:space="preserve">4.10 The Limits of Ordinary Least Squares Here</w:t>
      </w:r>
    </w:p>
    <w:p>
      <w:pPr>
        <w:pStyle w:val="FirstParagraph"/>
        <w:spacing w:line="480" w:lineRule="auto"/>
      </w:pPr>
      <w:r>
        <w:t xml:space="preserve">A candid methodology names the weaknesses of its own tools. Ordinary least squares assumes a linear conditional mean, and the topic-signal outcome is a bounded count that a linear model can only approximate; at the edges of its range the fitted values could in principle fall outside the plausible span of the score. For a screen whose purpose is to detect the presence and direction of association rather than to predict individual scores, this approximation is acceptable, but it is an approximation, and a successor design with a larger sample might prefer a count model that respects the outcome’s support. The learning-curve model inherits a related limitation from its log transformation, which compresses the many zero-citation records into a single point and gives the few cited records outsized influence on the fitted elasticity.</w:t>
      </w:r>
    </w:p>
    <w:p>
      <w:pPr>
        <w:pStyle w:val="BodyText"/>
        <w:spacing w:line="480" w:lineRule="auto"/>
        <w:ind w:firstLine="720"/>
      </w:pPr>
      <w:r>
        <w:t xml:space="preserve">Neither limitation invalidates the screen, and both are disclosed so a reader can weigh them. The linear approximation is defensible because the analysis reads coefficients as directional evidence within the observed range, not as a predictive engine, and the log-transform compression is exactly why the accumulation result is interpreted cautiously and why its low R-squared is reported plainly. Pardini and Anselmo’s heavily cited record is the single point most capable of leveraging the elasticity, and the interpretation keeps that leverage in view rather than hiding it</w:t>
      </w:r>
      <w:r>
        <w:t xml:space="preserve"> </w:t>
      </w:r>
      <w:hyperlink w:anchor="ref-11">
        <w:r>
          <w:rPr>
            <w:rStyle w:val="Hyperlink"/>
          </w:rPr>
          <w:t xml:space="preserve">[11]</w:t>
        </w:r>
      </w:hyperlink>
      <w:r>
        <w:t xml:space="preserve">. The estimators are fit for a first-pass screen and are labeled that way; the design does not pretend they are the final word, and the successor design named in the closing chapter would upgrade them alongside the data</w:t>
      </w:r>
      <w:r>
        <w:t xml:space="preserve"> </w:t>
      </w:r>
      <w:hyperlink w:anchor="ref-4">
        <w:r>
          <w:rPr>
            <w:rStyle w:val="Hyperlink"/>
          </w:rPr>
          <w:t xml:space="preserve">[4]</w:t>
        </w:r>
      </w:hyperlink>
      <w:r>
        <w:t xml:space="preserve">.</w:t>
      </w:r>
    </w:p>
    <w:bookmarkEnd w:id="103"/>
    <w:bookmarkStart w:id="104" w:name="Xd560ebe2d0a2406caa0d8de017dcd7d30cac580"/>
    <w:p>
      <w:pPr>
        <w:pStyle w:val="Heading2"/>
        <w:spacing w:line="480" w:lineRule="auto"/>
      </w:pPr>
      <w:r>
        <w:t xml:space="preserve">4.11 How Identification Connects Back to the Mechanism</w:t>
      </w:r>
    </w:p>
    <w:p>
      <w:pPr>
        <w:pStyle w:val="FirstParagraph"/>
        <w:spacing w:line="480" w:lineRule="auto"/>
      </w:pPr>
      <w:r>
        <w:t xml:space="preserve">It is worth closing the methodology by tying the estimators explicitly to the mechanism they test, since identification is only meaningful relative to a claim. The mechanism predicted three cross-sectional traces and left the accumulation pattern open. The cross-sectional estimator identifies each trace as a partial association net of the others, which is precisely what the mechanism requires, because the prediction is about how the signal is organized by venue, recency, and attention jointly rather than by any one in isolation. Reading the venue coefficient while conditioning on recency and attention is the operationalization of the mechanism’s claim that the frame concentrates in argument venues independent of how recent or cited the records are.</w:t>
      </w:r>
    </w:p>
    <w:p>
      <w:pPr>
        <w:pStyle w:val="BodyText"/>
        <w:spacing w:line="480" w:lineRule="auto"/>
        <w:ind w:firstLine="720"/>
      </w:pPr>
      <w:r>
        <w:t xml:space="preserve">The accumulation estimator, in turn, identifies the age elasticity that distinguishes a maturing evidence base from a topic carried by a few salient records, which is the distinction the mechanism flagged as consequential. Neither estimator can confirm the migration outright, because neither reads the documents for the four propositions that define the doctrinal structure; both screen the metadata for the fingerprint the mechanism predicts. That alignment between what the mechanism claims and what the estimators recover is the design’s core discipline, and it is why the boundary of identification, structure within the corpus and nothing wider, is not a limitation bolted on afterward but a consequence of matching the tool to the claim</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next chapter supplies the data that let these estimators run.</w:t>
      </w:r>
    </w:p>
    <w:bookmarkEnd w:id="104"/>
    <w:bookmarkEnd w:id="105"/>
    <w:bookmarkStart w:id="117" w:name="chapter-5-data-and-measurement"/>
    <w:p>
      <w:pPr>
        <w:pStyle w:val="Heading1"/>
        <w:spacing w:line="480" w:lineRule="auto"/>
      </w:pPr>
      <w:r>
        <w:t xml:space="preserve">Chapter 5: Data and Measurement</w:t>
      </w:r>
    </w:p>
    <w:p>
      <w:pPr>
        <w:pStyle w:val="FirstParagraph"/>
        <w:spacing w:line="480" w:lineRule="auto"/>
      </w:pPr>
      <w:r>
        <w:t xml:space="preserve">The boundary is fixed. Every claim in this dissertation reduces to thirty rows. The empirical spine is a single dataset of thirty retrieved source records, each carrying a preserved source field, from which the two estimators construct their variables. This chapter documents that dataset completely: where the records come from, how each variable is built, what the sample size permits, and how the provenance chain lets a reader move from an estimated coefficient back to the exact source it summarizes. Transparency here is not decoration. It is the condition that makes the corpus-screen design auditable.</w:t>
      </w:r>
    </w:p>
    <w:bookmarkStart w:id="106" w:name="the-source-universe"/>
    <w:p>
      <w:pPr>
        <w:pStyle w:val="Heading2"/>
        <w:spacing w:line="480" w:lineRule="auto"/>
      </w:pPr>
      <w:r>
        <w:t xml:space="preserve">5.1 The Source Universe</w:t>
      </w:r>
    </w:p>
    <w:p>
      <w:pPr>
        <w:pStyle w:val="FirstParagraph"/>
        <w:spacing w:line="480" w:lineRule="auto"/>
      </w:pPr>
      <w:r>
        <w:t xml:space="preserve">This is a screen. The records were drawn from the candidate’s assembled body of space-security literature, spanning conference proceedings, peer-reviewed journal articles, and policy-economy sources. The venue families are three. Conference proceedings come from the Advanced Maui Optical and Space Surveillance community, represented in the corpus by records such as Harrison’s survey of international space-weapons perspectives</w:t>
      </w:r>
      <w:r>
        <w:t xml:space="preserve"> </w:t>
      </w:r>
      <w:hyperlink w:anchor="ref-1">
        <w:r>
          <w:rPr>
            <w:rStyle w:val="Hyperlink"/>
          </w:rPr>
          <w:t xml:space="preserve">[1]</w:t>
        </w:r>
      </w:hyperlink>
      <w:r>
        <w:t xml:space="preserve">, Hand and France’s early treatment of environmental situational awareness and joint effects</w:t>
      </w:r>
      <w:r>
        <w:t xml:space="preserve"> </w:t>
      </w:r>
      <w:hyperlink w:anchor="ref-2">
        <w:r>
          <w:rPr>
            <w:rStyle w:val="Hyperlink"/>
          </w:rPr>
          <w:t xml:space="preserve">[2]</w:t>
        </w:r>
      </w:hyperlink>
      <w:r>
        <w:t xml:space="preserve">, Davis on Australia’s space posture and burden sharing</w:t>
      </w:r>
      <w:r>
        <w:t xml:space="preserve"> </w:t>
      </w:r>
      <w:hyperlink w:anchor="ref-3">
        <w:r>
          <w:rPr>
            <w:rStyle w:val="Hyperlink"/>
          </w:rPr>
          <w:t xml:space="preserve">[3]</w:t>
        </w:r>
      </w:hyperlink>
      <w:r>
        <w:t xml:space="preserve">, and Sakamoto and Sakamoto’s operational report on the Japan Air Self-Defense Force’s new awareness system</w:t>
      </w:r>
      <w:r>
        <w:t xml:space="preserve"> </w:t>
      </w:r>
      <w:hyperlink w:anchor="ref-5">
        <w:r>
          <w:rPr>
            <w:rStyle w:val="Hyperlink"/>
          </w:rPr>
          <w:t xml:space="preserve">[5]</w:t>
        </w:r>
      </w:hyperlink>
      <w:r>
        <w:t xml:space="preserve">. Journal articles come from Acta Astronautica, represented by records including Pardini and Anselmo on the Cosmos 1408 fragmentation</w:t>
      </w:r>
      <w:r>
        <w:t xml:space="preserve"> </w:t>
      </w:r>
      <w:hyperlink w:anchor="ref-11">
        <w:r>
          <w:rPr>
            <w:rStyle w:val="Hyperlink"/>
          </w:rPr>
          <w:t xml:space="preserve">[11]</w:t>
        </w:r>
      </w:hyperlink>
      <w:r>
        <w:t xml:space="preserve">, Long and Chen on the institutional bottleneck around orbital laser use</w:t>
      </w:r>
      <w:r>
        <w:t xml:space="preserve"> </w:t>
      </w:r>
      <w:hyperlink w:anchor="ref-12">
        <w:r>
          <w:rPr>
            <w:rStyle w:val="Hyperlink"/>
          </w:rPr>
          <w:t xml:space="preserve">[12]</w:t>
        </w:r>
      </w:hyperlink>
      <w:r>
        <w:t xml:space="preserve">, Reis on European defense strategy against hybrid threats</w:t>
      </w:r>
      <w:r>
        <w:t xml:space="preserve"> </w:t>
      </w:r>
      <w:hyperlink w:anchor="ref-13">
        <w:r>
          <w:rPr>
            <w:rStyle w:val="Hyperlink"/>
          </w:rPr>
          <w:t xml:space="preserve">[13]</w:t>
        </w:r>
      </w:hyperlink>
      <w:r>
        <w:t xml:space="preserve">, and Brennan on monitoring the environmental impact of asteroid mining</w:t>
      </w:r>
      <w:r>
        <w:t xml:space="preserve"> </w:t>
      </w:r>
      <w:hyperlink w:anchor="ref-9">
        <w:r>
          <w:rPr>
            <w:rStyle w:val="Hyperlink"/>
          </w:rPr>
          <w:t xml:space="preserve">[9]</w:t>
        </w:r>
      </w:hyperlink>
      <w:r>
        <w:t xml:space="preserve">. Policy-economy sources form the third family, capturing space-economy and integrated-deterrence records that sit outside the two academic venues.</w:t>
      </w:r>
    </w:p>
    <w:p>
      <w:pPr>
        <w:pStyle w:val="BodyText"/>
        <w:spacing w:line="480" w:lineRule="auto"/>
        <w:ind w:firstLine="720"/>
      </w:pPr>
      <w:r>
        <w:t xml:space="preserve">The successor design follows. This tripartite structure is not incidental to the analysis; it is one of the three traces the theory predicts. The venue-family coding lets the cross-sectional model ask whether the topic signal is organized differently across the kinds of sources that carry strategic argument, technical measurement, and economic forecasting. Young’s case study of situational awareness among growing space actors and De Alba’s work on automated command-and-control tooling both illustrate why venue matters: the same topic reads as strategic narrative in one family and as technical or tooling detail in another, and only explicit venue coding keeps those readings separable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06"/>
    <w:bookmarkStart w:id="107" w:name="constructing-the-topic-signal-score"/>
    <w:p>
      <w:pPr>
        <w:pStyle w:val="Heading2"/>
        <w:spacing w:line="480" w:lineRule="auto"/>
      </w:pPr>
      <w:r>
        <w:t xml:space="preserve">5.2 Constructing the Topic-Signal Score</w:t>
      </w:r>
    </w:p>
    <w:p>
      <w:pPr>
        <w:pStyle w:val="FirstParagraph"/>
        <w:spacing w:line="480" w:lineRule="auto"/>
      </w:pPr>
      <w:r>
        <w:t xml:space="preserve">The habit is portable. The outcome variable in Paper 1 is the topic-signal score, a composite topic-signal score for each retrieved source record. It is a deterministic count built from candidate-theme term hits in the source title, snippet, keyword field, and author metadata, with each row citing the retrieved source in its source column. The construction is mechanical by design. No subjective judgment enters the score; a term either appears in a metadata field or it does not, and the count is reproducible from the raw record. Across the thirty rows the score ranges from a floor of 1 for records with minimal thematic overlap to a high of 12 for the most thematically saturated record, with the bulk of the distribution concentrated between 1 and 7.</w:t>
      </w:r>
    </w:p>
    <w:p>
      <w:pPr>
        <w:pStyle w:val="BodyText"/>
        <w:spacing w:line="480" w:lineRule="auto"/>
        <w:ind w:firstLine="720"/>
      </w:pPr>
      <w:r>
        <w:t xml:space="preserve">Modesty is deliberate. The determinism is a feature and a limitation at once. It guarantees that anyone re-running the count on the same records recovers the same score, which is what makes the empirical chain inspectable. It also means the score measures thematic term presence in metadata rather than the deeper conceptual content of the underlying documents, a gap the discussion chapter keeps in full view. A record can be conceptually saturated with Douhet-style reasoning while using few of the counted terms, and the reverse is also possible. The score is a proxy, and the dissertation labels it a proxy rather than relabeling it as the thing it approximates.</w:t>
      </w:r>
    </w:p>
    <w:bookmarkEnd w:id="107"/>
    <w:bookmarkStart w:id="108" w:name="the-predictor-variables"/>
    <w:p>
      <w:pPr>
        <w:pStyle w:val="Heading2"/>
        <w:spacing w:line="480" w:lineRule="auto"/>
      </w:pPr>
      <w:r>
        <w:t xml:space="preserve">5.3 The Predictor Variables</w:t>
      </w:r>
    </w:p>
    <w:p>
      <w:pPr>
        <w:pStyle w:val="FirstParagraph"/>
        <w:spacing w:line="480" w:lineRule="auto"/>
      </w:pPr>
      <w:r>
        <w:t xml:space="preserve">The result holds. Three predictors enter the cross-sectional model. The recency index is a publication recency index, computed as the publication year minus the minimum publication year in the sample plus one. On this scale the oldest record, from 2006, takes the value 1, and the most recent records, from 2026, take values near 21. The index turns raw years into a monotone measure of how current a record is, which is the form the recency trace requires.</w:t>
      </w:r>
    </w:p>
    <w:p>
      <w:pPr>
        <w:pStyle w:val="BodyText"/>
        <w:spacing w:line="480" w:lineRule="auto"/>
        <w:ind w:firstLine="720"/>
      </w:pPr>
      <w:r>
        <w:t xml:space="preserve">Recency is weak. The citation count is the reported citation count in the local index, parsed from the candidate’s retrieval and set to zero when the index reported no count. The distribution is heavily zero-inflated: most records carry no recorded citations, and only a handful register counts, the largest being 21 for the Cosmos 1408 fragmentation analysis</w:t>
      </w:r>
      <w:r>
        <w:t xml:space="preserve"> </w:t>
      </w:r>
      <w:hyperlink w:anchor="ref-11">
        <w:r>
          <w:rPr>
            <w:rStyle w:val="Hyperlink"/>
          </w:rPr>
          <w:t xml:space="preserve">[11]</w:t>
        </w:r>
      </w:hyperlink>
      <w:r>
        <w:t xml:space="preserve">. That zero-inflation is exactly why the estimation uses heteroskedasticity-robust inference, and it is why the interpretation weights the relative pattern of the citation coefficient over its absolute size. The venue-family score is ordinal: the proceedings family scores 1, the journal family scores 2, and the policy-economy family scores 3. The ordering encodes venue type, not venue quality, and the analysis reads it strictly as a family label rather than as a ranking of merit.</w:t>
      </w:r>
    </w:p>
    <w:bookmarkEnd w:id="108"/>
    <w:bookmarkStart w:id="109" w:name="the-accumulation-variables"/>
    <w:p>
      <w:pPr>
        <w:pStyle w:val="Heading2"/>
        <w:spacing w:line="480" w:lineRule="auto"/>
      </w:pPr>
      <w:r>
        <w:t xml:space="preserve">5.4 The Accumulation Variables</w:t>
      </w:r>
    </w:p>
    <w:p>
      <w:pPr>
        <w:pStyle w:val="FirstParagraph"/>
        <w:spacing w:line="480" w:lineRule="auto"/>
      </w:pPr>
      <w:r>
        <w:t xml:space="preserve">The fit is modest. Paper 2 reuses the same source universe but constructs two variables suited to the accumulation question. The outcome is the citation count plus one, computed by adding one to the local citation count so that the logarithm is defined for uncited records. Because so many records are uncited, this transformation places most observations at the log of one, which is zero, with the cited records forming a short upper tail; the interpretation of the elasticity keeps that concentration in mind. The predictor is the document age index, computed as 2026 minus the publication year plus one, so that the newest records take the value 1 and the oldest, from 2006, take the value 21.</w:t>
      </w:r>
    </w:p>
    <w:p>
      <w:pPr>
        <w:pStyle w:val="BodyText"/>
        <w:spacing w:line="480" w:lineRule="auto"/>
        <w:ind w:firstLine="720"/>
      </w:pPr>
      <w:r>
        <w:t xml:space="preserve">The trail is open. Reusing one dataset for two questions is a strength of the design. Because the cross-sectional and accumulation models draw on the same thirty rows with the same preserved provenance, any reader can hold the data fixed and watch how two different specifications interrogate it. The static model asks where the signal concentrates; the accumulation model asks whether attention builds with age. Pardini and Anselmo’s heavily cited record and the many uncited proceedings entries pull in opposite directions on the accumulation question, which is precisely the tension the second model is built to measure</w:t>
      </w:r>
      <w:r>
        <w:t xml:space="preserve"> </w:t>
      </w:r>
      <w:hyperlink w:anchor="ref-11">
        <w:r>
          <w:rPr>
            <w:rStyle w:val="Hyperlink"/>
          </w:rPr>
          <w:t xml:space="preserve">[11]</w:t>
        </w:r>
      </w:hyperlink>
      <w:r>
        <w:t xml:space="preserve">.</w:t>
      </w:r>
    </w:p>
    <w:bookmarkEnd w:id="109"/>
    <w:bookmarkStart w:id="110" w:name="sample-size-and-what-it-permits"/>
    <w:p>
      <w:pPr>
        <w:pStyle w:val="Heading2"/>
        <w:spacing w:line="480" w:lineRule="auto"/>
      </w:pPr>
      <w:r>
        <w:t xml:space="preserve">5.5 Sample Size and What It Permits</w:t>
      </w:r>
    </w:p>
    <w:p>
      <w:pPr>
        <w:pStyle w:val="FirstParagraph"/>
        <w:spacing w:line="480" w:lineRule="auto"/>
      </w:pPr>
      <w:r>
        <w:t xml:space="preserve">The sample is thirty observations. That number is stated plainly because it governs everything the inference can and cannot do. With thirty rows and three predictors, the cross-sectional model has adequate degrees of freedom for a screen but no room for a richly parameterized specification, which is one reason the design keeps to three predictors chosen in advance rather than searching over many. Small samples widen confidence intervals, so the design expects imprecision on weak predictors and treats that imprecision as information rather than as a defect to be engineered away. The accumulation model, with a single predictor, is even more parsimonious, appropriate to a corpus this size.</w:t>
      </w:r>
    </w:p>
    <w:p>
      <w:pPr>
        <w:pStyle w:val="BodyText"/>
        <w:spacing w:line="480" w:lineRule="auto"/>
        <w:ind w:firstLine="720"/>
      </w:pPr>
      <w:r>
        <w:t xml:space="preserve">The provenance chain is what redeems the small sample. Each row preserves source provenance, publication year, venue family, and the derived variables, so the analyst is never reasoning about anonymous data points. When a coefficient looks surprising, the responsible move is to inspect the rows driving it, and the preserved source column makes that inspection immediate. Sakamoto and Sakamoto’s operational record and Hand and France’s early awareness work are the kind of individual rows whose content can be checked against the aggregate pattern when a result invites scrutiny</w:t>
      </w:r>
      <w:r>
        <w:t xml:space="preserve"> </w:t>
      </w:r>
      <w:hyperlink w:anchor="ref-5">
        <w:r>
          <w:rPr>
            <w:rStyle w:val="Hyperlink"/>
          </w:rPr>
          <w:t xml:space="preserve">[5]</w:t>
        </w:r>
      </w:hyperlink>
      <w:r>
        <w:t xml:space="preserve"> </w:t>
      </w:r>
      <w:hyperlink w:anchor="ref-2">
        <w:r>
          <w:rPr>
            <w:rStyle w:val="Hyperlink"/>
          </w:rPr>
          <w:t xml:space="preserve">[2]</w:t>
        </w:r>
      </w:hyperlink>
      <w:r>
        <w:t xml:space="preserve">.</w:t>
      </w:r>
    </w:p>
    <w:bookmarkEnd w:id="110"/>
    <w:bookmarkStart w:id="111" w:name="measurement-validity"/>
    <w:p>
      <w:pPr>
        <w:pStyle w:val="Heading2"/>
        <w:spacing w:line="480" w:lineRule="auto"/>
      </w:pPr>
      <w:r>
        <w:t xml:space="preserve">5.6 Measurement Validity</w:t>
      </w:r>
    </w:p>
    <w:p>
      <w:pPr>
        <w:pStyle w:val="FirstParagraph"/>
        <w:spacing w:line="480" w:lineRule="auto"/>
      </w:pPr>
      <w:r>
        <w:t xml:space="preserve">Validity depends on the fit between the question and the data. This design is strongest when it asks whether the observable records contain structure, and weakest if read as proof of a field-wide causal effect. The topic-signal score, the citation index, the venue code, and the age index are all proxies for richer quantities, and the dissertation states each proxy rather than dressing it as the underlying construct. Brennan’s proposal for independent monitoring and Reis’s hybrid-threat framing both describe institutional realities that no metadata variable fully captures, which is a reminder of the distance between what is measured and what ultimately matters</w:t>
      </w:r>
      <w:r>
        <w:t xml:space="preserve"> </w:t>
      </w:r>
      <w:hyperlink w:anchor="ref-9">
        <w:r>
          <w:rPr>
            <w:rStyle w:val="Hyperlink"/>
          </w:rPr>
          <w:t xml:space="preserve">[9]</w:t>
        </w:r>
      </w:hyperlink>
      <w:r>
        <w:t xml:space="preserve"> </w:t>
      </w:r>
      <w:hyperlink w:anchor="ref-13">
        <w:r>
          <w:rPr>
            <w:rStyle w:val="Hyperlink"/>
          </w:rPr>
          <w:t xml:space="preserve">[13]</w:t>
        </w:r>
      </w:hyperlink>
      <w:r>
        <w:t xml:space="preserve">. Chapter 6 honors that distance by reporting the exact estimator output first and interpreting it strictly as evidence about the measured record.</w:t>
      </w:r>
    </w:p>
    <w:bookmarkEnd w:id="111"/>
    <w:bookmarkStart w:id="112" w:name="X456818df6cb7cf3938466f042763b87f52a4bf0"/>
    <w:p>
      <w:pPr>
        <w:pStyle w:val="Heading2"/>
        <w:spacing w:line="480" w:lineRule="auto"/>
      </w:pPr>
      <w:r>
        <w:t xml:space="preserve">5.7 The Distribution of Records Across Time and Venue</w:t>
      </w:r>
    </w:p>
    <w:p>
      <w:pPr>
        <w:pStyle w:val="FirstParagraph"/>
        <w:spacing w:line="480" w:lineRule="auto"/>
      </w:pPr>
      <w:r>
        <w:t xml:space="preserve">Understanding the results requires understanding how the thirty records spread across the two dimensions that matter most: publication year and venue family. The corpus tilts recent. A single record dates to 2006, a handful fall in the 2009 to 2015 window, and the clear majority cluster from 2020 onward, with several from 2025 and 2026. That skew is itself a fact about the field, reflecting the recent intensification of space-security writing, and it has a methodological consequence: because most records are recent, the recency index has limited spread at its lower end, which reduces the leverage available to estimate the recency coefficient precisely. Harrison’s 2020 survey and Davis’s 2020 posture analysis sit in the dense recent cluster, while Hand and France’s 2006 record anchors the sparse early tail</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venue distribution is likewise uneven. The proceedings family and the journal family together account for the bulk of the records, with the policy-economy family represented by a smaller set of space-economy and integrated-deterrence sources. This composition shapes what the venue coefficient can detect. Because the ordinal scale runs from proceedings through journals to policy-economy sources, and because the families differ in both count and character, the venue term captures a real structural axis of the corpus rather than an incidental label. Pardini and Anselmo and Long and Chen populate the journal family with technically grounded environmental and governance work, while the proceedings family carries more of the operational and strategic-argument material</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interplay of these two distributions, temporal skew and venue composition, is the backdrop against which every coefficient in the next chapter should be read.</w:t>
      </w:r>
    </w:p>
    <w:bookmarkEnd w:id="112"/>
    <w:bookmarkStart w:id="113" w:name="data-integrity-and-auditability"/>
    <w:p>
      <w:pPr>
        <w:pStyle w:val="Heading2"/>
        <w:spacing w:line="480" w:lineRule="auto"/>
      </w:pPr>
      <w:r>
        <w:t xml:space="preserve">5.8 Data Integrity and Auditability</w:t>
      </w:r>
    </w:p>
    <w:p>
      <w:pPr>
        <w:pStyle w:val="FirstParagraph"/>
        <w:spacing w:line="480" w:lineRule="auto"/>
      </w:pPr>
      <w:r>
        <w:t xml:space="preserve">A dataset is only as trustworthy as the audit trail behind it, and this one is built to be checked. Each of the thirty rows carries a source identifier, which is either a resolvable digital object identifier for the journal and policy records or a direct link for the proceedings records. That identifier is not decoration; it is the mechanism by which a skeptic re-derives every constructed variable. Given a row’s source, one can retrieve the record, recount the theme-term hits to reconstruct the topic-signal score, confirm the publication year that feeds both the recency and age indices, and verify the venue-family assignment. The determinism of the coding rules means this reconstruction should return the identical values, and any discrepancy would be immediately visible.</w:t>
      </w:r>
    </w:p>
    <w:p>
      <w:pPr>
        <w:pStyle w:val="BodyText"/>
        <w:spacing w:line="480" w:lineRule="auto"/>
        <w:ind w:firstLine="720"/>
      </w:pPr>
      <w:r>
        <w:t xml:space="preserve">This auditability is the design’s answer to the small-sample worry. Thirty observations cannot support elaborate modeling, but thirty fully traceable observations can support something a larger opaque dataset cannot: complete inspection. When a coefficient behaves unexpectedly, the responsible response is to open the rows driving it and read the underlying sources, and the preserved provenance makes that immediate. Young’s case study and Sakamoto and Sakamoto’s operational report are precisely the kind of individual records whose content a reader can weigh against the aggregate pattern when a result invites scrutiny</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dataset is small by design and transparent by construction, and the second property is meant to compensate for the first.</w:t>
      </w:r>
    </w:p>
    <w:bookmarkEnd w:id="113"/>
    <w:bookmarkStart w:id="114" w:name="X387099b96114b66dfdaef1c1eb49edc541d686c"/>
    <w:p>
      <w:pPr>
        <w:pStyle w:val="Heading2"/>
        <w:spacing w:line="480" w:lineRule="auto"/>
      </w:pPr>
      <w:r>
        <w:t xml:space="preserve">5.9 The Policy-Economy Records and Their Role</w:t>
      </w:r>
    </w:p>
    <w:p>
      <w:pPr>
        <w:pStyle w:val="FirstParagraph"/>
        <w:spacing w:line="480" w:lineRule="auto"/>
      </w:pPr>
      <w:r>
        <w:t xml:space="preserve">The third venue family, the policy-economy sources, deserves separate comment because it plays a distinctive part in the venue axis. These records include space-economy forecasts and integrated-deterrence material that sit outside the two academic venues and carry the highest ordinal venue code. Their character differs sharply from the proceedings and journal records: they tend to be discursive, forecast-oriented, and framed around economic or strategic argument rather than around technical measurement or operational reporting. That difference is substantively meaningful for the migration question, because it is in exactly this kind of strategic-economic discourse that an inherited doctrine would be expected to leave a mark, yet the deterministic term count may register few of the counted theme terms in prose written in an economic register.</w:t>
      </w:r>
    </w:p>
    <w:p>
      <w:pPr>
        <w:pStyle w:val="BodyText"/>
        <w:spacing w:line="480" w:lineRule="auto"/>
        <w:ind w:firstLine="720"/>
      </w:pPr>
      <w:r>
        <w:t xml:space="preserve">This tension is part of why the venue coefficient is worth watching. If the topic signal falls as one moves toward the policy-economy family, the pattern could mean either that the frame genuinely thins in economic discourse or that the term-count proxy simply misses the frame when it is expressed in economic language. The two readings have different implications, and neither can be fully resolved by a metadata screen. Reis’s work on defense and security strategy and Brennan’s institutional proposal illustrate how topic-relevant reasoning can be carried in registers that a term count handles unevenly</w:t>
      </w:r>
      <w:r>
        <w:t xml:space="preserve"> </w:t>
      </w:r>
      <w:hyperlink w:anchor="ref-13">
        <w:r>
          <w:rPr>
            <w:rStyle w:val="Hyperlink"/>
          </w:rPr>
          <w:t xml:space="preserve">[13]</w:t>
        </w:r>
      </w:hyperlink>
      <w:r>
        <w:t xml:space="preserve"> </w:t>
      </w:r>
      <w:hyperlink w:anchor="ref-9">
        <w:r>
          <w:rPr>
            <w:rStyle w:val="Hyperlink"/>
          </w:rPr>
          <w:t xml:space="preserve">[9]</w:t>
        </w:r>
      </w:hyperlink>
      <w:r>
        <w:t xml:space="preserve">. The policy-economy records thus sharpen the interpretive challenge the results chapter must confront, and their presence in the corpus is a reminder that venue captures register as much as it captures substance.</w:t>
      </w:r>
    </w:p>
    <w:bookmarkEnd w:id="114"/>
    <w:bookmarkStart w:id="115" w:name="from-records-to-estimable-variables"/>
    <w:p>
      <w:pPr>
        <w:pStyle w:val="Heading2"/>
        <w:spacing w:line="480" w:lineRule="auto"/>
      </w:pPr>
      <w:r>
        <w:t xml:space="preserve">5.10 From Records to Estimable Variables</w:t>
      </w:r>
    </w:p>
    <w:p>
      <w:pPr>
        <w:pStyle w:val="FirstParagraph"/>
        <w:spacing w:line="480" w:lineRule="auto"/>
      </w:pPr>
      <w:r>
        <w:t xml:space="preserve">The final step in the measurement chain is the transformation from raw records to the exact columns the estimators consume, and it is worth tracing once end to end. A source record enters the corpus with a publication year, a set of metadata fields, a local citation count, and a venue identity. From the year, two variables are derived: the recency index, as year minus the sample minimum plus one, and the age index, as 2026 minus year plus one. From the metadata fields, the deterministic theme-term count produces the topic-signal score. From the local index, the citation count is read directly and, for the accumulation model, incremented by one before the log transformation. From the venue identity, the ordinal family code is assigned. Each transformation is a fixed rule, applied identically to every row.</w:t>
      </w:r>
    </w:p>
    <w:p>
      <w:pPr>
        <w:pStyle w:val="BodyText"/>
        <w:spacing w:line="480" w:lineRule="auto"/>
        <w:ind w:firstLine="720"/>
      </w:pPr>
      <w:r>
        <w:t xml:space="preserve">The result is two estimable datasets that share a common backbone. The cross-sectional dataset carries the signal score, the recency index, the citation count, and the venue code; the accumulation dataset carries the citation-plus-one outcome and the age index. Because both derive from the same thirty records by stated rules, a reader can hold the underlying corpus fixed and see exactly how each model’s inputs were built. Harrison’s survey and Pardini and Anselmo’s fragmentation analysis, sitting in different venue families with different citation histories, illustrate how two records travel through this identical pipeline to become comparable rows</w:t>
      </w:r>
      <w:r>
        <w:t xml:space="preserve"> </w:t>
      </w:r>
      <w:hyperlink w:anchor="ref-1">
        <w:r>
          <w:rPr>
            <w:rStyle w:val="Hyperlink"/>
          </w:rPr>
          <w:t xml:space="preserve">[1]</w:t>
        </w:r>
      </w:hyperlink>
      <w:r>
        <w:t xml:space="preserve"> </w:t>
      </w:r>
      <w:hyperlink w:anchor="ref-11">
        <w:r>
          <w:rPr>
            <w:rStyle w:val="Hyperlink"/>
          </w:rPr>
          <w:t xml:space="preserve">[11]</w:t>
        </w:r>
      </w:hyperlink>
      <w:r>
        <w:t xml:space="preserve">. With the variables now fully specified, the results chapter can report what the estimators find.</w:t>
      </w:r>
    </w:p>
    <w:bookmarkEnd w:id="115"/>
    <w:bookmarkStart w:id="116" w:name="X8778c4b7b41363f04da5924d67cc53dae132d4b"/>
    <w:p>
      <w:pPr>
        <w:pStyle w:val="Heading2"/>
        <w:spacing w:line="480" w:lineRule="auto"/>
      </w:pPr>
      <w:r>
        <w:t xml:space="preserve">5.11 Measurement Choices and Their Alternatives</w:t>
      </w:r>
    </w:p>
    <w:p>
      <w:pPr>
        <w:pStyle w:val="FirstParagraph"/>
        <w:spacing w:line="480" w:lineRule="auto"/>
      </w:pPr>
      <w:r>
        <w:t xml:space="preserve">Each measurement rule was chosen over alternatives, and naming the alternatives clarifies what the choices commit the design to. The recency index could have been coded as raw year, but the minimum-year offset makes the scale start at one and reads more naturally as a count of years since the corpus opened. The citation variable could have been left untransformed for the cross-sectional model, and it was, while the accumulation model adds one before logging so that uncited records survive the transformation; this preserves every observation rather than dropping the many zeros, at the cost of the compression discussed earlier. The venue score could have been coded as unordered categories, but the ordinal coding lets a single coefficient summarize the venue axis, which suits a screen and a small sample better than a set of category indicators that would consume scarce degrees of freedom.</w:t>
      </w:r>
    </w:p>
    <w:p>
      <w:pPr>
        <w:pStyle w:val="BodyText"/>
        <w:spacing w:line="480" w:lineRule="auto"/>
        <w:ind w:firstLine="720"/>
      </w:pPr>
      <w:r>
        <w:t xml:space="preserve">The topic-signal score is the measurement most open to alternative construction, and its determinism is the deliberate answer to that openness. A subjective salience rating would capture conceptual content better but would sacrifice reproducibility and invite exactly the discretion the design works to remove. By counting theme terms mechanically across title, snippet, keyword, and author fields, the score trades depth for auditability, a trade the successor design is meant to reverse once reproducibility has been established at the metadata level. Reis’s and Brennan’s records, written in registers a term count handles unevenly, are the standing reminder that this trade has a cost</w:t>
      </w:r>
      <w:r>
        <w:t xml:space="preserve"> </w:t>
      </w:r>
      <w:hyperlink w:anchor="ref-13">
        <w:r>
          <w:rPr>
            <w:rStyle w:val="Hyperlink"/>
          </w:rPr>
          <w:t xml:space="preserve">[13]</w:t>
        </w:r>
      </w:hyperlink>
      <w:r>
        <w:t xml:space="preserve"> </w:t>
      </w:r>
      <w:hyperlink w:anchor="ref-9">
        <w:r>
          <w:rPr>
            <w:rStyle w:val="Hyperlink"/>
          </w:rPr>
          <w:t xml:space="preserve">[9]</w:t>
        </w:r>
      </w:hyperlink>
      <w:r>
        <w:t xml:space="preserve">. Stating the alternatives makes clear that the chosen rules are choices, defensible for a first pass and revisable in the next.</w:t>
      </w:r>
    </w:p>
    <w:bookmarkEnd w:id="116"/>
    <w:bookmarkEnd w:id="117"/>
    <w:bookmarkStart w:id="128" w:name="chapter-6-results"/>
    <w:p>
      <w:pPr>
        <w:pStyle w:val="Heading1"/>
        <w:spacing w:line="480" w:lineRule="auto"/>
      </w:pPr>
      <w:r>
        <w:t xml:space="preserve">Chapter 6: Results</w:t>
      </w:r>
    </w:p>
    <w:p>
      <w:pPr>
        <w:pStyle w:val="FirstParagraph"/>
        <w:spacing w:line="480" w:lineRule="auto"/>
      </w:pPr>
      <w:r>
        <w:t xml:space="preserve">Confidence would be premature. This chapter reports the estimator output exactly as the two workbooks produced it, then interprets the signs and magnitudes against the hypotheses. Nothing here is rounded away or reframed to look stronger than it is. The results are modest, mixed, and in one respect surprising, and the interpretation follows the output rather than the other way around. Two findings anchor the chapter: a precise, negative venue coefficient in the cross-sectional model, and a flat, imprecise elasticity in the accumulation model. Both are read as evidence about the retrieved corpus and nothing wider.</w:t>
      </w:r>
    </w:p>
    <w:bookmarkStart w:id="118" w:name="cross-sectional-model-overall-fit"/>
    <w:p>
      <w:pPr>
        <w:pStyle w:val="Heading2"/>
        <w:spacing w:line="480" w:lineRule="auto"/>
      </w:pPr>
      <w:r>
        <w:t xml:space="preserve">6.1 Cross-Sectional Model: Overall Fit</w:t>
      </w:r>
    </w:p>
    <w:p>
      <w:pPr>
        <w:pStyle w:val="FirstParagraph"/>
        <w:spacing w:line="480" w:lineRule="auto"/>
      </w:pPr>
      <w:r>
        <w:t xml:space="preserve">The gap is specific. Paper 1 estimates the ordinary least squares specification with heteroskedasticity-consistent HC1 standard errors on the full set of thirty records. The overall fit is N of 30, R-squared of 0.1901, adjusted R-squared of 0.0966, an F statistic of 2.8204, and an F p-value of 0.0586. The model therefore accounts for roughly nineteen percent of the variation in the topic-signal score, and the adjusted figure, which penalizes the three predictors against the small sample, falls to just under ten percent. The joint F test sits at the edge of conventional significance, at 0.0586, meaning the three predictors together are marginally distinguishable from a model of pure noise but do not clear the customary five-percent threshold.</w:t>
      </w:r>
    </w:p>
    <w:p>
      <w:pPr>
        <w:pStyle w:val="BodyText"/>
        <w:spacing w:line="480" w:lineRule="auto"/>
        <w:ind w:firstLine="720"/>
      </w:pPr>
      <w:r>
        <w:t xml:space="preserve">One coefficient is precise. Read honestly, this is the fit of a screen, not of an explanatory model. A fifth of the variation is captured and four-fifths is left on the table, which is what one expects when a deterministic term-count outcome is regressed on three coarse metadata predictors. The marginal F p-value is itself part of the finding: it says the corpus contains some structure worth reporting while warning against treating that structure as decisive. Hand and France’s early framing of situational awareness as an operational enabler is the kind of substantive claim this thin metadata cannot fully resolve, and the fit statistics say as much</w:t>
      </w:r>
      <w:r>
        <w:t xml:space="preserve"> </w:t>
      </w:r>
      <w:hyperlink w:anchor="ref-2">
        <w:r>
          <w:rPr>
            <w:rStyle w:val="Hyperlink"/>
          </w:rPr>
          <w:t xml:space="preserve">[2]</w:t>
        </w:r>
      </w:hyperlink>
      <w:r>
        <w:t xml:space="preserve">.</w:t>
      </w:r>
    </w:p>
    <w:bookmarkEnd w:id="118"/>
    <w:bookmarkStart w:id="119" w:name="cross-sectional-model-coefficients"/>
    <w:p>
      <w:pPr>
        <w:pStyle w:val="Heading2"/>
        <w:spacing w:line="480" w:lineRule="auto"/>
      </w:pPr>
      <w:r>
        <w:t xml:space="preserve">6.2 Cross-Sectional Model: Coefficients</w:t>
      </w:r>
    </w:p>
    <w:p>
      <w:pPr>
        <w:pStyle w:val="FirstParagraph"/>
        <w:spacing w:line="480" w:lineRule="auto"/>
      </w:pPr>
      <w:r>
        <w:t xml:space="preserve">The rest stay weak. The term-level estimates are the heart of Paper 1. The constant is 5.8437, with a standard error of 1.259 and a p-value of 3.46e-06, which locates the baseline signal score with high precision but carries little substantive interest on its own. The recency index coefficient is 0.1007, with a standard error of 0.0782 and a p-value of 0.1981. The citation count coefficient is 0.0304, with a standard error of 0.0863 and a p-value of 0.7251. The venue-family coefficient is -1.7993, with a standard error of 0.6362 and a p-value of 0.0047.</w:t>
      </w:r>
    </w:p>
    <w:p>
      <w:pPr>
        <w:pStyle w:val="BodyText"/>
        <w:spacing w:line="480" w:lineRule="auto"/>
        <w:ind w:firstLine="720"/>
      </w:pPr>
      <w:r>
        <w:t xml:space="preserve">The chain is intact. Two of the three predicted traces come back weak. The recency coefficient is positive, in the direction the theory predicted, since an advancing concept should attach to more recent work, but at a p-value of 0.1981 it is not statistically distinguishable from zero in this sample. Its point estimate of roughly one-tenth of a signal point per recency unit implies that a record twenty units more recent would carry about two additional signal points, a plausible but imprecisely measured effect. The citation coefficient is essentially flat at 0.0304 and thoroughly imprecise at a p-value of 0.7251, which offers no support at all for the attention trace. Given the heavily zero-inflated citation record documented in the previous chapter, that null is unsurprising, and De Alba’s warning that automated attention can accrue without conceptual substance makes the flatness easier to accept as genuine rather than as a measurement artifact to be explained away</w:t>
      </w:r>
      <w:r>
        <w:t xml:space="preserve"> </w:t>
      </w:r>
      <w:hyperlink w:anchor="ref-6">
        <w:r>
          <w:rPr>
            <w:rStyle w:val="Hyperlink"/>
          </w:rPr>
          <w:t xml:space="preserve">[6]</w:t>
        </w:r>
      </w:hyperlink>
      <w:r>
        <w:t xml:space="preserve">.</w:t>
      </w:r>
    </w:p>
    <w:p>
      <w:pPr>
        <w:pStyle w:val="BodyText"/>
        <w:spacing w:line="480" w:lineRule="auto"/>
        <w:ind w:firstLine="720"/>
      </w:pPr>
      <w:r>
        <w:t xml:space="preserve">The physics resists. The venue coefficient is the one precise, substantive result in the model. At -1.7993 with a p-value of 0.0047, it is the only predictor that clears conventional significance, and its sign is negative: moving up the ordinal venue scale, from proceedings toward journal articles toward policy-economy sources, is associated with a lower topic-signal score, by roughly 1.8 points per venue step, holding recency and citation attention fixed. This is a real finding and it complicates the migration story. The strongest topic signal concentrates in the proceedings family, the venue where operational and strategic-argument records cluster, rather than in the journal family where the environmental physics that contradicts the frame is documented. Pardini and Anselmo’s heavily cited fragmentation analysis sits in that journal family, and the negative venue coefficient says the counted topic terms are comparatively sparse exactly where such environmental correction lives</w:t>
      </w:r>
      <w:r>
        <w:t xml:space="preserve"> </w:t>
      </w:r>
      <w:hyperlink w:anchor="ref-11">
        <w:r>
          <w:rPr>
            <w:rStyle w:val="Hyperlink"/>
          </w:rPr>
          <w:t xml:space="preserve">[11]</w:t>
        </w:r>
      </w:hyperlink>
      <w:r>
        <w:t xml:space="preserve">.</w:t>
      </w:r>
    </w:p>
    <w:bookmarkEnd w:id="119"/>
    <w:bookmarkStart w:id="120" w:name="interpreting-the-cross-sectional-result"/>
    <w:p>
      <w:pPr>
        <w:pStyle w:val="Heading2"/>
        <w:spacing w:line="480" w:lineRule="auto"/>
      </w:pPr>
      <w:r>
        <w:t xml:space="preserve">6.3 Interpreting the Cross-Sectional Result</w:t>
      </w:r>
    </w:p>
    <w:p>
      <w:pPr>
        <w:pStyle w:val="FirstParagraph"/>
        <w:spacing w:line="480" w:lineRule="auto"/>
      </w:pPr>
      <w:r>
        <w:t xml:space="preserve">Check the source. The hypotheses declared the alternative directional on recency and attention and structural on venue. The data deliver the structural venue result cleanly and leave the two directional predictions unconfirmed. That pattern is informative rather than disappointing. It says the topic signal in this corpus is organized primarily by venue family, not by how recent or how cited a record is, and that the organization runs against the journal-and-economy end of the scale. A recapitulated air-power doctrine, concentrated in strategic-argument venues while thinning where orbital reality is measured, would produce precisely this venue signature, so the one precise coefficient is at least consistent with the migration mechanism even as the recency and attention channels stay silent.</w:t>
      </w:r>
    </w:p>
    <w:p>
      <w:pPr>
        <w:pStyle w:val="BodyText"/>
        <w:spacing w:line="480" w:lineRule="auto"/>
        <w:ind w:firstLine="720"/>
      </w:pPr>
      <w:r>
        <w:t xml:space="preserve">Discipline requires stating the counter-reading too. The negative venue coefficient could reflect the candidate’s retrieval rather than the field, since the term-count outcome may simply register more thematic vocabulary in proceedings abstracts than in journal or economic prose for reasons unrelated to doctrine. Long and Chen’s governance analysis and Reis’s hybrid-threat framing both live in the journal family and are conceptually central to the topic, yet a term-count screen may score them low if they express the ideas in different words</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venue result is therefore best read as a signpost toward document-level coding, not as proof of doctrinal concentration.</w:t>
      </w:r>
    </w:p>
    <w:bookmarkEnd w:id="120"/>
    <w:bookmarkStart w:id="121" w:name="accumulation-model-output"/>
    <w:p>
      <w:pPr>
        <w:pStyle w:val="Heading2"/>
        <w:spacing w:line="480" w:lineRule="auto"/>
      </w:pPr>
      <w:r>
        <w:t xml:space="preserve">6.4 Accumulation Model: Output</w:t>
      </w:r>
    </w:p>
    <w:p>
      <w:pPr>
        <w:pStyle w:val="FirstParagraph"/>
        <w:spacing w:line="480" w:lineRule="auto"/>
      </w:pPr>
      <w:r>
        <w:t xml:space="preserve">The frame is contingent. Paper 2 estimates the log-log learning-curve specification with HC1 standard errors on the same thirty records. The fit is N of 30 and R-squared of 0.0114. The constant is 0.5610, with a standard error of 0.2521 and a p-value of 0.0261. The coefficient on log age, the elasticity of interest, is -0.1072, with a standard error of 0.1077 and a p-value of 0.3193. The implied progress ratio, computed as two raised to the elasticity, is 0.9284.</w:t>
      </w:r>
    </w:p>
    <w:p>
      <w:pPr>
        <w:pStyle w:val="BodyText"/>
        <w:spacing w:line="480" w:lineRule="auto"/>
        <w:ind w:firstLine="720"/>
      </w:pPr>
      <w:r>
        <w:t xml:space="preserve">Governance waits on framing. The model explains barely one percent of the variation in logged citation accumulation. The elasticity is small and negative and statistically indistinguishable from zero at a p-value of 0.3193, so the design’s hypothesis that citation accumulation follows a measurable age-based attention curve finds no support. The progress ratio of 0.9284 would, if taken at face value, imply that doubling a record’s age is associated with roughly a seven-percent decline in accumulated attention, an inverted and substantively odd pattern, but the imprecision of the elasticity means this number should not be pressed. The honest reading is that age does not structure attention in this corpus.</w:t>
      </w:r>
    </w:p>
    <w:bookmarkEnd w:id="121"/>
    <w:bookmarkStart w:id="122" w:name="interpreting-the-accumulation-result"/>
    <w:p>
      <w:pPr>
        <w:pStyle w:val="Heading2"/>
        <w:spacing w:line="480" w:lineRule="auto"/>
      </w:pPr>
      <w:r>
        <w:t xml:space="preserve">6.5 Interpreting the Accumulation Result</w:t>
      </w:r>
    </w:p>
    <w:p>
      <w:pPr>
        <w:pStyle w:val="FirstParagraph"/>
        <w:spacing w:line="480" w:lineRule="auto"/>
      </w:pPr>
      <w:r>
        <w:t xml:space="preserve">The flat elasticity carries a specific meaning the theory anticipated. Citation attention in this corpus is not the product of steady accumulation with age; it is concentrated in a few records regardless of when they were published. The Cosmos 1408 analysis, only a few years old, carries the largest citation count in the dataset, while many older proceedings entries remain uncited, so age and attention simply do not track each other</w:t>
      </w:r>
      <w:r>
        <w:t xml:space="preserve"> </w:t>
      </w:r>
      <w:hyperlink w:anchor="ref-11">
        <w:r>
          <w:rPr>
            <w:rStyle w:val="Hyperlink"/>
          </w:rPr>
          <w:t xml:space="preserve">[11]</w:t>
        </w:r>
      </w:hyperlink>
      <w:r>
        <w:t xml:space="preserve">. That distinguishes a topic sustained by a handful of influential documents from one sustained by a maturing evidence base, and this corpus is plainly the former.</w:t>
      </w:r>
    </w:p>
    <w:p>
      <w:pPr>
        <w:pStyle w:val="BodyText"/>
        <w:spacing w:line="480" w:lineRule="auto"/>
        <w:ind w:firstLine="720"/>
      </w:pPr>
      <w:r>
        <w:t xml:space="preserve">For the migration question, the accumulation null tightens the interpretation of the whole exercise. The topic’s visibility does not rest on a deep, aging citation record; it rests on venue concentration and on a small number of salient records. Young’s caution about national-security narratives resting on thin evidence is directly on point, since a field whose attention is this concentrated is one whose framing could shift on the strength of very few documents</w:t>
      </w:r>
      <w:r>
        <w:t xml:space="preserve"> </w:t>
      </w:r>
      <w:hyperlink w:anchor="ref-4">
        <w:r>
          <w:rPr>
            <w:rStyle w:val="Hyperlink"/>
          </w:rPr>
          <w:t xml:space="preserve">[4]</w:t>
        </w:r>
      </w:hyperlink>
      <w:r>
        <w:t xml:space="preserve">.</w:t>
      </w:r>
    </w:p>
    <w:bookmarkEnd w:id="122"/>
    <w:bookmarkStart w:id="123" w:name="the-two-results-together"/>
    <w:p>
      <w:pPr>
        <w:pStyle w:val="Heading2"/>
        <w:spacing w:line="480" w:lineRule="auto"/>
      </w:pPr>
      <w:r>
        <w:t xml:space="preserve">6.6 The Two Results Together</w:t>
      </w:r>
    </w:p>
    <w:p>
      <w:pPr>
        <w:pStyle w:val="FirstParagraph"/>
        <w:spacing w:line="480" w:lineRule="auto"/>
      </w:pPr>
      <w:r>
        <w:t xml:space="preserve">Combined, the two models return a bounded and coherent answer. The cross-sectional screen finds one precise trace, the negative venue coefficient, and two null traces, recency and attention. The accumulation screen finds no age structure at all. The topic signal in this corpus is organized by venue family, concentrated in strategic-argument proceedings rather than in the journal literature that documents orbital reality, and it is not underwritten by a broad, age-accumulated citation base. That configuration is consistent with an early-stage doctrinal frame that has attached to argument venues without yet building a deep evidentiary record, which is exactly the pattern the migration mechanism would produce at an early phase</w:t>
      </w:r>
      <w:r>
        <w:t xml:space="preserve"> </w:t>
      </w:r>
      <w:hyperlink w:anchor="ref-1">
        <w:r>
          <w:rPr>
            <w:rStyle w:val="Hyperlink"/>
          </w:rPr>
          <w:t xml:space="preserve">[1]</w:t>
        </w:r>
      </w:hyperlink>
      <w:r>
        <w:t xml:space="preserve">.</w:t>
      </w:r>
    </w:p>
    <w:p>
      <w:pPr>
        <w:pStyle w:val="BodyText"/>
        <w:spacing w:line="480" w:lineRule="auto"/>
        <w:ind w:firstLine="720"/>
      </w:pPr>
      <w:r>
        <w:t xml:space="preserve">None of this proves the broadest policy claim, and the results are honest about the gap. What they establish is where the observable structure lies and where it does not, which variables have signal and which are too weak to carry weight, and which hypotheses deserve a stronger, document-level dataset. The venue finding earns follow-up; the recency, attention, and accumulation channels, as measured here, do not sustain a strong claim. That is an auditable measurement step, and the next chapter turns to what it means and what it cannot</w:t>
      </w:r>
      <w:r>
        <w:t xml:space="preserve"> </w:t>
      </w:r>
      <w:hyperlink w:anchor="ref-5">
        <w:r>
          <w:rPr>
            <w:rStyle w:val="Hyperlink"/>
          </w:rPr>
          <w:t xml:space="preserve">[5]</w:t>
        </w:r>
      </w:hyperlink>
      <w:r>
        <w:t xml:space="preserve"> </w:t>
      </w:r>
      <w:hyperlink w:anchor="ref-3">
        <w:r>
          <w:rPr>
            <w:rStyle w:val="Hyperlink"/>
          </w:rPr>
          <w:t xml:space="preserve">[3]</w:t>
        </w:r>
      </w:hyperlink>
      <w:r>
        <w:t xml:space="preserve">.</w:t>
      </w:r>
    </w:p>
    <w:bookmarkEnd w:id="123"/>
    <w:bookmarkStart w:id="124" w:name="magnitudes-in-context"/>
    <w:p>
      <w:pPr>
        <w:pStyle w:val="Heading2"/>
        <w:spacing w:line="480" w:lineRule="auto"/>
      </w:pPr>
      <w:r>
        <w:t xml:space="preserve">6.7 Magnitudes in Context</w:t>
      </w:r>
    </w:p>
    <w:p>
      <w:pPr>
        <w:pStyle w:val="FirstParagraph"/>
        <w:spacing w:line="480" w:lineRule="auto"/>
      </w:pPr>
      <w:r>
        <w:t xml:space="preserve">It is worth translating the coefficients into the scale of the data so their practical size is legible. The topic-signal score ranges from 1 to 12 across the corpus, with most records between 1 and 7. Against that spread, the venue coefficient of -1.7993 is large: a single step up the ordinal venue scale is associated with nearly a two-point drop in signal, which is a substantial fraction of the score’s typical range. Moving across the full scale, from proceedings to policy-economy sources, the model implies a signal reduction of roughly 3.6 points before accounting for the constant, enough to move a record from the middle of the distribution toward its floor. That magnitude is what makes the venue result substantively as well as statistically notable, and it is why the discussion treats venue as the corpus’s dominant organizing axis.</w:t>
      </w:r>
    </w:p>
    <w:p>
      <w:pPr>
        <w:pStyle w:val="BodyText"/>
        <w:spacing w:line="480" w:lineRule="auto"/>
        <w:ind w:firstLine="720"/>
      </w:pPr>
      <w:r>
        <w:t xml:space="preserve">The recency coefficient, by contrast, is modest even taken at face value. At 0.1007 per recency unit, and with the index spanning roughly twenty units from oldest to newest record, the fitted difference between the earliest and latest records is about two signal points, comparable to a single venue step but estimated with far less precision. The citation coefficient of 0.0304 is negligible on any scale: even a record with the corpus maximum of twenty-one citations would gain under one signal point from the attention channel, and the imprecision means even that is not reliably distinguishable from zero. Placing the magnitudes side by side makes the hierarchy clear. Venue dominates, recency is a weak secondary signal, and attention contributes essentially nothing, which is a coherent picture rather than a scatter of unrelated coefficients</w:t>
      </w:r>
      <w:r>
        <w:t xml:space="preserve"> </w:t>
      </w:r>
      <w:hyperlink w:anchor="ref-11">
        <w:r>
          <w:rPr>
            <w:rStyle w:val="Hyperlink"/>
          </w:rPr>
          <w:t xml:space="preserve">[11]</w:t>
        </w:r>
      </w:hyperlink>
      <w:r>
        <w:t xml:space="preserve"> </w:t>
      </w:r>
      <w:hyperlink w:anchor="ref-6">
        <w:r>
          <w:rPr>
            <w:rStyle w:val="Hyperlink"/>
          </w:rPr>
          <w:t xml:space="preserve">[6]</w:t>
        </w:r>
      </w:hyperlink>
      <w:r>
        <w:t xml:space="preserve">.</w:t>
      </w:r>
    </w:p>
    <w:bookmarkEnd w:id="124"/>
    <w:bookmarkStart w:id="125" w:name="robustness-of-the-reported-pattern"/>
    <w:p>
      <w:pPr>
        <w:pStyle w:val="Heading2"/>
        <w:spacing w:line="480" w:lineRule="auto"/>
      </w:pPr>
      <w:r>
        <w:t xml:space="preserve">6.8 Robustness of the Reported Pattern</w:t>
      </w:r>
    </w:p>
    <w:p>
      <w:pPr>
        <w:pStyle w:val="FirstParagraph"/>
        <w:spacing w:line="480" w:lineRule="auto"/>
      </w:pPr>
      <w:r>
        <w:t xml:space="preserve">Because the sample is small, a responsible reading asks how fragile the reported pattern is, and the structure of the data offers some reassurance on the one result that matters. The venue coefficient’s precision, with a p-value of 0.0047 under heteroskedasticity-robust standard errors, does not depend on a single outlying record; the negative association between venue rank and signal is visible across the body of the corpus rather than driven by one extreme point. The zero-inflated citation distribution, dominated by records with no recorded citations and a short tail led by the Cosmos 1408 analysis, is exactly the configuration in which robust standard errors matter most, and using them is what keeps the attention null from being either overstated or spuriously rescued</w:t>
      </w:r>
      <w:r>
        <w:t xml:space="preserve"> </w:t>
      </w:r>
      <w:hyperlink w:anchor="ref-11">
        <w:r>
          <w:rPr>
            <w:rStyle w:val="Hyperlink"/>
          </w:rPr>
          <w:t xml:space="preserve">[11]</w:t>
        </w:r>
      </w:hyperlink>
      <w:r>
        <w:t xml:space="preserve">.</w:t>
      </w:r>
    </w:p>
    <w:p>
      <w:pPr>
        <w:pStyle w:val="BodyText"/>
        <w:spacing w:line="480" w:lineRule="auto"/>
        <w:ind w:firstLine="720"/>
      </w:pPr>
      <w:r>
        <w:t xml:space="preserve">The accumulation model’s flatness is likewise robust in the sense that it reflects a genuine feature of the data rather than a modeling artifact. Attention in this corpus does not track age because the most-cited record is recent and many old records are uncited, so no monotone relationship between age and citation can emerge. That is not a fragile finding waiting to flip under a different specification; it is a direct consequence of the citation distribution across publication years. De Alba and colleagues’ caution about inflated activity is relevant here in the reverse direction: the corpus shows no sign of the kind of accumulated attention that would signal a maturing evidence base, which argues that the topic’s visibility is carried by a few salient records and by venue placement rather than by depth of citation</w:t>
      </w:r>
      <w:r>
        <w:t xml:space="preserve"> </w:t>
      </w:r>
      <w:hyperlink w:anchor="ref-6">
        <w:r>
          <w:rPr>
            <w:rStyle w:val="Hyperlink"/>
          </w:rPr>
          <w:t xml:space="preserve">[6]</w:t>
        </w:r>
      </w:hyperlink>
      <w:r>
        <w:t xml:space="preserve">. The pattern the two models report is therefore stable in its essentials: a strong venue axis, weak-to-null recency and attention channels, and no age structure in accumulation. Young’s warning about thin evidentiary bases describes the resulting shape well</w:t>
      </w:r>
      <w:r>
        <w:t xml:space="preserve"> </w:t>
      </w:r>
      <w:hyperlink w:anchor="ref-4">
        <w:r>
          <w:rPr>
            <w:rStyle w:val="Hyperlink"/>
          </w:rPr>
          <w:t xml:space="preserve">[4]</w:t>
        </w:r>
      </w:hyperlink>
      <w:r>
        <w:t xml:space="preserve">.</w:t>
      </w:r>
    </w:p>
    <w:bookmarkEnd w:id="125"/>
    <w:bookmarkStart w:id="126" w:name="testing-the-hypotheses-directly"/>
    <w:p>
      <w:pPr>
        <w:pStyle w:val="Heading2"/>
        <w:spacing w:line="480" w:lineRule="auto"/>
      </w:pPr>
      <w:r>
        <w:t xml:space="preserve">6.9 Testing the Hypotheses Directly</w:t>
      </w:r>
    </w:p>
    <w:p>
      <w:pPr>
        <w:pStyle w:val="FirstParagraph"/>
        <w:spacing w:line="480" w:lineRule="auto"/>
      </w:pPr>
      <w:r>
        <w:t xml:space="preserve">It is worth returning the results to the hypotheses stated at the outset and rendering a verdict on each, since that is what a falsifiable design owes its reader. The cross-sectional null, H0, held that the topic-signal score is unrelated to recency, citation attention, and venue family. That null is rejected, but only on the venue channel: the venue coefficient of -1.7993 at a p-value of 0.0047 establishes a systematic relationship between venue family and signal, so the corpus is not structureless. The directional alternative, H1, held that the signal increases with recency and citation attention. That prediction is not supported. The recency coefficient carries the right sign but fails to clear significance at 0.1981, and the citation coefficient is flat and insignificant at 0.7251, so the specific directional claim about recency and attention goes unconfirmed even as the broader null of no structure falls.</w:t>
      </w:r>
    </w:p>
    <w:p>
      <w:pPr>
        <w:pStyle w:val="BodyText"/>
        <w:spacing w:line="480" w:lineRule="auto"/>
        <w:ind w:firstLine="720"/>
      </w:pPr>
      <w:r>
        <w:t xml:space="preserve">The accumulation hypotheses resolve more cleanly. The null, that citation accumulation is unrelated to article age, is not rejected: the age elasticity of -0.1072 sits at a p-value of 0.3193, well inside the range consistent with no relationship, and the model’s R-squared of 0.0114 confirms that age explains almost none of the variation in logged attention. The alternative, that accumulation follows a measurable age-based curve, is therefore rejected for this corpus. The verdict across both models is thus mixed and specific: structure exists, but it is venue structure, not the temporal or attention structure the directional hypotheses predicted. Harrison’s account of how space-control vocabulary circulates gives that venue result its substantive backdrop, since a frame carried in strategic argument would be expected to concentrate exactly where the venue coefficient locates it</w:t>
      </w:r>
      <w:r>
        <w:t xml:space="preserve"> </w:t>
      </w:r>
      <w:hyperlink w:anchor="ref-1">
        <w:r>
          <w:rPr>
            <w:rStyle w:val="Hyperlink"/>
          </w:rPr>
          <w:t xml:space="preserve">[1]</w:t>
        </w:r>
      </w:hyperlink>
      <w:r>
        <w:t xml:space="preserve">.</w:t>
      </w:r>
    </w:p>
    <w:bookmarkEnd w:id="126"/>
    <w:bookmarkStart w:id="127" w:name="what-the-results-do-not-say"/>
    <w:p>
      <w:pPr>
        <w:pStyle w:val="Heading2"/>
        <w:spacing w:line="480" w:lineRule="auto"/>
      </w:pPr>
      <w:r>
        <w:t xml:space="preserve">6.10 What the Results Do Not Say</w:t>
      </w:r>
    </w:p>
    <w:p>
      <w:pPr>
        <w:pStyle w:val="FirstParagraph"/>
        <w:spacing w:line="480" w:lineRule="auto"/>
      </w:pPr>
      <w:r>
        <w:t xml:space="preserve">Because the venue finding is the one significant result, it invites overreach, and the chapter closes by fencing off the claims it cannot support. The negative venue coefficient does not show that Douhet-style reasoning is concentrated in proceedings; it shows that the counted theme terms are more prevalent there, which is a proxy relationship, not a direct measurement of doctrinal content. It does not show that the journal literature ignores the topic; Long and Chen and Reis are conceptually central and sit in the journal family, yet may score low on a term count because they express the ideas in their own vocabulary</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And it does not show anything about the field beyond the thirty retrieved records, because the sampling frame is the retrieval itself.</w:t>
      </w:r>
    </w:p>
    <w:p>
      <w:pPr>
        <w:pStyle w:val="BodyText"/>
        <w:spacing w:line="480" w:lineRule="auto"/>
        <w:ind w:firstLine="720"/>
      </w:pPr>
      <w:r>
        <w:t xml:space="preserve">The nulls are equally bounded. The flat recency and attention coefficients do not prove those channels are inert in the field; they show only that, in this small corpus, the channels do not produce a detectable signal, a conclusion the low power of thirty observations makes provisional. The absent age structure does not prove the topic is immature; it shows that attention in this corpus is concentrated rather than accumulated, which is consistent with immaturity but does not establish it. Pardini and Anselmo’s recent, heavily cited record is a single point capable of shaping the accumulation picture, and a design reading the documents directly could weigh it properly</w:t>
      </w:r>
      <w:r>
        <w:t xml:space="preserve"> </w:t>
      </w:r>
      <w:hyperlink w:anchor="ref-11">
        <w:r>
          <w:rPr>
            <w:rStyle w:val="Hyperlink"/>
          </w:rPr>
          <w:t xml:space="preserve">[11]</w:t>
        </w:r>
      </w:hyperlink>
      <w:r>
        <w:t xml:space="preserve">. The results are a screen, and a screen reports where to look next, not where the matter ends</w:t>
      </w:r>
      <w:r>
        <w:t xml:space="preserve"> </w:t>
      </w:r>
      <w:hyperlink w:anchor="ref-4">
        <w:r>
          <w:rPr>
            <w:rStyle w:val="Hyperlink"/>
          </w:rPr>
          <w:t xml:space="preserve">[4]</w:t>
        </w:r>
      </w:hyperlink>
      <w:r>
        <w:t xml:space="preserve">.</w:t>
      </w:r>
    </w:p>
    <w:bookmarkEnd w:id="127"/>
    <w:bookmarkEnd w:id="128"/>
    <w:bookmarkStart w:id="138" w:name="chapter-7-discussion-and-limitations"/>
    <w:p>
      <w:pPr>
        <w:pStyle w:val="Heading1"/>
        <w:spacing w:line="480" w:lineRule="auto"/>
      </w:pPr>
      <w:r>
        <w:t xml:space="preserve">Chapter 7: Discussion and Limitations</w:t>
      </w:r>
    </w:p>
    <w:p>
      <w:pPr>
        <w:pStyle w:val="FirstParagraph"/>
        <w:spacing w:line="480" w:lineRule="auto"/>
      </w:pPr>
      <w:r>
        <w:t xml:space="preserve">The vacuum is forming. The results are narrow, and their meaning has to be read at the altitude they can bear. This chapter interprets what the two estimators established, states plainly what they cannot establish, and works through the threats to validity that a skeptic would raise. The discipline of the previous chapter, reporting the output before reading it, carries into this one: the discussion draws only conclusions the coefficients support, and it treats the null results as findings rather than as embarrassments to be talked past.</w:t>
      </w:r>
    </w:p>
    <w:bookmarkStart w:id="129" w:name="what-the-findings-mean"/>
    <w:p>
      <w:pPr>
        <w:pStyle w:val="Heading2"/>
        <w:spacing w:line="480" w:lineRule="auto"/>
      </w:pPr>
      <w:r>
        <w:t xml:space="preserve">7.1 What the Findings Mean</w:t>
      </w:r>
    </w:p>
    <w:p>
      <w:pPr>
        <w:pStyle w:val="FirstParagraph"/>
        <w:spacing w:line="480" w:lineRule="auto"/>
      </w:pPr>
      <w:r>
        <w:t xml:space="preserve">Framing decides much. The central substantive finding is the venue coefficient. In the cross-sectional model it was -1.7993 with a p-value of 0.0047, the only predictor to clear conventional significance, and its negative sign located the strongest topic signal in the proceedings family rather than in the journal or policy-economy families. Interpreted against the migration mechanism, this points somewhere specific. A recapitulated air-power doctrine would concentrate in the venues where strategic argument is made, and in this corpus those are the proceedings, while the journal literature that carries the orbital physics contradicting the frame, exemplified by Pardini and Anselmo’s fragmentation analysis, scores comparatively low on the counted topic terms</w:t>
      </w:r>
      <w:r>
        <w:t xml:space="preserve"> </w:t>
      </w:r>
      <w:hyperlink w:anchor="ref-11">
        <w:r>
          <w:rPr>
            <w:rStyle w:val="Hyperlink"/>
          </w:rPr>
          <w:t xml:space="preserve">[11]</w:t>
        </w:r>
      </w:hyperlink>
      <w:r>
        <w:t xml:space="preserve">. The venue signature is consistent with a frame that lives in argument and thins where correction lives.</w:t>
      </w:r>
    </w:p>
    <w:p>
      <w:pPr>
        <w:pStyle w:val="BodyText"/>
        <w:spacing w:line="480" w:lineRule="auto"/>
        <w:ind w:firstLine="720"/>
      </w:pPr>
      <w:r>
        <w:t xml:space="preserve">The test is falsifiable. That reading must be held loosely, and the reason is the two null traces. The recency coefficient pointed the right way but was imprecise, and the citation coefficient was flat and imprecise, so the theory’s directional predictions about an advancing, attention-drawing concept went unconfirmed. The accumulation model reinforced the point: with an elasticity of -0.1072 at a p-value of 0.3193 and an R-squared of barely 0.0114, citation attention showed no age structure at all. Taken together, the picture is of a topic whose visibility rests on venue concentration and a few salient records rather than on a broad, maturing evidence base. Young’s warning that national-security narratives can rest on thin evidence is not an abstract caution here; it describes the exact evidentiary shape this corpus displays</w:t>
      </w:r>
      <w:r>
        <w:t xml:space="preserve"> </w:t>
      </w:r>
      <w:hyperlink w:anchor="ref-4">
        <w:r>
          <w:rPr>
            <w:rStyle w:val="Hyperlink"/>
          </w:rPr>
          <w:t xml:space="preserve">[4]</w:t>
        </w:r>
      </w:hyperlink>
      <w:r>
        <w:t xml:space="preserve">.</w:t>
      </w:r>
    </w:p>
    <w:p>
      <w:pPr>
        <w:pStyle w:val="BodyText"/>
        <w:spacing w:line="480" w:lineRule="auto"/>
        <w:ind w:firstLine="720"/>
      </w:pPr>
      <w:r>
        <w:t xml:space="preserve">The rules came first. The governance meaning follows from that shape. A framing sustained by concentrated venues and a handful of documents is a framing that could move quickly, for better or worse, on the strength of very little new material. Long and Chen show how governance around orbital capability forms in the vacuum left when legal categories lag technology, and a thinly-supported frame is precisely what tends to fill such vacuums first</w:t>
      </w:r>
      <w:r>
        <w:t xml:space="preserve"> </w:t>
      </w:r>
      <w:hyperlink w:anchor="ref-12">
        <w:r>
          <w:rPr>
            <w:rStyle w:val="Hyperlink"/>
          </w:rPr>
          <w:t xml:space="preserve">[12]</w:t>
        </w:r>
      </w:hyperlink>
      <w:r>
        <w:t xml:space="preserve">. Reis’s analysis of hybrid-threat strategy makes the parallel point that the vocabulary in circulation shapes which threats get resourced</w:t>
      </w:r>
      <w:r>
        <w:t xml:space="preserve"> </w:t>
      </w:r>
      <w:hyperlink w:anchor="ref-13">
        <w:r>
          <w:rPr>
            <w:rStyle w:val="Hyperlink"/>
          </w:rPr>
          <w:t xml:space="preserve">[13]</w:t>
        </w:r>
      </w:hyperlink>
      <w:r>
        <w:t xml:space="preserve">. The finding, modest as it is, says the field’s framing is not yet anchored by deep evidence, which is a governance-relevant fact even though it falls well short of proving that Douhet’s doctrine has captured the field.</w:t>
      </w:r>
    </w:p>
    <w:bookmarkEnd w:id="129"/>
    <w:bookmarkStart w:id="130" w:name="what-the-data-cannot-show"/>
    <w:p>
      <w:pPr>
        <w:pStyle w:val="Heading2"/>
        <w:spacing w:line="480" w:lineRule="auto"/>
      </w:pPr>
      <w:r>
        <w:t xml:space="preserve">7.2 What the Data Cannot Show</w:t>
      </w:r>
    </w:p>
    <w:p>
      <w:pPr>
        <w:pStyle w:val="FirstParagraph"/>
        <w:spacing w:line="480" w:lineRule="auto"/>
      </w:pPr>
      <w:r>
        <w:t xml:space="preserve">The tool matches the claim. Three claims lie beyond the reach of this design, and honesty requires marking each. The design cannot demonstrate that Douhet-style reasoning actually pervades counterspace thought, because the topic-signal score measures thematic term presence in metadata, not the conceptual content of the underlying documents. A record steeped in offense-dominant reasoning while phrased in unusual vocabulary would score low, and a record heavy on the counted terms but conceptually eclectic would score high. The estimators screen for the fingerprints of a migrating concept; they do not read the documents for the concept itself.</w:t>
      </w:r>
    </w:p>
    <w:p>
      <w:pPr>
        <w:pStyle w:val="BodyText"/>
        <w:spacing w:line="480" w:lineRule="auto"/>
        <w:ind w:firstLine="720"/>
      </w:pPr>
      <w:r>
        <w:t xml:space="preserve">Read the nulls as evidence. The design also cannot speak to the field beyond the retrieved corpus. The sampling frame is the candidate’s retrieval, thirty records, not a census of space-security writing, so every coefficient describes structure among those rows and nothing wider. The venue result, in particular, could reflect how the retrieval and the term count interact with the writing conventions of different venue families rather than any true concentration of doctrine. Hand and France in the proceedings family and Brennan in the journal family express topic-relevant ideas in very different registers, and a term-count screen can score them unevenly for reasons that have nothing to do with migration</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p>
      <w:pPr>
        <w:pStyle w:val="BodyText"/>
        <w:spacing w:line="480" w:lineRule="auto"/>
        <w:ind w:firstLine="720"/>
      </w:pPr>
      <w:r>
        <w:t xml:space="preserve">Finally, the design cannot establish causation of any kind. There is no randomization, no natural experiment, and no temporal ordering that would let a coefficient carry a causal claim. The recency association, even had it been precise, would not show that becoming more recent causes a higher signal; it would show only that recent records in this corpus tend to score higher. The dissertation has been consistent on this point from the first chapter, and the discussion holds the line: these are associations within a bounded corpus, interpreted through a stated mechanism, not causal estimates.</w:t>
      </w:r>
    </w:p>
    <w:bookmarkEnd w:id="130"/>
    <w:bookmarkStart w:id="131" w:name="threats-to-validity"/>
    <w:p>
      <w:pPr>
        <w:pStyle w:val="Heading2"/>
        <w:spacing w:line="480" w:lineRule="auto"/>
      </w:pPr>
      <w:r>
        <w:t xml:space="preserve">7.3 Threats to Validity</w:t>
      </w:r>
    </w:p>
    <w:p>
      <w:pPr>
        <w:pStyle w:val="FirstParagraph"/>
        <w:spacing w:line="480" w:lineRule="auto"/>
      </w:pPr>
      <w:r>
        <w:t xml:space="preserve">The first threat is source selection. If the retrieval systematically over-samples proceedings or under-samples policy-economy sources, the venue coefficient could be an artifact of coverage rather than a feature of the field. The design’s partial defense is that every row is traceable to its source, so the composition of the corpus is inspectable rather than hidden, but inspection cannot fully substitute for a representative sampling frame. A successor design drawing on a documented, reproducible retrieval strategy would put the venue finding on firmer ground.</w:t>
      </w:r>
    </w:p>
    <w:p>
      <w:pPr>
        <w:pStyle w:val="BodyText"/>
        <w:spacing w:line="480" w:lineRule="auto"/>
        <w:ind w:firstLine="720"/>
      </w:pPr>
      <w:r>
        <w:t xml:space="preserve">The second threat is proxy measurement. The topic-signal score, the local citation count, and the ordinal venue code are all proxies, and each simplifies a richer construct. The citation count is the most exposed: drawn from a local index and heavily zero-inflated, it is a weak instrument for genuine scholarly attention, which is very likely why the attention coefficient came back flat. De Alba and colleagues’ observation that automated tooling can inflate apparent activity cuts the other way too, warning that even a strong citation signal would need scrutiny</w:t>
      </w:r>
      <w:r>
        <w:t xml:space="preserve"> </w:t>
      </w:r>
      <w:hyperlink w:anchor="ref-6">
        <w:r>
          <w:rPr>
            <w:rStyle w:val="Hyperlink"/>
          </w:rPr>
          <w:t xml:space="preserve">[6]</w:t>
        </w:r>
      </w:hyperlink>
      <w:r>
        <w:t xml:space="preserve">. The proxies are serviceable for a screen and inadequate for a definitive test, and the dissertation labels them accordingly.</w:t>
      </w:r>
    </w:p>
    <w:p>
      <w:pPr>
        <w:pStyle w:val="BodyText"/>
        <w:spacing w:line="480" w:lineRule="auto"/>
        <w:ind w:firstLine="720"/>
      </w:pPr>
      <w:r>
        <w:t xml:space="preserve">The third threat is omitted variables. A metadata model with three predictors cannot include the many technical, institutional, and market forces that shape both the topic signal and its distribution across venues. Any of those omitted forces could drive the venue association through a channel unrelated to doctrinal migration. The small sample compounds this threat, since thirty observations leave no room to add controls without exhausting the degrees of freedom. Sakamoto and Sakamoto’s operational report is a reminder that a single document can embody institutional forces the model never sees, forces that shape where and how a topic appears</w:t>
      </w:r>
      <w:r>
        <w:t xml:space="preserve"> </w:t>
      </w:r>
      <w:hyperlink w:anchor="ref-5">
        <w:r>
          <w:rPr>
            <w:rStyle w:val="Hyperlink"/>
          </w:rPr>
          <w:t xml:space="preserve">[5]</w:t>
        </w:r>
      </w:hyperlink>
      <w:r>
        <w:t xml:space="preserve">.</w:t>
      </w:r>
    </w:p>
    <w:p>
      <w:pPr>
        <w:pStyle w:val="BodyText"/>
        <w:spacing w:line="480" w:lineRule="auto"/>
        <w:ind w:firstLine="720"/>
      </w:pPr>
      <w:r>
        <w:t xml:space="preserve">The fourth threat is overinterpretation, and it is the one most within the author’s control. The temptation in a corpus-screen design is to let the prose promote a marginal fit into a strong claim. The venue coefficient is precise and interesting, but the overall model explains under twenty percent of the variation and clears the joint F test only marginally, at 0.0586, so the responsible reading keeps the finding proportionate to that fit. The design’s safeguard against overinterpretation is structural: report the exact output, read imprecise coefficients as evidence of limits, and refuse to let one significant term stand in for a verdict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31"/>
    <w:bookmarkStart w:id="132" w:name="reconciling-the-results-with-the-theory"/>
    <w:p>
      <w:pPr>
        <w:pStyle w:val="Heading2"/>
        <w:spacing w:line="480" w:lineRule="auto"/>
      </w:pPr>
      <w:r>
        <w:t xml:space="preserve">7.4 Reconciling the Results with the Theory</w:t>
      </w:r>
    </w:p>
    <w:p>
      <w:pPr>
        <w:pStyle w:val="FirstParagraph"/>
        <w:spacing w:line="480" w:lineRule="auto"/>
      </w:pPr>
      <w:r>
        <w:t xml:space="preserve">The theory predicted three traces and a blind spot. The data confirmed one trace, the venue organization, in a form broadly consistent with the mechanism, and left the recency and attention traces unconfirmed. The blind-spot prediction, that the field would underweight the orbital physics contradicting the frame, is indirectly echoed by the negative venue coefficient, since the journal family where that physics is documented scores lower on the topic terms. This is partial corroboration at best, and the theory is not rescued by it, but neither is it refuted. The mechanism predicted an early-stage frame concentrated in argument venues and not yet anchored by accumulated attention, and that is close to what the corpus shows.</w:t>
      </w:r>
    </w:p>
    <w:p>
      <w:pPr>
        <w:pStyle w:val="BodyText"/>
        <w:spacing w:line="480" w:lineRule="auto"/>
        <w:ind w:firstLine="720"/>
      </w:pPr>
      <w:r>
        <w:t xml:space="preserve">The honest verdict is a split one. On the strength of a single precise coefficient and two informative nulls, the migration thesis survives as a hypothesis worth a stronger test, not as an established finding. The corpus contains structure consistent with the mechanism and no structure that contradicts it, which is the most a screen of this size and construction can deliver. The next chapter states the contribution that follows from this measured position and the design that would take it further</w:t>
      </w:r>
      <w:r>
        <w:t xml:space="preserve"> </w:t>
      </w:r>
      <w:hyperlink w:anchor="ref-4">
        <w:r>
          <w:rPr>
            <w:rStyle w:val="Hyperlink"/>
          </w:rPr>
          <w:t xml:space="preserve">[4]</w:t>
        </w:r>
      </w:hyperlink>
      <w:r>
        <w:t xml:space="preserve">.</w:t>
      </w:r>
    </w:p>
    <w:bookmarkEnd w:id="132"/>
    <w:bookmarkStart w:id="133" w:name="the-small-sample-problem-in-full"/>
    <w:p>
      <w:pPr>
        <w:pStyle w:val="Heading2"/>
        <w:spacing w:line="480" w:lineRule="auto"/>
      </w:pPr>
      <w:r>
        <w:t xml:space="preserve">7.5 The Small-Sample Problem in Full</w:t>
      </w:r>
    </w:p>
    <w:p>
      <w:pPr>
        <w:pStyle w:val="FirstParagraph"/>
        <w:spacing w:line="480" w:lineRule="auto"/>
      </w:pPr>
      <w:r>
        <w:t xml:space="preserve">The thirty-record sample deserves a direct reckoning, because it constrains inference in ways that ripple through every conclusion. With so few observations, confidence intervals are wide, and the two null results, on recency and on attention, are as consistent with a genuinely absent relationship as with a real relationship the sample was too small to detect. This is the classic difficulty of low statistical power: absence of evidence is not evidence of absence, and the design cannot fully distinguish the two. The recency coefficient’s correct sign but insignificant p-value is the clearest instance, since a larger sample with the same underlying effect might well have rendered it precise. Honesty requires holding both readings open rather than collapsing the null into a claim that recency does not matter.</w:t>
      </w:r>
    </w:p>
    <w:p>
      <w:pPr>
        <w:pStyle w:val="BodyText"/>
        <w:spacing w:line="480" w:lineRule="auto"/>
        <w:ind w:firstLine="720"/>
      </w:pPr>
      <w:r>
        <w:t xml:space="preserve">The small sample also limits how much can be asked of the model at once. Three predictors against thirty observations is already near the practical limit for a stable fit, which is why the design resisted adding controls for the many technical, institutional, and market forces that surely shape the topic signal. Those forces are real and omitted, and the omission is a direct cost of the sample size rather than an oversight. Sakamoto and Sakamoto’s operational record embodies institutional dynamics the three-predictor model never sees, and a larger dataset would be needed before any of those dynamics could enter as controls</w:t>
      </w:r>
      <w:r>
        <w:t xml:space="preserve"> </w:t>
      </w:r>
      <w:hyperlink w:anchor="ref-5">
        <w:r>
          <w:rPr>
            <w:rStyle w:val="Hyperlink"/>
          </w:rPr>
          <w:t xml:space="preserve">[5]</w:t>
        </w:r>
      </w:hyperlink>
      <w:r>
        <w:t xml:space="preserve">. The sample is adequate for a screen and inadequate for anything more, and the interpretation is calibrated to that reality throughout.</w:t>
      </w:r>
    </w:p>
    <w:bookmarkEnd w:id="133"/>
    <w:bookmarkStart w:id="134" w:name="comparison-with-the-prior-literature"/>
    <w:p>
      <w:pPr>
        <w:pStyle w:val="Heading2"/>
        <w:spacing w:line="480" w:lineRule="auto"/>
      </w:pPr>
      <w:r>
        <w:t xml:space="preserve">7.6 Comparison With the Prior Literature</w:t>
      </w:r>
    </w:p>
    <w:p>
      <w:pPr>
        <w:pStyle w:val="FirstParagraph"/>
        <w:spacing w:line="480" w:lineRule="auto"/>
      </w:pPr>
      <w:r>
        <w:t xml:space="preserve">Reading the results against the anchor literature clarifies both what is new and what remains unresolved. Harrison’s survey established that space-weapons vocabulary circulates widely across defense communities, and the venue finding here adds a measured detail to that picture: within the retrieved corpus, the thematic vocabulary concentrates in the proceedings family rather than distributing evenly, which is consistent with a frame that lives in strategic argument</w:t>
      </w:r>
      <w:r>
        <w:t xml:space="preserve"> </w:t>
      </w:r>
      <w:hyperlink w:anchor="ref-1">
        <w:r>
          <w:rPr>
            <w:rStyle w:val="Hyperlink"/>
          </w:rPr>
          <w:t xml:space="preserve">[1]</w:t>
        </w:r>
      </w:hyperlink>
      <w:r>
        <w:t xml:space="preserve">. Davis’s counter-emphasis on awareness and resilience, meanwhile, is a reminder that the corpus contains records that resist the offense-dominant frame, and the model’s inability to confirm a strong recency or attention trend for the topic signal is compatible with a field still genuinely divided rather than uniformly captured</w:t>
      </w:r>
      <w:r>
        <w:t xml:space="preserve"> </w:t>
      </w:r>
      <w:hyperlink w:anchor="ref-3">
        <w:r>
          <w:rPr>
            <w:rStyle w:val="Hyperlink"/>
          </w:rPr>
          <w:t xml:space="preserve">[3]</w:t>
        </w:r>
      </w:hyperlink>
      <w:r>
        <w:t xml:space="preserve">.</w:t>
      </w:r>
    </w:p>
    <w:p>
      <w:pPr>
        <w:pStyle w:val="BodyText"/>
        <w:spacing w:line="480" w:lineRule="auto"/>
        <w:ind w:firstLine="720"/>
      </w:pPr>
      <w:r>
        <w:t xml:space="preserve">The environmental literature supplies the sharpest point of comparison. Pardini and Anselmo document the shared-contamination physics that an inherited air-power doctrine must ignore, and the negative venue coefficient, which places the topic signal away from the journal family where that physics lives, is at least suggestive of the predicted blind spot</w:t>
      </w:r>
      <w:r>
        <w:t xml:space="preserve"> </w:t>
      </w:r>
      <w:hyperlink w:anchor="ref-11">
        <w:r>
          <w:rPr>
            <w:rStyle w:val="Hyperlink"/>
          </w:rPr>
          <w:t xml:space="preserve">[11]</w:t>
        </w:r>
      </w:hyperlink>
      <w:r>
        <w:t xml:space="preserve">. Long and Chen’s governance-lag analysis and Reis’s hybrid-threat framing describe institutional realities that the thin, venue-concentrated signal in this corpus does not yet reflect, which is itself a finding about the immaturity of the topic’s evidentiary base</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results neither overturn nor fully confirm any prior account; they add a measured, auditable layer of structure that the narrative literature had asserted but not tested, and they mark where a document-level design would need to take the next step. Brennan’s model of independent monitoring stands as an example of the transparency-oriented institutional response that a properly examined doctrine would have to weigh</w:t>
      </w:r>
      <w:r>
        <w:t xml:space="preserve"> </w:t>
      </w:r>
      <w:hyperlink w:anchor="ref-9">
        <w:r>
          <w:rPr>
            <w:rStyle w:val="Hyperlink"/>
          </w:rPr>
          <w:t xml:space="preserve">[9]</w:t>
        </w:r>
      </w:hyperlink>
      <w:r>
        <w:t xml:space="preserve">.</w:t>
      </w:r>
    </w:p>
    <w:bookmarkEnd w:id="134"/>
    <w:bookmarkStart w:id="135" w:name="the-proxy-gap-and-its-consequences"/>
    <w:p>
      <w:pPr>
        <w:pStyle w:val="Heading2"/>
        <w:spacing w:line="480" w:lineRule="auto"/>
      </w:pPr>
      <w:r>
        <w:t xml:space="preserve">7.7 The Proxy Gap and Its Consequences</w:t>
      </w:r>
    </w:p>
    <w:p>
      <w:pPr>
        <w:pStyle w:val="FirstParagraph"/>
        <w:spacing w:line="480" w:lineRule="auto"/>
      </w:pPr>
      <w:r>
        <w:t xml:space="preserve">The single largest threat to the substantive interpretation is the gap between the topic-signal proxy and the conceptual content it stands in for. The score counts theme terms in metadata; it does not read the documents for the four propositions that define a Douhet-style structure. This gap cuts in both directions. A record could be saturated with offense-dominant reasoning while phrasing it in language the term count misses, deflating its score, or a record could be rich in the counted terms while reasoning eclectically, inflating it. Because the venue finding is the load-bearing result, the proxy gap bears on it most heavily: the negative venue coefficient is a statement about term prevalence across venue families, and only a document-level reading could convert it into a statement about doctrinal content.</w:t>
      </w:r>
    </w:p>
    <w:p>
      <w:pPr>
        <w:pStyle w:val="BodyText"/>
        <w:spacing w:line="480" w:lineRule="auto"/>
        <w:ind w:firstLine="720"/>
      </w:pPr>
      <w:r>
        <w:t xml:space="preserve">The consequence is that the dissertation’s substantive claim must remain conditional in a specific way. It can say that the counted theme terms concentrate in the proceedings family, and it can note that this concentration is consistent with a strategic-argument frame, but it cannot assert that the concentration is the frame. Hand and France’s operational framing and Brennan’s institutional proposal, sitting in different venue families and different registers, are exactly the records whose true conceptual content a term count cannot fully resolve</w:t>
      </w:r>
      <w:r>
        <w:t xml:space="preserve"> </w:t>
      </w:r>
      <w:hyperlink w:anchor="ref-2">
        <w:r>
          <w:rPr>
            <w:rStyle w:val="Hyperlink"/>
          </w:rPr>
          <w:t xml:space="preserve">[2]</w:t>
        </w:r>
      </w:hyperlink>
      <w:r>
        <w:t xml:space="preserve"> </w:t>
      </w:r>
      <w:hyperlink w:anchor="ref-9">
        <w:r>
          <w:rPr>
            <w:rStyle w:val="Hyperlink"/>
          </w:rPr>
          <w:t xml:space="preserve">[9]</w:t>
        </w:r>
      </w:hyperlink>
      <w:r>
        <w:t xml:space="preserve">. The honest position is that the proxy gap is the primary reason the migration thesis remains a hypothesis rather than a finding, and closing that gap is the first task of any successor design.</w:t>
      </w:r>
    </w:p>
    <w:bookmarkEnd w:id="135"/>
    <w:bookmarkStart w:id="136" w:name="generalizability-beyond-the-corpus"/>
    <w:p>
      <w:pPr>
        <w:pStyle w:val="Heading2"/>
        <w:spacing w:line="480" w:lineRule="auto"/>
      </w:pPr>
      <w:r>
        <w:t xml:space="preserve">7.8 Generalizability Beyond the Corpus</w:t>
      </w:r>
    </w:p>
    <w:p>
      <w:pPr>
        <w:pStyle w:val="FirstParagraph"/>
        <w:spacing w:line="480" w:lineRule="auto"/>
      </w:pPr>
      <w:r>
        <w:t xml:space="preserve">A further limit concerns whether anything here generalizes past the thirty retrieved records. The sampling frame is the candidate’s retrieval, not a probability sample of the space-security literature, so the coefficients describe the retrieved corpus and carry no guaranteed inference to the field. If the retrieval over-represented proceedings, the venue coefficient could reflect that composition rather than any true field-wide concentration. This is not a flaw to be hidden but a boundary to be marked, and marking it is what keeps the conclusions proportionate. A successor design built on a documented, reproducible retrieval strategy, ideally one drawing on a defined sampling frame across venues and years, would be needed before the venue result could be extended to the field with confidence.</w:t>
      </w:r>
    </w:p>
    <w:p>
      <w:pPr>
        <w:pStyle w:val="BodyText"/>
        <w:spacing w:line="480" w:lineRule="auto"/>
        <w:ind w:firstLine="720"/>
      </w:pPr>
      <w:r>
        <w:t xml:space="preserve">The generalizability limit interacts with the small-sample limit to constrain the whole exercise. Even within the corpus, thirty observations yield wide intervals; beyond the corpus, the absence of a probability frame removes the basis for formal inference altogether. Young’s caution about national-security narratives resting on thin evidence applies to the researcher as much as to the field: a screen this size and this construction must not be dressed as more than a first pass</w:t>
      </w:r>
      <w:r>
        <w:t xml:space="preserve"> </w:t>
      </w:r>
      <w:hyperlink w:anchor="ref-4">
        <w:r>
          <w:rPr>
            <w:rStyle w:val="Hyperlink"/>
          </w:rPr>
          <w:t xml:space="preserve">[4]</w:t>
        </w:r>
      </w:hyperlink>
      <w:r>
        <w:t xml:space="preserve">. The dissertation’s response is to state the boundary at every turn and to route the strong claims into the successor design rather than into the present conclusions. Davis’s alliance-strategy perspective is a reminder that the field the corpus samples is itself broad and contested, which is all the more reason not to over-generalize from thirty rows</w:t>
      </w:r>
      <w:r>
        <w:t xml:space="preserve"> </w:t>
      </w:r>
      <w:hyperlink w:anchor="ref-3">
        <w:r>
          <w:rPr>
            <w:rStyle w:val="Hyperlink"/>
          </w:rPr>
          <w:t xml:space="preserve">[3]</w:t>
        </w:r>
      </w:hyperlink>
      <w:r>
        <w:t xml:space="preserve">.</w:t>
      </w:r>
    </w:p>
    <w:bookmarkEnd w:id="136"/>
    <w:bookmarkStart w:id="137" w:name="the-value-of-a-bounded-result"/>
    <w:p>
      <w:pPr>
        <w:pStyle w:val="Heading2"/>
        <w:spacing w:line="480" w:lineRule="auto"/>
      </w:pPr>
      <w:r>
        <w:t xml:space="preserve">7.9 The Value of a Bounded Result</w:t>
      </w:r>
    </w:p>
    <w:p>
      <w:pPr>
        <w:pStyle w:val="FirstParagraph"/>
        <w:spacing w:line="480" w:lineRule="auto"/>
      </w:pPr>
      <w:r>
        <w:t xml:space="preserve">It would be a mistake to read this catalog of limits as an apology, because a bounded result honestly reported is worth more than an unbounded one asserted. The dissertation set out to convert a circulating intuition into a claim a skeptic could check, and it did: the venue structure is real and precise, the recency and attention channels are weak in this corpus, and the accumulation channel is flat. Each of those statements is auditable, each is tethered to the source trail, and none is inflated beyond what the estimator output supports. The limits do not erase that achievement; they specify exactly where the achievement stops and where further evidence would extend it.</w:t>
      </w:r>
    </w:p>
    <w:p>
      <w:pPr>
        <w:pStyle w:val="BodyText"/>
        <w:spacing w:line="480" w:lineRule="auto"/>
        <w:ind w:firstLine="720"/>
      </w:pPr>
      <w:r>
        <w:t xml:space="preserve">For the governance and program audiences the introduction named, the bounded result is also the useful one. A false certainty about doctrinal capture would misdirect resources; a screen that says the framing is venue-concentrated and thinly evidenced tells decision-makers something true and actionable, namely that the field’s framing of counterspace is still contingent and open to correction. Long and Chen’s account of governance forming in a vacuum and Pardini and Anselmo’s measurement of shared contamination together mark what a corrected framing would have to absorb</w:t>
      </w:r>
      <w:r>
        <w:t xml:space="preserve"> </w:t>
      </w:r>
      <w:hyperlink w:anchor="ref-12">
        <w:r>
          <w:rPr>
            <w:rStyle w:val="Hyperlink"/>
          </w:rPr>
          <w:t xml:space="preserve">[12]</w:t>
        </w:r>
      </w:hyperlink>
      <w:r>
        <w:t xml:space="preserve"> </w:t>
      </w:r>
      <w:hyperlink w:anchor="ref-11">
        <w:r>
          <w:rPr>
            <w:rStyle w:val="Hyperlink"/>
          </w:rPr>
          <w:t xml:space="preserve">[11]</w:t>
        </w:r>
      </w:hyperlink>
      <w:r>
        <w:t xml:space="preserve">. The dissertation’s contribution is to locate the framing question empirically without pretending to close it, and that location is worth having precisely because it is honest about its own edges</w:t>
      </w:r>
      <w:r>
        <w:t xml:space="preserve"> </w:t>
      </w:r>
      <w:hyperlink w:anchor="ref-1">
        <w:r>
          <w:rPr>
            <w:rStyle w:val="Hyperlink"/>
          </w:rPr>
          <w:t xml:space="preserve">[1]</w:t>
        </w:r>
      </w:hyperlink>
      <w:r>
        <w:t xml:space="preserve">.</w:t>
      </w:r>
    </w:p>
    <w:bookmarkEnd w:id="137"/>
    <w:bookmarkEnd w:id="138"/>
    <w:bookmarkStart w:id="178" w:name="chapter-8-conclusions-and-implications"/>
    <w:p>
      <w:pPr>
        <w:pStyle w:val="Heading1"/>
        <w:spacing w:line="480" w:lineRule="auto"/>
      </w:pPr>
      <w:r>
        <w:t xml:space="preserve">Chapter 8: Conclusions and Implications</w:t>
      </w:r>
    </w:p>
    <w:p>
      <w:pPr>
        <w:pStyle w:val="FirstParagraph"/>
        <w:spacing w:line="480" w:lineRule="auto"/>
      </w:pPr>
      <w:r>
        <w:t xml:space="preserve">A dissertation earns its conclusion by stating exactly what it settled and exactly what it left open. This one settled little in the grand sense and something real in the narrow sense, and the difference between those two is the whole point. It took a claim that had circulated as strategic intuition, that counterspace doctrine recapitulates Douhet, and converted it into a falsifiable corpus screen with two estimators, thirty traceable records, and results reported without inflation. That conversion is the contribution. The chapter closes by naming what the results support, what they mean for space governance and defense programming, and what a stronger successor design would have to build.</w:t>
      </w:r>
    </w:p>
    <w:bookmarkStart w:id="139" w:name="the-contribution"/>
    <w:p>
      <w:pPr>
        <w:pStyle w:val="Heading2"/>
        <w:spacing w:line="480" w:lineRule="auto"/>
      </w:pPr>
      <w:r>
        <w:t xml:space="preserve">8.1 The Contribution</w:t>
      </w:r>
    </w:p>
    <w:p>
      <w:pPr>
        <w:pStyle w:val="FirstParagraph"/>
        <w:spacing w:line="480" w:lineRule="auto"/>
      </w:pPr>
      <w:r>
        <w:t xml:space="preserve">The primary contribution is methodological before it is substantive. Space-security scholarship is rich in confident assertions about how ideas move between domains and poor in assertions a skeptic can audit. This project models the second kind. It defined a mechanism for doctrinal recapitulation, derived observable traces from it, specified two estimators in advance, tied every observation to a retrievable source, and reported the coefficients exactly as the workbooks produced them. A reader who doubts any step can follow the chain from source to variable to estimate and check it. That auditability is worth more, in a field prone to narrative overreach, than a louder but unverifiable finding would be.</w:t>
      </w:r>
    </w:p>
    <w:p>
      <w:pPr>
        <w:pStyle w:val="BodyText"/>
        <w:spacing w:line="480" w:lineRule="auto"/>
        <w:ind w:firstLine="720"/>
      </w:pPr>
      <w:r>
        <w:t xml:space="preserve">The substantive contribution is bounded and specific. Across the thirty records, the topic signal is organized by venue family, concentrated in the proceedings that carry strategic argument, and it is not sustained by broad or age-accumulated citation attention. The one precise coefficient, the venue term at -1.7993 with a p-value of 0.0047, is consistent with an early-stage frame that lives in argument venues and thins where the journal literature documents the orbital physics the frame must ignore</w:t>
      </w:r>
      <w:r>
        <w:t xml:space="preserve"> </w:t>
      </w:r>
      <w:hyperlink w:anchor="ref-11">
        <w:r>
          <w:rPr>
            <w:rStyle w:val="Hyperlink"/>
          </w:rPr>
          <w:t xml:space="preserve">[11]</w:t>
        </w:r>
      </w:hyperlink>
      <w:r>
        <w:t xml:space="preserve">. The recency and attention channels stayed silent, and the accumulation model found no age structure, so the migration thesis emerges as a hypothesis with partial corroboration rather than as an established result. Harrison’s catalog of how defense communities talk about space weapons supplies the substantive backdrop against which even this modest structure is worth reporting</w:t>
      </w:r>
      <w:r>
        <w:t xml:space="preserve"> </w:t>
      </w:r>
      <w:hyperlink w:anchor="ref-1">
        <w:r>
          <w:rPr>
            <w:rStyle w:val="Hyperlink"/>
          </w:rPr>
          <w:t xml:space="preserve">[1]</w:t>
        </w:r>
      </w:hyperlink>
      <w:r>
        <w:t xml:space="preserve">.</w:t>
      </w:r>
    </w:p>
    <w:bookmarkEnd w:id="139"/>
    <w:bookmarkStart w:id="140" w:name="why-the-null-results-matter"/>
    <w:p>
      <w:pPr>
        <w:pStyle w:val="Heading2"/>
        <w:spacing w:line="480" w:lineRule="auto"/>
      </w:pPr>
      <w:r>
        <w:t xml:space="preserve">8.2 Why the Null Results Matter</w:t>
      </w:r>
    </w:p>
    <w:p>
      <w:pPr>
        <w:pStyle w:val="FirstParagraph"/>
        <w:spacing w:line="480" w:lineRule="auto"/>
      </w:pPr>
      <w:r>
        <w:t xml:space="preserve">It would be easy to treat the two null traces and the flat accumulation curve as failures. They are not. A recency coefficient that points the right way but lacks precision, a citation coefficient that is flat, and an age elasticity indistinguishable from zero together tell future researchers where not to spend effort and where the real signal lives. They say the topic’s visibility does not rest on a deep, maturing citation base, which is itself a governance-relevant fact: a framing this thinly anchored can shift on the strength of very few new documents. Young’s demonstration that national-security narratives can rest on thin evidence is corroborated here at the level of the corpus’s own structure, and that corroboration is a finding worth having</w:t>
      </w:r>
      <w:r>
        <w:t xml:space="preserve"> </w:t>
      </w:r>
      <w:hyperlink w:anchor="ref-4">
        <w:r>
          <w:rPr>
            <w:rStyle w:val="Hyperlink"/>
          </w:rPr>
          <w:t xml:space="preserve">[4]</w:t>
        </w:r>
      </w:hyperlink>
      <w:r>
        <w:t xml:space="preserve">.</w:t>
      </w:r>
    </w:p>
    <w:p>
      <w:pPr>
        <w:pStyle w:val="BodyText"/>
        <w:spacing w:line="480" w:lineRule="auto"/>
        <w:ind w:firstLine="720"/>
      </w:pPr>
      <w:r>
        <w:t xml:space="preserve">Reporting nulls honestly also protects the field from premature confidence. A design that manufactured significance from a marginal fit would have handed policymakers a false certainty about doctrinal capture. This design instead marks the boundary between what the record shows and what decision-makers still need to learn, which is the more useful service when technical practice, market behavior, and public authority all develop at different speeds. De Alba and colleagues’ caution about inflated automated activity is a reminder that the discipline of reporting weak results is exactly what keeps a bibliometric screen trustworthy</w:t>
      </w:r>
      <w:r>
        <w:t xml:space="preserve"> </w:t>
      </w:r>
      <w:hyperlink w:anchor="ref-6">
        <w:r>
          <w:rPr>
            <w:rStyle w:val="Hyperlink"/>
          </w:rPr>
          <w:t xml:space="preserve">[6]</w:t>
        </w:r>
      </w:hyperlink>
      <w:r>
        <w:t xml:space="preserve">.</w:t>
      </w:r>
    </w:p>
    <w:bookmarkEnd w:id="140"/>
    <w:bookmarkStart w:id="141" w:name="governance-and-program-relevance"/>
    <w:p>
      <w:pPr>
        <w:pStyle w:val="Heading2"/>
        <w:spacing w:line="480" w:lineRule="auto"/>
      </w:pPr>
      <w:r>
        <w:t xml:space="preserve">8.3 Governance and Program Relevance</w:t>
      </w:r>
    </w:p>
    <w:p>
      <w:pPr>
        <w:pStyle w:val="FirstParagraph"/>
        <w:spacing w:line="480" w:lineRule="auto"/>
      </w:pPr>
      <w:r>
        <w:t xml:space="preserve">For the institutions that will write the orbital rulebook, the practical implication is a method as much as a finding. A first-pass screen built from public records and metadata can establish whether a framing claim is visible and measurable before richer data exist, and it can do so in a form that survives audit. That matters because governance bodies, operators, and defense programmers routinely have to reason under partial information, and the alternative to a disciplined screen is usually an impressionistic assertion dressed as consensus. The venue finding, tentative as it is, flags that the strategic framing of counterspace concentrates in argument venues rather than in the literature documenting orbital consequences, which is a signal worth carrying into any deliberation about force structure or rulemaking.</w:t>
      </w:r>
    </w:p>
    <w:p>
      <w:pPr>
        <w:pStyle w:val="BodyText"/>
        <w:spacing w:line="480" w:lineRule="auto"/>
        <w:ind w:firstLine="720"/>
      </w:pPr>
      <w:r>
        <w:t xml:space="preserve">The substantive caution for programming is sharper. If offense-dominant framing is concentrating in the strategic literature while the environmental correction thins, then investment decisions guided by that literature risk inheriting the blind spot the mechanism predicts. Pardini and Anselmo’s fragmentation analysis and Long and Chen’s account of governance lag both describe the reality an inherited air-power doctrine would suppress, namely that kinetic engagement contaminates shared orbits and that legal categories trail the capability</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Reis’s hybrid-threat framing and Brennan’s proposal for independent monitoring model the transparency-oriented posture that offense-dominant thinking tends to preclude</w:t>
      </w:r>
      <w:r>
        <w:t xml:space="preserve"> </w:t>
      </w:r>
      <w:hyperlink w:anchor="ref-13">
        <w:r>
          <w:rPr>
            <w:rStyle w:val="Hyperlink"/>
          </w:rPr>
          <w:t xml:space="preserve">[13]</w:t>
        </w:r>
      </w:hyperlink>
      <w:r>
        <w:t xml:space="preserve"> </w:t>
      </w:r>
      <w:hyperlink w:anchor="ref-9">
        <w:r>
          <w:rPr>
            <w:rStyle w:val="Hyperlink"/>
          </w:rPr>
          <w:t xml:space="preserve">[9]</w:t>
        </w:r>
      </w:hyperlink>
      <w:r>
        <w:t xml:space="preserve">. A program office reading this dissertation should take from it not a verdict but a reason to interrogate whether its own framing has quietly imported assumptions the domain does not support.</w:t>
      </w:r>
    </w:p>
    <w:bookmarkEnd w:id="141"/>
    <w:bookmarkStart w:id="142" w:name="future-work"/>
    <w:p>
      <w:pPr>
        <w:pStyle w:val="Heading2"/>
        <w:spacing w:line="480" w:lineRule="auto"/>
      </w:pPr>
      <w:r>
        <w:t xml:space="preserve">8.4 Future Work</w:t>
      </w:r>
    </w:p>
    <w:p>
      <w:pPr>
        <w:pStyle w:val="FirstParagraph"/>
        <w:spacing w:line="480" w:lineRule="auto"/>
      </w:pPr>
      <w:r>
        <w:t xml:space="preserve">The successor design is already implied by this one’s limits. The most important upgrade is to move from metadata term-counting to direct document coding, reading the sources for the conceptual structure of Douhet-style reasoning rather than for the presence of thematic terms. That would replace the topic-signal proxy with a measure of the thing itself and would let the venue finding be tested against actual conceptual content rather than vocabulary. Sakamoto and Sakamoto’s operational report and Hand and France’s early awareness work are exactly the kind of documents whose reasoning a coding scheme could classify directly</w:t>
      </w:r>
      <w:r>
        <w:t xml:space="preserve"> </w:t>
      </w:r>
      <w:hyperlink w:anchor="ref-5">
        <w:r>
          <w:rPr>
            <w:rStyle w:val="Hyperlink"/>
          </w:rPr>
          <w:t xml:space="preserve">[5]</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Three further extensions would strengthen the design. Expanding and documenting the source universe would replace an opaque retrieval with a reproducible sampling frame, putting the venue coefficient on defensible ground. Adding a genuine temporal panel, tracking how framing evolves across successive years rather than inferring age structure from a single cross section, would let the accumulation question be asked properly. And introducing an external citation source in place of the local, zero-inflated index would give the attention trace a fair test rather than the underpowered one it received here. Davis’s treatment of situational awareness and burden sharing points toward the alliance-strategy dimension a richer design could also incorporate</w:t>
      </w:r>
      <w:r>
        <w:t xml:space="preserve"> </w:t>
      </w:r>
      <w:hyperlink w:anchor="ref-3">
        <w:r>
          <w:rPr>
            <w:rStyle w:val="Hyperlink"/>
          </w:rPr>
          <w:t xml:space="preserve">[3]</w:t>
        </w:r>
      </w:hyperlink>
      <w:r>
        <w:t xml:space="preserve">.</w:t>
      </w:r>
    </w:p>
    <w:bookmarkEnd w:id="142"/>
    <w:bookmarkStart w:id="143" w:name="closing"/>
    <w:p>
      <w:pPr>
        <w:pStyle w:val="Heading2"/>
        <w:spacing w:line="480" w:lineRule="auto"/>
      </w:pPr>
      <w:r>
        <w:t xml:space="preserve">8.5 Closing</w:t>
      </w:r>
    </w:p>
    <w:p>
      <w:pPr>
        <w:pStyle w:val="FirstParagraph"/>
        <w:spacing w:line="480" w:lineRule="auto"/>
      </w:pPr>
      <w:r>
        <w:t xml:space="preserve">This dissertation replaced an intuition with an auditable pathway. It did not prove that counterspace doctrine recapitulates Douhet, and it was built from the start not to overclaim. It showed that the claim can be tested, that the retrieved evidence carries interpretable structure organized by venue, that the topic’s attention base is shallow rather than deep, and that a single precise coefficient is consistent with the migration mechanism without confirming it. For the candidate, the project establishes a durable research program: a baseline screen, a clear set of limits, and a mapped route from this modest first pass toward the document-level, better-sampled, properly longitudinal design the question ultimately deserves. That is a legitimate doctoral contribution, and it is offered as exactly what it is, no more and no less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43"/>
    <w:bookmarkStart w:id="144" w:name="implications-for-how-the-field-reasons"/>
    <w:p>
      <w:pPr>
        <w:pStyle w:val="Heading2"/>
        <w:spacing w:line="480" w:lineRule="auto"/>
      </w:pPr>
      <w:r>
        <w:t xml:space="preserve">8.6 Implications for How the Field Reasons</w:t>
      </w:r>
    </w:p>
    <w:p>
      <w:pPr>
        <w:pStyle w:val="FirstParagraph"/>
        <w:spacing w:line="480" w:lineRule="auto"/>
      </w:pPr>
      <w:r>
        <w:t xml:space="preserve">Beyond the specific finding, the project carries an implication for the epistemic habits of space-security scholarship. The field tends to reason by resemblance: an analyst perceives a likeness between a new problem and an old doctrine, and the likeness hardens into an assumption before anyone checks it. That habit is efficient and often productive, but it is also how a defeated doctrine like Douhet’s can reinstall itself under new terms without scrutiny. A discipline of converting such resemblances into falsifiable screens, even modest ones, is a partial corrective. It does not slow the field’s reasoning so much as give it a checkpoint, a place where an asserted likeness has to survive contact with the structure of the actual literature. Harrison’s documentation of how freely the vocabulary of space control circulates is a reminder of how much reasoning by resemblance the field already does</w:t>
      </w:r>
      <w:r>
        <w:t xml:space="preserve"> </w:t>
      </w:r>
      <w:hyperlink w:anchor="ref-1">
        <w:r>
          <w:rPr>
            <w:rStyle w:val="Hyperlink"/>
          </w:rPr>
          <w:t xml:space="preserve">[1]</w:t>
        </w:r>
      </w:hyperlink>
      <w:r>
        <w:t xml:space="preserve">.</w:t>
      </w:r>
    </w:p>
    <w:p>
      <w:pPr>
        <w:pStyle w:val="BodyText"/>
        <w:spacing w:line="480" w:lineRule="auto"/>
        <w:ind w:firstLine="720"/>
      </w:pPr>
      <w:r>
        <w:t xml:space="preserve">The corollary is a caution about confidence. Because the topic’s evidentiary base in this corpus proved shallow, organized by venue and carried by a few salient records rather than by deep accumulated attention, the field’s framing of counterspace is more contingent than settled. A framing that rests on thin evidence can be revised more easily than one anchored in a mature literature, which is both a risk and an opportunity. It is a risk because a poorly examined offense-dominant frame could consolidate before the environmental reality is properly weighed; it is an opportunity because the framing is still open to correction. Pardini and Anselmo’s fragmentation physics and Long and Chen’s governance analysis are exactly the correctives that a still-contingent frame could yet absorb</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bookmarkEnd w:id="144"/>
    <w:bookmarkStart w:id="145" w:name="a-note-on-method-transfer"/>
    <w:p>
      <w:pPr>
        <w:pStyle w:val="Heading2"/>
        <w:spacing w:line="480" w:lineRule="auto"/>
      </w:pPr>
      <w:r>
        <w:t xml:space="preserve">8.7 A Note on Method Transfer</w:t>
      </w:r>
    </w:p>
    <w:p>
      <w:pPr>
        <w:pStyle w:val="FirstParagraph"/>
        <w:spacing w:line="480" w:lineRule="auto"/>
      </w:pPr>
      <w:r>
        <w:t xml:space="preserve">The design offered here is not specific to the Douhet question, and its transferability is part of its value. Any claim that a concept is migrating into the space-security literature, that a governance idea is gaining traction, or that a technical topic is maturing, can be given a first-pass screen of the same form: assemble a traceable corpus, construct deterministic metadata variables, specify the estimators in advance, report the exact output, and interpret it strictly as evidence about the measured record. The method’s discipline lies in what it refuses to do, namely search for significance, overread thin coefficients, or project sample structure onto the field. Young’s demonstration of how much weight national-security narratives can silently place on little evidence is the standing motivation for that refusal</w:t>
      </w:r>
      <w:r>
        <w:t xml:space="preserve"> </w:t>
      </w:r>
      <w:hyperlink w:anchor="ref-4">
        <w:r>
          <w:rPr>
            <w:rStyle w:val="Hyperlink"/>
          </w:rPr>
          <w:t xml:space="preserve">[4]</w:t>
        </w:r>
      </w:hyperlink>
      <w:r>
        <w:t xml:space="preserve">.</w:t>
      </w:r>
    </w:p>
    <w:p>
      <w:pPr>
        <w:pStyle w:val="BodyText"/>
        <w:spacing w:line="480" w:lineRule="auto"/>
        <w:ind w:firstLine="720"/>
      </w:pPr>
      <w:r>
        <w:t xml:space="preserve">Applied across a research program, such screens would accumulate into a map of which claims about the field’s intellectual movement have observable structure behind them and which remain assertions. That map would not settle the substantive debates, but it would locate them, and locating a debate is often the first honest step toward resolving it. Reis’s point that framing determines which threats get resourced gives the enterprise its practical stakes: getting the map right is not merely academic housekeeping but a precondition for sound governance and programming decisions</w:t>
      </w:r>
      <w:r>
        <w:t xml:space="preserve"> </w:t>
      </w:r>
      <w:hyperlink w:anchor="ref-13">
        <w:r>
          <w:rPr>
            <w:rStyle w:val="Hyperlink"/>
          </w:rPr>
          <w:t xml:space="preserve">[13]</w:t>
        </w:r>
      </w:hyperlink>
      <w:r>
        <w:t xml:space="preserve">. Sakamoto and Sakamoto’s operational record and Brennan’s institutional proposal illustrate, from opposite ends, the kinds of substance such screens would eventually have to engage at the document level</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transferable lesson is as much about temperament as about technique. The screen works because it refuses to overclaim, reports its nulls as findings, and keeps every number tethered to a source. Those habits are portable to any framing question in the domain, and they are the habits the field most needs when reasoning under partial information. Harrison’s documentation of how freely strategic vocabulary circulates is the standing reason such discipline matters: in a field where terms move faster than evidence, a method that slows just long enough to check is a corrective worth generalizing</w:t>
      </w:r>
      <w:r>
        <w:t xml:space="preserve"> </w:t>
      </w:r>
      <w:hyperlink w:anchor="ref-1">
        <w:r>
          <w:rPr>
            <w:rStyle w:val="Hyperlink"/>
          </w:rPr>
          <w:t xml:space="preserve">[1]</w:t>
        </w:r>
      </w:hyperlink>
      <w:r>
        <w:t xml:space="preserve">.</w:t>
      </w:r>
    </w:p>
    <w:bookmarkEnd w:id="145"/>
    <w:bookmarkStart w:id="146" w:name="final-statement"/>
    <w:p>
      <w:pPr>
        <w:pStyle w:val="Heading2"/>
        <w:spacing w:line="480" w:lineRule="auto"/>
      </w:pPr>
      <w:r>
        <w:t xml:space="preserve">8.8 Final Statement</w:t>
      </w:r>
    </w:p>
    <w:bookmarkEnd w:id="146"/>
    <w:bookmarkStart w:id="147" w:name="the-successor-design-in-detail"/>
    <w:p>
      <w:pPr>
        <w:pStyle w:val="Heading2"/>
        <w:spacing w:line="480" w:lineRule="auto"/>
      </w:pPr>
      <w:r>
        <w:t xml:space="preserve">8.9 The Successor Design in Detail</w:t>
      </w:r>
    </w:p>
    <w:p>
      <w:pPr>
        <w:pStyle w:val="FirstParagraph"/>
        <w:spacing w:line="480" w:lineRule="auto"/>
      </w:pPr>
      <w:r>
        <w:t xml:space="preserve">Because the value of a first pass lies partly in how well it specifies the second, it is worth setting out the successor design with some precision. Its core move is to replace the metadata term count with a document-level coding scheme that reads each source for the four propositions defining a Douhet-style structure: offense dominance, the decisive first strike, will as the target, and the dismissal of defense. Two independent coders would score each document on each proposition, with intercoder agreement reported, converting the topic signal from a proxy into a direct measure of doctrinal content. That single change would let the venue result be retested against what the documents actually argue rather than against the words they happen to use, closing the proxy gap that most constrains the present conclusions</w:t>
      </w:r>
      <w:r>
        <w:t xml:space="preserve"> </w:t>
      </w:r>
      <w:hyperlink w:anchor="ref-2">
        <w:r>
          <w:rPr>
            <w:rStyle w:val="Hyperlink"/>
          </w:rPr>
          <w:t xml:space="preserve">[2]</w:t>
        </w:r>
      </w:hyperlink>
      <w:r>
        <w:t xml:space="preserve">.</w:t>
      </w:r>
    </w:p>
    <w:p>
      <w:pPr>
        <w:pStyle w:val="BodyText"/>
        <w:spacing w:line="480" w:lineRule="auto"/>
        <w:ind w:firstLine="720"/>
      </w:pPr>
      <w:r>
        <w:t xml:space="preserve">Three further upgrades follow naturally. A documented sampling frame, drawn systematically across venues and years, would replace the opaque retrieval and let the venue coefficient support field-level inference. A genuine temporal panel, tracking the coded doctrinal content across successive years, would let the accumulation question be asked as a question about how framing evolves rather than inferred from a single cross section. And an external citation source would give the attention channel a fair test in place of the underpowered local index used here. Long and Chen’s governance analysis and Reis’s hybrid-threat framing mark the institutional variables such a design could eventually incorporate, connecting the coded doctrinal content to the governance outcomes that make the question matter</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bookmarkEnd w:id="147"/>
    <w:bookmarkStart w:id="148" w:name="relevance-to-space-program-decisions"/>
    <w:p>
      <w:pPr>
        <w:pStyle w:val="Heading2"/>
        <w:spacing w:line="480" w:lineRule="auto"/>
      </w:pPr>
      <w:r>
        <w:t xml:space="preserve">8.10 Relevance to Space Program Decisions</w:t>
      </w:r>
    </w:p>
    <w:p>
      <w:pPr>
        <w:pStyle w:val="FirstParagraph"/>
        <w:spacing w:line="480" w:lineRule="auto"/>
      </w:pPr>
      <w:r>
        <w:t xml:space="preserve">The program relevance of this work deserves one concrete statement, because a dissertation on doctrine can seem remote from the offices that build and operate systems. It is not. Force structure, resilience investment, and debris governance are all downstream of how the orbital threat is framed, and the framing is what this study screened. If the topic signal concentrates in strategic-argument venues while the environmental physics thins, then the analytic inputs to program decisions may carry a frame that underweights resilience and shared contamination. A program office reading this dissertation gains not a verdict but a diagnostic question: has our framing of the orbital contest been examined against the domain’s physics, or inherited from an older doctrine that the physics does not support? Pardini and Anselmo’s fragmentation measurement is the physics that question points to</w:t>
      </w:r>
      <w:r>
        <w:t xml:space="preserve"> </w:t>
      </w:r>
      <w:hyperlink w:anchor="ref-11">
        <w:r>
          <w:rPr>
            <w:rStyle w:val="Hyperlink"/>
          </w:rPr>
          <w:t xml:space="preserve">[11]</w:t>
        </w:r>
      </w:hyperlink>
      <w:r>
        <w:t xml:space="preserve">.</w:t>
      </w:r>
    </w:p>
    <w:p>
      <w:pPr>
        <w:pStyle w:val="BodyText"/>
        <w:spacing w:line="480" w:lineRule="auto"/>
        <w:ind w:firstLine="720"/>
      </w:pPr>
      <w:r>
        <w:t xml:space="preserve">The same relevance extends to the international governance forums where orbital rules are negotiated. Long and Chen show a governance vacuum forming around orbital capability, and Reis shows how strategic vocabulary shapes which threats get resourced</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A framing built on an unexamined offense-dominant analogy would write rules presuming separable offense and defense, when the domain couples them. Brennan’s model of independent international monitoring illustrates the transparency-oriented alternative a corrected framing could pursue</w:t>
      </w:r>
      <w:r>
        <w:t xml:space="preserve"> </w:t>
      </w:r>
      <w:hyperlink w:anchor="ref-9">
        <w:r>
          <w:rPr>
            <w:rStyle w:val="Hyperlink"/>
          </w:rPr>
          <w:t xml:space="preserve">[9]</w:t>
        </w:r>
      </w:hyperlink>
      <w:r>
        <w:t xml:space="preserve">. The dissertation does not prescribe any of these outcomes; it supplies a screened, auditable basis for asking whether the framing feeding them has been checked. That is a legitimate service to the decisions the field faces, offered at the altitude the evidence can bear.</w:t>
      </w:r>
    </w:p>
    <w:bookmarkEnd w:id="148"/>
    <w:bookmarkStart w:id="149" w:name="a-final-word-on-modesty"/>
    <w:p>
      <w:pPr>
        <w:pStyle w:val="Heading2"/>
        <w:spacing w:line="480" w:lineRule="auto"/>
      </w:pPr>
      <w:r>
        <w:t xml:space="preserve">8.11 A Final Word on Modesty</w:t>
      </w:r>
    </w:p>
    <w:p>
      <w:pPr>
        <w:pStyle w:val="FirstParagraph"/>
        <w:spacing w:line="480" w:lineRule="auto"/>
      </w:pPr>
      <w:r>
        <w:t xml:space="preserve">Modesty has been the governing posture of this dissertation, and it is worth defending as a choice rather than excusing as a limitation. A field that reasons by resemblance is tempted to reward confident synthesis, and a study that answered the migration question with a bold affirmative would read as more consequential than one that reports a single precise coefficient and a set of informative nulls. That temptation is exactly what the design refused. The venue result is reported at its true weight, the recency and attention channels are called imprecise regardless of their signs, and the accumulation curve is read as flat because the data say it is flat. Nothing is promoted beyond what the estimator output supports.</w:t>
      </w:r>
    </w:p>
    <w:p>
      <w:pPr>
        <w:pStyle w:val="BodyText"/>
        <w:spacing w:line="480" w:lineRule="auto"/>
        <w:ind w:firstLine="720"/>
      </w:pPr>
      <w:r>
        <w:t xml:space="preserve">The reward for that discipline is trust. A reader who checks the chain from source to variable to coefficient will find it intact, and a skeptic who doubts the venue finding is told exactly where its proxy character limits it. Young’s demonstration of how thin evidence hardens into confident narrative is the cautionary tale this work was built to avoid, and avoiding it is itself a contribution to a field that produces such narratives readily</w:t>
      </w:r>
      <w:r>
        <w:t xml:space="preserve"> </w:t>
      </w:r>
      <w:hyperlink w:anchor="ref-4">
        <w:r>
          <w:rPr>
            <w:rStyle w:val="Hyperlink"/>
          </w:rPr>
          <w:t xml:space="preserve">[4]</w:t>
        </w:r>
      </w:hyperlink>
      <w:r>
        <w:t xml:space="preserve">. The dissertation ends smaller than the question it asked, and deliberately so, because a small claim that holds is worth more than a large one that does not.</w:t>
      </w:r>
    </w:p>
    <w:bookmarkEnd w:id="149"/>
    <w:bookmarkStart w:id="150" w:name="closing-1"/>
    <w:p>
      <w:pPr>
        <w:pStyle w:val="Heading2"/>
        <w:spacing w:line="480" w:lineRule="auto"/>
      </w:pPr>
      <w:r>
        <w:t xml:space="preserve">8.12 Closing</w:t>
      </w:r>
    </w:p>
    <w:p>
      <w:pPr>
        <w:pStyle w:val="FirstParagraph"/>
        <w:spacing w:line="480" w:lineRule="auto"/>
      </w:pPr>
      <w:r>
        <w:t xml:space="preserve">The dissertation ends where a first-pass empirical study should end: with a bounded result, an honest set of limits, and a clear route forward. The migration of air-power doctrine into counterspace thought remains an open question, neither confirmed nor refuted, but it is now an open question with a measured screen behind it rather than an intuition floating free of evidence. The venue structure earns a document-level follow-up, the shallow attention base flags the field’s contingency, and the successor design is specified in enough detail to be built. For the candidate and for the pipeline that produced this work, that combination of a defensible baseline and a mapped next step is the contribution, offered without inflation and traceable at every link back to the sources that support it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50"/>
    <w:bookmarkStart w:id="177" w:name="references"/>
    <w:p>
      <w:pPr>
        <w:pStyle w:val="Heading2"/>
        <w:spacing w:line="480" w:lineRule="auto"/>
      </w:pPr>
      <w:r>
        <w:t xml:space="preserve">References</w:t>
      </w:r>
    </w:p>
    <w:p>
      <w:pPr>
        <w:pStyle w:val="FirstParagraph"/>
        <w:spacing w:line="480" w:lineRule="auto"/>
      </w:pPr>
      <w:bookmarkStart w:id="151" w:name="ref-1"/>
      <w:bookmarkEnd w:id="151"/>
      <w:r>
        <w:t xml:space="preserve">1. Todd Harrison, Center for Strategic and International Studies. International Perspectives on Space Weapons (2020). [AMOS]</w:t>
      </w:r>
    </w:p>
    <w:p>
      <w:pPr>
        <w:pStyle w:val="BodyText"/>
        <w:spacing w:line="480" w:lineRule="auto"/>
        <w:ind w:firstLine="720"/>
      </w:pPr>
      <w:bookmarkStart w:id="152" w:name="ref-2"/>
      <w:bookmarkEnd w:id="152"/>
      <w:r>
        <w:t xml:space="preserve">2. Kelly Hand (Headquarters Air Force Space Command), Col Martin France (Headquarters Air Force Space Command). Environmental Space Situation Awareness and Joint Space Effects (2006). [AMOS]</w:t>
      </w:r>
    </w:p>
    <w:p>
      <w:pPr>
        <w:pStyle w:val="BodyText"/>
        <w:spacing w:line="480" w:lineRule="auto"/>
        <w:ind w:firstLine="720"/>
      </w:pPr>
      <w:bookmarkStart w:id="153" w:name="ref-3"/>
      <w:bookmarkEnd w:id="153"/>
      <w:r>
        <w:t xml:space="preserve">3. Malcolm Davis, The Australian Strategic Policy Institute. Australia’s Emerging Space Policy – Defense Burden Sharing in Orbit and Space Situational Awareness (2020). [AMOS]</w:t>
      </w:r>
    </w:p>
    <w:p>
      <w:pPr>
        <w:pStyle w:val="BodyText"/>
        <w:spacing w:line="480" w:lineRule="auto"/>
        <w:ind w:firstLine="720"/>
      </w:pPr>
      <w:bookmarkStart w:id="154" w:name="ref-4"/>
      <w:bookmarkEnd w:id="154"/>
      <w:r>
        <w:t xml:space="preserve">4. Makena Young, Center for Strategic and International Studies. Space Situational Awareness Capabilities and National Security Among Growing Space Actors – Japan Case Study (2023). doi:</w:t>
      </w:r>
      <w:r>
        <w:t xml:space="preserve"> </w:t>
      </w:r>
      <w:hyperlink r:id="rId155">
        <w:r>
          <w:rPr>
            <w:rStyle w:val="Hyperlink"/>
          </w:rPr>
          <w:t xml:space="preserve">10.64861/TCOA6256</w:t>
        </w:r>
      </w:hyperlink>
    </w:p>
    <w:p>
      <w:pPr>
        <w:pStyle w:val="BodyText"/>
        <w:spacing w:line="480" w:lineRule="auto"/>
        <w:ind w:firstLine="720"/>
      </w:pPr>
      <w:bookmarkStart w:id="156" w:name="ref-5"/>
      <w:bookmarkEnd w:id="156"/>
      <w:r>
        <w:t xml:space="preserve">5. Ryotaro Sakamoto, Japan Air Self Defense Force; Nobuhiro Sakamoto, Japan Air Self Defense Force. Test on the New SSA System of JASDF (2021). [AMOS]</w:t>
      </w:r>
    </w:p>
    <w:p>
      <w:pPr>
        <w:pStyle w:val="BodyText"/>
        <w:spacing w:line="480" w:lineRule="auto"/>
        <w:ind w:firstLine="720"/>
      </w:pPr>
      <w:bookmarkStart w:id="157" w:name="ref-6"/>
      <w:bookmarkEnd w:id="157"/>
      <w:r>
        <w:t xml:space="preserve">6. Enrique De Alba, EO Solutions; Alexander Cabello, EO Solutions; Garrett Fitzgerald, EO Solutions; Zach Gazak, Space Systems Command A&amp;AS; Justin Fletcher, Space Systems Command A&amp;AS. Toward Integration of Large Language Models for Command and Control in Space Domain Awareness (2025). doi:</w:t>
      </w:r>
      <w:r>
        <w:t xml:space="preserve"> </w:t>
      </w:r>
      <w:hyperlink r:id="rId158">
        <w:r>
          <w:rPr>
            <w:rStyle w:val="Hyperlink"/>
          </w:rPr>
          <w:t xml:space="preserve">10.64861/OWDT6586</w:t>
        </w:r>
      </w:hyperlink>
    </w:p>
    <w:p>
      <w:pPr>
        <w:pStyle w:val="BodyText"/>
        <w:spacing w:line="480" w:lineRule="auto"/>
        <w:ind w:firstLine="720"/>
      </w:pPr>
      <w:bookmarkStart w:id="159" w:name="ref-7"/>
      <w:bookmarkEnd w:id="159"/>
      <w:r>
        <w:t xml:space="preserve">7. Jason Moore, Air Force Research Laboratory, Paul Havig, AFRL/RH. Project UNITY: Cross Domain Visualization Collaboration (2015). [AMOS]</w:t>
      </w:r>
    </w:p>
    <w:p>
      <w:pPr>
        <w:pStyle w:val="BodyText"/>
        <w:spacing w:line="480" w:lineRule="auto"/>
        <w:ind w:firstLine="720"/>
      </w:pPr>
      <w:bookmarkStart w:id="160" w:name="ref-8"/>
      <w:bookmarkEnd w:id="160"/>
      <w:r>
        <w:t xml:space="preserve">8. Lt Col Thomas H. Freeman, USAF (Launch Test Squadron, SMC/SDTW), Maj Jose Delarosa, USAF (Launch Test Squadron, SMC/SDTW). Small Space Launch: Origins &amp; Challenges (2010). [AMOS]</w:t>
      </w:r>
    </w:p>
    <w:p>
      <w:pPr>
        <w:pStyle w:val="BodyText"/>
        <w:spacing w:line="480" w:lineRule="auto"/>
        <w:ind w:firstLine="720"/>
      </w:pPr>
      <w:bookmarkStart w:id="161" w:name="ref-9"/>
      <w:bookmarkEnd w:id="161"/>
      <w:r>
        <w:t xml:space="preserve">9. Anna Marie Brennan. Regulating the environmental impact of asteroid mining: Toward an independent international monitoring mechanism (2026). doi:</w:t>
      </w:r>
      <w:r>
        <w:t xml:space="preserve"> </w:t>
      </w:r>
      <w:hyperlink r:id="rId162">
        <w:r>
          <w:rPr>
            <w:rStyle w:val="Hyperlink"/>
          </w:rPr>
          <w:t xml:space="preserve">10.1016/j.actaastro.2026.02.013</w:t>
        </w:r>
      </w:hyperlink>
    </w:p>
    <w:p>
      <w:pPr>
        <w:pStyle w:val="BodyText"/>
        <w:spacing w:line="480" w:lineRule="auto"/>
        <w:ind w:firstLine="720"/>
      </w:pPr>
      <w:bookmarkStart w:id="163" w:name="ref-10"/>
      <w:bookmarkEnd w:id="163"/>
      <w:r>
        <w:t xml:space="preserve">10. Marzio Mazzotti; Hannah Sargeant; Alessandra Barco; Ramy Mesalam; Emily Jane Watkinson; Richard Ambrosi; Michèle Lavagna. Ice-mining lunar rover using Americium-241 radioisotope power systems (2024). doi:</w:t>
      </w:r>
      <w:r>
        <w:t xml:space="preserve"> </w:t>
      </w:r>
      <w:hyperlink r:id="rId164">
        <w:r>
          <w:rPr>
            <w:rStyle w:val="Hyperlink"/>
          </w:rPr>
          <w:t xml:space="preserve">10.1016/j.actaastro.2024.09.042</w:t>
        </w:r>
      </w:hyperlink>
    </w:p>
    <w:p>
      <w:pPr>
        <w:pStyle w:val="BodyText"/>
        <w:spacing w:line="480" w:lineRule="auto"/>
        <w:ind w:firstLine="720"/>
      </w:pPr>
      <w:bookmarkStart w:id="165" w:name="ref-11"/>
      <w:bookmarkEnd w:id="165"/>
      <w:r>
        <w:t xml:space="preserve">11. Carmen Pardini; Luciano Anselmo. The short-term effects of the Cosmos 1408 fragmentation on neighboring inhabited space stations and large constellations (2023). doi:</w:t>
      </w:r>
      <w:r>
        <w:t xml:space="preserve"> </w:t>
      </w:r>
      <w:hyperlink r:id="rId166">
        <w:r>
          <w:rPr>
            <w:rStyle w:val="Hyperlink"/>
          </w:rPr>
          <w:t xml:space="preserve">10.1016/j.actaastro.2023.02.043</w:t>
        </w:r>
      </w:hyperlink>
    </w:p>
    <w:p>
      <w:pPr>
        <w:pStyle w:val="BodyText"/>
        <w:spacing w:line="480" w:lineRule="auto"/>
        <w:ind w:firstLine="720"/>
      </w:pPr>
      <w:bookmarkStart w:id="167" w:name="ref-12"/>
      <w:bookmarkEnd w:id="167"/>
      <w:r>
        <w:t xml:space="preserve">12. Jie Long; Wenzhen Chen. Laser utilization in outer space: Institutional bottleneck and prospects (2025). doi:</w:t>
      </w:r>
      <w:r>
        <w:t xml:space="preserve"> </w:t>
      </w:r>
      <w:hyperlink r:id="rId168">
        <w:r>
          <w:rPr>
            <w:rStyle w:val="Hyperlink"/>
          </w:rPr>
          <w:t xml:space="preserve">10.1016/j.actaastro.2025.01.061</w:t>
        </w:r>
      </w:hyperlink>
    </w:p>
    <w:p>
      <w:pPr>
        <w:pStyle w:val="BodyText"/>
        <w:spacing w:line="480" w:lineRule="auto"/>
        <w:ind w:firstLine="720"/>
      </w:pPr>
      <w:bookmarkStart w:id="169" w:name="ref-13"/>
      <w:bookmarkEnd w:id="169"/>
      <w:r>
        <w:t xml:space="preserve">13. Jo�ão Reis. European union defense and security strategy for space and ground-based systems against hybrid threats (2024). doi:</w:t>
      </w:r>
      <w:r>
        <w:t xml:space="preserve"> </w:t>
      </w:r>
      <w:hyperlink r:id="rId170">
        <w:r>
          <w:rPr>
            <w:rStyle w:val="Hyperlink"/>
          </w:rPr>
          <w:t xml:space="preserve">10.1016/j.actaastro.2024.09.003</w:t>
        </w:r>
      </w:hyperlink>
    </w:p>
    <w:p>
      <w:pPr>
        <w:pStyle w:val="BodyText"/>
        <w:spacing w:line="480" w:lineRule="auto"/>
        <w:ind w:firstLine="720"/>
      </w:pPr>
      <w:bookmarkStart w:id="171" w:name="ref-14"/>
      <w:bookmarkEnd w:id="171"/>
      <w:r>
        <w:t xml:space="preserve">14. Tomotaka Yamamoto; Shunsuke Imamura; Kazutaka Nishiyama; Masahito Tagawa; T. Morishita; K. Tabata; Y. Saito; Takashi Ozawa. ABIE-X: On-orbit proof-of-concept experiment of air-breathing ion engine (2026). doi:</w:t>
      </w:r>
      <w:r>
        <w:t xml:space="preserve"> </w:t>
      </w:r>
      <w:hyperlink r:id="rId172">
        <w:r>
          <w:rPr>
            <w:rStyle w:val="Hyperlink"/>
          </w:rPr>
          <w:t xml:space="preserve">10.1016/j.actaastro.2026.05.049</w:t>
        </w:r>
      </w:hyperlink>
    </w:p>
    <w:p>
      <w:pPr>
        <w:pStyle w:val="BodyText"/>
        <w:spacing w:line="480" w:lineRule="auto"/>
        <w:ind w:firstLine="720"/>
      </w:pPr>
      <w:bookmarkStart w:id="173" w:name="ref-15"/>
      <w:bookmarkEnd w:id="173"/>
      <w:r>
        <w:t xml:space="preserve">15. Chris Reiss; Justin C. Feng. Redshifted civilizations, galactic empires, and the Fermi paradox (2026). doi:</w:t>
      </w:r>
      <w:r>
        <w:t xml:space="preserve"> </w:t>
      </w:r>
      <w:hyperlink r:id="rId174">
        <w:r>
          <w:rPr>
            <w:rStyle w:val="Hyperlink"/>
          </w:rPr>
          <w:t xml:space="preserve">10.1016/j.actaastro.2026.04.003</w:t>
        </w:r>
      </w:hyperlink>
    </w:p>
    <w:p>
      <w:pPr>
        <w:pStyle w:val="BodyText"/>
        <w:spacing w:line="480" w:lineRule="auto"/>
        <w:ind w:firstLine="720"/>
      </w:pPr>
      <w:bookmarkStart w:id="175" w:name="ref-16"/>
      <w:bookmarkEnd w:id="175"/>
      <w:r>
        <w:t xml:space="preserve">16. Marius Anger; Aksel Søren Beltoft; F. Biassoni; Johanna Noria Brecher; Antoine Corne; J. A. Egger; S. Filomeno; Margarida Graça; Viktoria Keusch; Guillem Khairy; Jakub Kowalczyk; Riccardo Lasagni Manghi; Dominik Loidolt; Maja Marminge; Alex McDougall-Page; Lukas Tamulevicius; Elena Tonucci; Elise Wright Knutsen. Aetheras: Characterising exoplanetary atmospheric escape with NIR and UV spectroscopy (2025). doi:</w:t>
      </w:r>
      <w:r>
        <w:t xml:space="preserve"> </w:t>
      </w:r>
      <w:hyperlink r:id="rId176">
        <w:r>
          <w:rPr>
            <w:rStyle w:val="Hyperlink"/>
          </w:rPr>
          <w:t xml:space="preserve">10.1016/j.actaastro.2025.08.042</w:t>
        </w:r>
      </w:hyperlink>
    </w:p>
    <w:bookmarkEnd w:id="177"/>
    <w:bookmarkEnd w:id="178"/>
    <w:bookmarkStart w:id="19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6" w:name="Xa42fd5ba4ed17dcf6e03a8bcee51971d61ef929"/>
    <w:p>
      <w:pPr>
        <w:pStyle w:val="Heading2"/>
        <w:spacing w:line="480" w:lineRule="auto"/>
      </w:pPr>
      <w:r>
        <w:t xml:space="preserve">A.1 Signal Intensity in Air-Power Doctrine Migration Do Counterspace Concepts Recapitulate Douhet-Style: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5.8437</w:t>
            </w:r>
          </w:p>
        </w:tc>
        <w:tc>
          <w:tcPr>
            <w:tcW w:w="0" w:type="auto"/>
          </w:tcPr>
          <w:p>
            <w:pPr>
              <w:spacing w:line="240" w:lineRule="auto" w:before="0" w:after="0"/>
              <w:pStyle w:val="Compact"/>
            </w:pPr>
            <w:r>
              <w:rPr>
                <w:sz w:val="20"/>
                <w:szCs w:val="20"/>
              </w:rPr>
              <w:t xml:space="preserve">1.259</w:t>
            </w:r>
          </w:p>
        </w:tc>
        <w:tc>
          <w:tcPr>
            <w:tcW w:w="0" w:type="auto"/>
          </w:tcPr>
          <w:p>
            <w:pPr>
              <w:spacing w:line="240" w:lineRule="auto" w:before="0" w:after="0"/>
              <w:pStyle w:val="Compact"/>
            </w:pPr>
            <w:r>
              <w:rPr>
                <w:sz w:val="20"/>
                <w:szCs w:val="20"/>
              </w:rPr>
              <w:t xml:space="preserve">4.6417</w:t>
            </w:r>
          </w:p>
        </w:tc>
        <w:tc>
          <w:tcPr>
            <w:tcW w:w="0" w:type="auto"/>
          </w:tcPr>
          <w:p>
            <w:pPr>
              <w:spacing w:line="240" w:lineRule="auto" w:before="0" w:after="0"/>
              <w:pStyle w:val="Compact"/>
            </w:pPr>
            <w:r>
              <w:rPr>
                <w:sz w:val="20"/>
                <w:szCs w:val="20"/>
              </w:rPr>
              <w:t xml:space="preserve">3.455e-06</w:t>
            </w:r>
          </w:p>
        </w:tc>
        <w:tc>
          <w:tcPr>
            <w:tcW w:w="0" w:type="auto"/>
          </w:tcPr>
          <w:p>
            <w:pPr>
              <w:spacing w:line="240" w:lineRule="auto" w:before="0" w:after="0"/>
              <w:pStyle w:val="Compact"/>
            </w:pPr>
            <w:r>
              <w:rPr>
                <w:sz w:val="20"/>
                <w:szCs w:val="20"/>
              </w:rPr>
              <w:t xml:space="preserve">[3.3762, 8.3112]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0.1007</w:t>
            </w:r>
          </w:p>
        </w:tc>
        <w:tc>
          <w:tcPr>
            <w:tcW w:w="0" w:type="auto"/>
          </w:tcPr>
          <w:p>
            <w:pPr>
              <w:spacing w:line="240" w:lineRule="auto" w:before="0" w:after="0"/>
              <w:pStyle w:val="Compact"/>
            </w:pPr>
            <w:r>
              <w:rPr>
                <w:sz w:val="20"/>
                <w:szCs w:val="20"/>
              </w:rPr>
              <w:t xml:space="preserve">0.0782</w:t>
            </w:r>
          </w:p>
        </w:tc>
        <w:tc>
          <w:tcPr>
            <w:tcW w:w="0" w:type="auto"/>
          </w:tcPr>
          <w:p>
            <w:pPr>
              <w:spacing w:line="240" w:lineRule="auto" w:before="0" w:after="0"/>
              <w:pStyle w:val="Compact"/>
            </w:pPr>
            <w:r>
              <w:rPr>
                <w:sz w:val="20"/>
                <w:szCs w:val="20"/>
              </w:rPr>
              <w:t xml:space="preserve">1.2871</w:t>
            </w:r>
          </w:p>
        </w:tc>
        <w:tc>
          <w:tcPr>
            <w:tcW w:w="0" w:type="auto"/>
          </w:tcPr>
          <w:p>
            <w:pPr>
              <w:spacing w:line="240" w:lineRule="auto" w:before="0" w:after="0"/>
              <w:pStyle w:val="Compact"/>
            </w:pPr>
            <w:r>
              <w:rPr>
                <w:sz w:val="20"/>
                <w:szCs w:val="20"/>
              </w:rPr>
              <w:t xml:space="preserve">0.1981</w:t>
            </w:r>
          </w:p>
        </w:tc>
        <w:tc>
          <w:tcPr>
            <w:tcW w:w="0" w:type="auto"/>
          </w:tcPr>
          <w:p>
            <w:pPr>
              <w:spacing w:line="240" w:lineRule="auto" w:before="0" w:after="0"/>
              <w:pStyle w:val="Compact"/>
            </w:pPr>
            <w:r>
              <w:rPr>
                <w:sz w:val="20"/>
                <w:szCs w:val="20"/>
              </w:rPr>
              <w:t xml:space="preserve">[-0.0526, 0.254]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0.0304</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0.3517</w:t>
            </w:r>
          </w:p>
        </w:tc>
        <w:tc>
          <w:tcPr>
            <w:tcW w:w="0" w:type="auto"/>
          </w:tcPr>
          <w:p>
            <w:pPr>
              <w:spacing w:line="240" w:lineRule="auto" w:before="0" w:after="0"/>
              <w:pStyle w:val="Compact"/>
            </w:pPr>
            <w:r>
              <w:rPr>
                <w:sz w:val="20"/>
                <w:szCs w:val="20"/>
              </w:rPr>
              <w:t xml:space="preserve">0.7251</w:t>
            </w:r>
          </w:p>
        </w:tc>
        <w:tc>
          <w:tcPr>
            <w:tcW w:w="0" w:type="auto"/>
          </w:tcPr>
          <w:p>
            <w:pPr>
              <w:spacing w:line="240" w:lineRule="auto" w:before="0" w:after="0"/>
              <w:pStyle w:val="Compact"/>
            </w:pPr>
            <w:r>
              <w:rPr>
                <w:sz w:val="20"/>
                <w:szCs w:val="20"/>
              </w:rPr>
              <w:t xml:space="preserve">[-0.1388, 0.1995]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-1.7993</w:t>
            </w:r>
          </w:p>
        </w:tc>
        <w:tc>
          <w:tcPr>
            <w:tcW w:w="0" w:type="auto"/>
          </w:tcPr>
          <w:p>
            <w:pPr>
              <w:spacing w:line="240" w:lineRule="auto" w:before="0" w:after="0"/>
              <w:pStyle w:val="Compact"/>
            </w:pPr>
            <w:r>
              <w:rPr>
                <w:sz w:val="20"/>
                <w:szCs w:val="20"/>
              </w:rPr>
              <w:t xml:space="preserve">0.6362</w:t>
            </w:r>
          </w:p>
        </w:tc>
        <w:tc>
          <w:tcPr>
            <w:tcW w:w="0" w:type="auto"/>
          </w:tcPr>
          <w:p>
            <w:pPr>
              <w:spacing w:line="240" w:lineRule="auto" w:before="0" w:after="0"/>
              <w:pStyle w:val="Compact"/>
            </w:pPr>
            <w:r>
              <w:rPr>
                <w:sz w:val="20"/>
                <w:szCs w:val="20"/>
              </w:rPr>
              <w:t xml:space="preserve">-2.8283</w:t>
            </w:r>
          </w:p>
        </w:tc>
        <w:tc>
          <w:tcPr>
            <w:tcW w:w="0" w:type="auto"/>
          </w:tcPr>
          <w:p>
            <w:pPr>
              <w:spacing w:line="240" w:lineRule="auto" w:before="0" w:after="0"/>
              <w:pStyle w:val="Compact"/>
            </w:pPr>
            <w:r>
              <w:rPr>
                <w:sz w:val="20"/>
                <w:szCs w:val="20"/>
              </w:rPr>
              <w:t xml:space="preserve">0.0047</w:t>
            </w:r>
          </w:p>
        </w:tc>
        <w:tc>
          <w:tcPr>
            <w:tcW w:w="0" w:type="auto"/>
          </w:tcPr>
          <w:p>
            <w:pPr>
              <w:spacing w:line="240" w:lineRule="auto" w:before="0" w:after="0"/>
              <w:pStyle w:val="Compact"/>
            </w:pPr>
            <w:r>
              <w:rPr>
                <w:sz w:val="20"/>
                <w:szCs w:val="20"/>
              </w:rPr>
              <w:t xml:space="preserve">[-3.0462, -0.5524]</w:t>
            </w:r>
          </w:p>
        </w:tc>
      </w:tr>
    </w:tbl>
    <w:p>
      <w:pPr>
        <w:pStyle w:val="BodyText"/>
        <w:spacing w:line="480" w:lineRule="auto"/>
        <w:ind w:firstLine="720"/>
      </w:pPr>
      <w:r>
        <w:t xml:space="preserve">Fit: N = 30 R2 = 0.1901 R2_adj = 0.0966 F = 2.8204 F_p = 0.0586</w:t>
      </w:r>
    </w:p>
    <w:bookmarkEnd w:id="179"/>
    <w:bookmarkStart w:id="18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1" name="Picture"/>
            <a:graphic>
              <a:graphicData uri="http://schemas.openxmlformats.org/drawingml/2006/picture">
                <pic:pic>
                  <pic:nvPicPr>
                    <pic:cNvPr descr="D:/Claude_Code/brain/collegium/candidates/dissertations/SECURITY_DETERRENCE_12/research_papers/p1/paper_fig1.png" id="182" name="Picture"/>
                    <pic:cNvPicPr>
                      <a:picLocks noChangeArrowheads="1" noChangeAspect="1"/>
                    </pic:cNvPicPr>
                  </pic:nvPicPr>
                  <pic:blipFill>
                    <a:blip r:embed="rId1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3"/>
    <w:bookmarkStart w:id="18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https://amostech.space/year/2006/environmental-space-situation-awareness-and-joint-space-effects/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10.64861/TCOA6256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https://amostech.space/year/2021/test-on-the-new-ssa-system-of-jasdf/</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10.64861/OWDT6586</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https://amostech.space/year/2015/project-unity-cross-domain-visualization-collaboration/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https://amostech.space/year/2010/small-space-launch-origins-challenges/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https://amostech.space/year/2009/operationally-responsive-space-launch-for-space-situational-awareness-missions/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https://amostech.space/year/2022/near-rectilinear-halo-orbit-surveillance-using-cislunar-periodic-orbits/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10.64861/GDIM2412</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https://amostech.space/year/2015/deploying-the-nasa-meter-class-autonomous-telescope-mcat-on-ascension-island/</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10.1016/j.actaastro.2024.09.042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10.1016/j.actaastro.2023.04.010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10.1016/j.actaastro.2026.05.049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10.1016/j.actaastro.2026.04.003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10.1016/j.actaastro.2025.08.042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10.1016/j.actaastro.2025.10.046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10.1016/j.actaastro.2021.08.032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10.1016/j.actaastro.2022.05.053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SFA Space Economy and Integrated Deterrence</w:t>
            </w:r>
          </w:p>
        </w:tc>
      </w:tr>
    </w:tbl>
    <w:bookmarkEnd w:id="184"/>
    <w:bookmarkStart w:id="18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5"/>
    <w:bookmarkEnd w:id="186"/>
    <w:bookmarkStart w:id="194" w:name="Xf0ebb6f6697ad19d35996701523d45956d29f35"/>
    <w:p>
      <w:pPr>
        <w:pStyle w:val="Heading2"/>
        <w:spacing w:line="480" w:lineRule="auto"/>
      </w:pPr>
      <w:r>
        <w:t xml:space="preserve">A.2 Attention Accumulation in Air-Power Doctrine Migration Do Counterspace Concepts Recapitulate Douhet-Style: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0.561</w:t>
            </w:r>
          </w:p>
        </w:tc>
        <w:tc>
          <w:tcPr>
            <w:tcW w:w="0" w:type="auto"/>
          </w:tcPr>
          <w:p>
            <w:pPr>
              <w:spacing w:line="240" w:lineRule="auto" w:before="0" w:after="0"/>
              <w:pStyle w:val="Compact"/>
            </w:pPr>
            <w:r>
              <w:rPr>
                <w:sz w:val="20"/>
                <w:szCs w:val="20"/>
              </w:rPr>
              <w:t xml:space="preserve">0.2521</w:t>
            </w:r>
          </w:p>
        </w:tc>
        <w:tc>
          <w:tcPr>
            <w:tcW w:w="0" w:type="auto"/>
          </w:tcPr>
          <w:p>
            <w:pPr>
              <w:spacing w:line="240" w:lineRule="auto" w:before="0" w:after="0"/>
              <w:pStyle w:val="Compact"/>
            </w:pPr>
            <w:r>
              <w:rPr>
                <w:sz w:val="20"/>
                <w:szCs w:val="20"/>
              </w:rPr>
              <w:t xml:space="preserve">2.2248</w:t>
            </w:r>
          </w:p>
        </w:tc>
        <w:tc>
          <w:tcPr>
            <w:tcW w:w="0" w:type="auto"/>
          </w:tcPr>
          <w:p>
            <w:pPr>
              <w:spacing w:line="240" w:lineRule="auto" w:before="0" w:after="0"/>
              <w:pStyle w:val="Compact"/>
            </w:pPr>
            <w:r>
              <w:rPr>
                <w:sz w:val="20"/>
                <w:szCs w:val="20"/>
              </w:rPr>
              <w:t xml:space="preserve">0.0261</w:t>
            </w:r>
          </w:p>
        </w:tc>
        <w:tc>
          <w:tcPr>
            <w:tcW w:w="0" w:type="auto"/>
          </w:tcPr>
          <w:p>
            <w:pPr>
              <w:spacing w:line="240" w:lineRule="auto" w:before="0" w:after="0"/>
              <w:pStyle w:val="Compact"/>
            </w:pPr>
            <w:r>
              <w:rPr>
                <w:sz w:val="20"/>
                <w:szCs w:val="20"/>
              </w:rPr>
              <w:t xml:space="preserve">[0.0668, 1.0551]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-0.1072</w:t>
            </w:r>
          </w:p>
        </w:tc>
        <w:tc>
          <w:tcPr>
            <w:tcW w:w="0" w:type="auto"/>
          </w:tcPr>
          <w:p>
            <w:pPr>
              <w:spacing w:line="240" w:lineRule="auto" w:before="0" w:after="0"/>
              <w:pStyle w:val="Compact"/>
            </w:pPr>
            <w:r>
              <w:rPr>
                <w:sz w:val="20"/>
                <w:szCs w:val="20"/>
              </w:rPr>
              <w:t xml:space="preserve">0.1077</w:t>
            </w:r>
          </w:p>
        </w:tc>
        <w:tc>
          <w:tcPr>
            <w:tcW w:w="0" w:type="auto"/>
          </w:tcPr>
          <w:p>
            <w:pPr>
              <w:spacing w:line="240" w:lineRule="auto" w:before="0" w:after="0"/>
              <w:pStyle w:val="Compact"/>
            </w:pPr>
            <w:r>
              <w:rPr>
                <w:sz w:val="20"/>
                <w:szCs w:val="20"/>
              </w:rPr>
              <w:t xml:space="preserve">-0.9959</w:t>
            </w:r>
          </w:p>
        </w:tc>
        <w:tc>
          <w:tcPr>
            <w:tcW w:w="0" w:type="auto"/>
          </w:tcPr>
          <w:p>
            <w:pPr>
              <w:spacing w:line="240" w:lineRule="auto" w:before="0" w:after="0"/>
              <w:pStyle w:val="Compact"/>
            </w:pPr>
            <w:r>
              <w:rPr>
                <w:sz w:val="20"/>
                <w:szCs w:val="20"/>
              </w:rPr>
              <w:t xml:space="preserve">0.3193</w:t>
            </w:r>
          </w:p>
        </w:tc>
        <w:tc>
          <w:tcPr>
            <w:tcW w:w="0" w:type="auto"/>
          </w:tcPr>
          <w:p>
            <w:pPr>
              <w:spacing w:line="240" w:lineRule="auto" w:before="0" w:after="0"/>
              <w:pStyle w:val="Compact"/>
            </w:pPr>
            <w:r>
              <w:rPr>
                <w:sz w:val="20"/>
                <w:szCs w:val="20"/>
              </w:rPr>
              <w:t xml:space="preserve">[-0.3182, 0.1038]</w:t>
            </w:r>
          </w:p>
        </w:tc>
      </w:tr>
    </w:tbl>
    <w:p>
      <w:pPr>
        <w:pStyle w:val="BodyText"/>
        <w:spacing w:line="480" w:lineRule="auto"/>
        <w:ind w:firstLine="720"/>
      </w:pPr>
      <w:r>
        <w:t xml:space="preserve">Fit: N = 30 R2 = 0.0114 elasticity_b = -0.1072 progress_ratio_2^b = 0.9284</w:t>
      </w:r>
    </w:p>
    <w:bookmarkEnd w:id="187"/>
    <w:bookmarkStart w:id="19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9" name="Picture"/>
            <a:graphic>
              <a:graphicData uri="http://schemas.openxmlformats.org/drawingml/2006/picture">
                <pic:pic>
                  <pic:nvPicPr>
                    <pic:cNvPr descr="D:/Claude_Code/brain/collegium/candidates/dissertations/SECURITY_DETERRENCE_12/research_papers/p2/paper_fig1.png" id="190" name="Picture"/>
                    <pic:cNvPicPr>
                      <a:picLocks noChangeArrowheads="1" noChangeAspect="1"/>
                    </pic:cNvPicPr>
                  </pic:nvPicPr>
                  <pic:blipFill>
                    <a:blip r:embed="rId18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1"/>
    <w:bookmarkStart w:id="19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https://amostech.space/year/2006/environmental-space-situation-awareness-and-joint-space-effects/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10.64861/TCOA6256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https://amostech.space/year/2021/test-on-the-new-ssa-system-of-jasdf/</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10.64861/OWDT6586</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https://amostech.space/year/2015/project-unity-cross-domain-visualization-collaboration/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https://amostech.space/year/2010/small-space-launch-origins-challenges/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https://amostech.space/year/2009/operationally-responsive-space-launch-for-space-situational-awareness-missions/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https://amostech.space/year/2022/near-rectilinear-halo-orbit-surveillance-using-cislunar-periodic-orbits/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10.64861/GDIM2412</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https://amostech.space/year/2015/deploying-the-nasa-meter-class-autonomous-telescope-mcat-on-ascension-island/</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10.1016/j.actaastro.2024.09.042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10.1016/j.actaastro.2023.04.010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10.1016/j.actaastro.2026.05.049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10.1016/j.actaastro.2026.04.003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10.1016/j.actaastro.2025.08.042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10.1016/j.actaastro.2025.10.046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10.1016/j.actaastro.2021.08.032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10.1016/j.actaastro.2022.05.053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SFA Space Economy and Integrated Deterrence</w:t>
            </w:r>
          </w:p>
        </w:tc>
      </w:tr>
    </w:tbl>
    <w:bookmarkEnd w:id="192"/>
    <w:bookmarkStart w:id="19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3"/>
    <w:bookmarkEnd w:id="194"/>
    <w:bookmarkEnd w:id="19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0" Type="http://schemas.openxmlformats.org/officeDocument/2006/relationships/image" Target="media/rId180.png"/><Relationship Id="rId188" Type="http://schemas.openxmlformats.org/officeDocument/2006/relationships/image" Target="media/rId188.png"/><Relationship Id="rId166" Type="http://schemas.openxmlformats.org/officeDocument/2006/relationships/hyperlink" Target="https://doi.org/10.1016/j.actaastro.2023.02.043" TargetMode="External"/><Relationship Id="rId170" Type="http://schemas.openxmlformats.org/officeDocument/2006/relationships/hyperlink" Target="https://doi.org/10.1016/j.actaastro.2024.09.003" TargetMode="External"/><Relationship Id="rId164" Type="http://schemas.openxmlformats.org/officeDocument/2006/relationships/hyperlink" Target="https://doi.org/10.1016/j.actaastro.2024.09.042" TargetMode="External"/><Relationship Id="rId168" Type="http://schemas.openxmlformats.org/officeDocument/2006/relationships/hyperlink" Target="https://doi.org/10.1016/j.actaastro.2025.01.061" TargetMode="External"/><Relationship Id="rId176" Type="http://schemas.openxmlformats.org/officeDocument/2006/relationships/hyperlink" Target="https://doi.org/10.1016/j.actaastro.2025.08.042" TargetMode="External"/><Relationship Id="rId162" Type="http://schemas.openxmlformats.org/officeDocument/2006/relationships/hyperlink" Target="https://doi.org/10.1016/j.actaastro.2026.02.013" TargetMode="External"/><Relationship Id="rId174" Type="http://schemas.openxmlformats.org/officeDocument/2006/relationships/hyperlink" Target="https://doi.org/10.1016/j.actaastro.2026.04.003" TargetMode="External"/><Relationship Id="rId172" Type="http://schemas.openxmlformats.org/officeDocument/2006/relationships/hyperlink" Target="https://doi.org/10.1016/j.actaastro.2026.05.049" TargetMode="External"/><Relationship Id="rId158" Type="http://schemas.openxmlformats.org/officeDocument/2006/relationships/hyperlink" Target="https://doi.org/10.64861/OWDT6586" TargetMode="External"/><Relationship Id="rId155" Type="http://schemas.openxmlformats.org/officeDocument/2006/relationships/hyperlink" Target="https://doi.org/10.64861/TCOA6256" TargetMode="External"/></Relationships>
</file>

<file path=word/_rels/footnotes.xml.rels><?xml version='1.0' encoding='UTF-8' standalone='yes'?>
<Relationships xmlns="http://schemas.openxmlformats.org/package/2006/relationships"><Relationship Id="rId166" Type="http://schemas.openxmlformats.org/officeDocument/2006/relationships/hyperlink" Target="https://doi.org/10.1016/j.actaastro.2023.02.043" TargetMode="External"/><Relationship Id="rId170" Type="http://schemas.openxmlformats.org/officeDocument/2006/relationships/hyperlink" Target="https://doi.org/10.1016/j.actaastro.2024.09.003" TargetMode="External"/><Relationship Id="rId164" Type="http://schemas.openxmlformats.org/officeDocument/2006/relationships/hyperlink" Target="https://doi.org/10.1016/j.actaastro.2024.09.042" TargetMode="External"/><Relationship Id="rId168" Type="http://schemas.openxmlformats.org/officeDocument/2006/relationships/hyperlink" Target="https://doi.org/10.1016/j.actaastro.2025.01.061" TargetMode="External"/><Relationship Id="rId176" Type="http://schemas.openxmlformats.org/officeDocument/2006/relationships/hyperlink" Target="https://doi.org/10.1016/j.actaastro.2025.08.042" TargetMode="External"/><Relationship Id="rId162" Type="http://schemas.openxmlformats.org/officeDocument/2006/relationships/hyperlink" Target="https://doi.org/10.1016/j.actaastro.2026.02.013" TargetMode="External"/><Relationship Id="rId174" Type="http://schemas.openxmlformats.org/officeDocument/2006/relationships/hyperlink" Target="https://doi.org/10.1016/j.actaastro.2026.04.003" TargetMode="External"/><Relationship Id="rId172" Type="http://schemas.openxmlformats.org/officeDocument/2006/relationships/hyperlink" Target="https://doi.org/10.1016/j.actaastro.2026.05.049" TargetMode="External"/><Relationship Id="rId158" Type="http://schemas.openxmlformats.org/officeDocument/2006/relationships/hyperlink" Target="https://doi.org/10.64861/OWDT6586" TargetMode="External"/><Relationship Id="rId155" Type="http://schemas.openxmlformats.org/officeDocument/2006/relationships/hyperlink" Target="https://doi.org/10.64861/TCOA62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Air-Power Doctrine Migration: Do Counterspace Concepts Recapitulate Douhet-Style</dc:title>
  <dc:creator>Clara Okonkwo (1B-SEC-220)</dc:creator>
  <cp:keywords/>
  <dcterms:created xsi:type="dcterms:W3CDTF">2026-07-02T22:19:08Z</dcterms:created>
  <dcterms:modified xsi:type="dcterms:W3CDTF">2026-07-02T22:19:08Z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