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DETERRENCE WITHOUT PUNISHMENT: CAN SPACE DOMAIN AWARENESS SHARING FUNCTION AS A</w:t>
      </w:r>
    </w:p>
    <w:p>
      <w:pPr>
        <w:jc w:val="center"/>
      </w:pPr>
    </w:p>
    <w:p>
      <w:pPr>
        <w:jc w:val="center"/>
      </w:pPr>
      <w:r>
        <w:rPr>
          <w:rFonts w:ascii="Times New Roman" w:hAnsi="Times New Roman"/>
          <w:sz w:val="24"/>
        </w:rPr>
        <w:t>by</w:t>
      </w:r>
    </w:p>
    <w:p>
      <w:pPr>
        <w:jc w:val="center"/>
      </w:pPr>
      <w:r>
        <w:rPr>
          <w:rFonts w:ascii="Times New Roman" w:hAnsi="Times New Roman"/>
          <w:b/>
          <w:sz w:val="28"/>
        </w:rPr>
        <w:t>Annika Castellano</w:t>
      </w:r>
    </w:p>
    <w:p>
      <w:pPr>
        <w:jc w:val="center"/>
      </w:pPr>
      <w:r>
        <w:rPr>
          <w:rFonts w:ascii="Times New Roman" w:hAnsi="Times New Roman"/>
          <w:sz w:val="24"/>
        </w:rPr>
        <w:t>1B-SEC-153</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9" w:name="chapter-1.-introduction"/>
    <w:p>
      <w:pPr>
        <w:pStyle w:val="Heading1"/>
        <w:spacing w:line="480" w:lineRule="auto"/>
      </w:pPr>
      <w:r>
        <w:t xml:space="preserve">Chapter 1. Introduction</w:t>
      </w:r>
    </w:p>
    <w:p>
      <w:pPr>
        <w:pStyle w:val="FirstParagraph"/>
        <w:spacing w:line="480" w:lineRule="auto"/>
      </w:pPr>
      <w:r>
        <w:t xml:space="preserve">Space deterrence is usually argued as a problem of punishment. A state builds the capacity to strike back, communicates that capacity, and hopes the threat of retaliation holds an adversary in check. This dissertation takes a different opening premise. It asks whether a coalition can hold hazardous behavior in check without threatening to hit anyone at all, by making that behavior easier to see, easier to attribute, and harder to deny. The mechanism is observation rather than retaliation. The question is whether observation, once it becomes public and shared across allies, changes what spacecraft operators actually do near other people’s satellites.</w:t>
      </w:r>
    </w:p>
    <w:p>
      <w:pPr>
        <w:pStyle w:val="BodyText"/>
        <w:spacing w:line="480" w:lineRule="auto"/>
        <w:ind w:firstLine="720"/>
      </w:pPr>
      <w:r>
        <w:t xml:space="preserve">The setting for that question is Space Domain Awareness. SDA is the practice of tracking, cataloging, and characterizing objects in orbit, and increasingly it is a shared enterprise rather than a national one. Allied architectures, hosted sensing payloads, and coalition data-sharing arrangements now distribute the work of watching orbit across many partners</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A growing body of aerospace and defense writing treats this partnership turn as strategically consequential. Yet the strategic payoff is almost always asserted as a plausible implication and almost never estimated as a behavioral fact. That gap is the reason this dissertation exists.</w:t>
      </w:r>
    </w:p>
    <w:bookmarkStart w:id="61" w:name="the-problem-and-why-it-matters"/>
    <w:p>
      <w:pPr>
        <w:pStyle w:val="Heading2"/>
        <w:spacing w:line="480" w:lineRule="auto"/>
      </w:pPr>
      <w:r>
        <w:t xml:space="preserve">The problem and why it matters</w:t>
      </w:r>
    </w:p>
    <w:p>
      <w:pPr>
        <w:pStyle w:val="FirstParagraph"/>
        <w:spacing w:line="480" w:lineRule="auto"/>
      </w:pPr>
      <w:r>
        <w:t xml:space="preserve">Consider the operational picture that motivates the design. A satellite in low Earth orbit can be approached by another spacecraft that closes to within a few kilometers at low relative velocity, lingers, and departs. Such an approach may be benign, a rendezvous for inspection or servicing, or it may be a rehearsal for interference. Geometry alone does not reveal intent. What changes the calculus for the approaching operator is not the target’s ability to punish, which is usually nonexistent, but the target’s ability to be seen approaching by parties who will talk about it. If a close pass will be detected by allied sensors, attributed to a specific operator, and raised through diplomatic channels, the expected cost of the pass rises even though no one fires a shot.</w:t>
      </w:r>
    </w:p>
    <w:p>
      <w:pPr>
        <w:pStyle w:val="BodyText"/>
        <w:spacing w:line="480" w:lineRule="auto"/>
        <w:ind w:firstLine="720"/>
      </w:pPr>
      <w:r>
        <w:t xml:space="preserve">That is deterrence by detection and disclosure. It is attractive precisely because the alternative, deterrence by punishment, is fragile in orbit. Kinetic retaliation generates debris that harms the retaliator’s own assets. Escalation in a domain shared by civil, commercial, and military users is difficult to bound. Work on artificial intelligence and autonomy in space warns that faster decision cycles may make crisis interpretation harder and escalation control more brittle</w:t>
      </w:r>
      <w:r>
        <w:t xml:space="preserve"> </w:t>
      </w:r>
      <w:hyperlink w:anchor="ref-1">
        <w:r>
          <w:rPr>
            <w:rStyle w:val="Hyperlink"/>
          </w:rPr>
          <w:t xml:space="preserve">[1]</w:t>
        </w:r>
      </w:hyperlink>
      <w:r>
        <w:t xml:space="preserve">. If punishment-based deterrence is both dangerous and hard to calibrate, a mechanism that works through visibility rather than violence deserves a serious empirical test.</w:t>
      </w:r>
    </w:p>
    <w:p>
      <w:pPr>
        <w:pStyle w:val="BodyText"/>
        <w:spacing w:line="480" w:lineRule="auto"/>
        <w:ind w:firstLine="720"/>
      </w:pPr>
      <w:r>
        <w:t xml:space="preserve">The stakes are not abstract. Orbital congestion is rising, the number of maneuverable spacecraft is growing, and the actors capable of conducting close approaches now include commercial operators and second-tier space powers, not only the two largest militaries</w:t>
      </w:r>
      <w:r>
        <w:t xml:space="preserve"> </w:t>
      </w:r>
      <w:hyperlink w:anchor="ref-7">
        <w:r>
          <w:rPr>
            <w:rStyle w:val="Hyperlink"/>
          </w:rPr>
          <w:t xml:space="preserve">[7]</w:t>
        </w:r>
      </w:hyperlink>
      <w:r>
        <w:t xml:space="preserve">. Governance discussions have moved toward continuing supervision of in-space activity and toward decision-support architectures that keep humans informed about who is doing what to whom</w:t>
      </w:r>
      <w:r>
        <w:t xml:space="preserve"> </w:t>
      </w:r>
      <w:hyperlink w:anchor="ref-23">
        <w:r>
          <w:rPr>
            <w:rStyle w:val="Hyperlink"/>
          </w:rPr>
          <w:t xml:space="preserve">[23]</w:t>
        </w:r>
      </w:hyperlink>
      <w:r>
        <w:t xml:space="preserve">. If shared SDA can shape behavior without punishment, it belongs at the center of that governance conversation. If it cannot, allied investment in shared awareness should be justified on other grounds, not on a deterrent effect that does not survive contact with data.</w:t>
      </w:r>
    </w:p>
    <w:bookmarkEnd w:id="61"/>
    <w:bookmarkStart w:id="62" w:name="the-single-falsifiable-contribution"/>
    <w:p>
      <w:pPr>
        <w:pStyle w:val="Heading2"/>
        <w:spacing w:line="480" w:lineRule="auto"/>
      </w:pPr>
      <w:r>
        <w:t xml:space="preserve">The single falsifiable contribution</w:t>
      </w:r>
    </w:p>
    <w:p>
      <w:pPr>
        <w:pStyle w:val="FirstParagraph"/>
        <w:spacing w:line="480" w:lineRule="auto"/>
      </w:pPr>
      <w:r>
        <w:t xml:space="preserve">This dissertation makes one testable claim, and it states that claim narrowly on purpose. The claim is that public coverage of a target satellite’s owner by an SDA-sharing arrangement reduces the subsequent rate of hazardous proximity events, defined as close, low-relative-velocity approaches, by nonpartner spacecraft.</w:t>
      </w:r>
    </w:p>
    <w:p>
      <w:pPr>
        <w:pStyle w:val="BodyText"/>
        <w:spacing w:line="480" w:lineRule="auto"/>
        <w:ind w:firstLine="720"/>
      </w:pPr>
      <w:r>
        <w:t xml:space="preserve">Formally, let the outcome be the monthly count of hazardous proximity events in which a nonpartner chaser approaches a target satellite in a given orbital regime. Let treatment switch on in the first full month after the target’s owner becomes publicly covered by an SDA-sharing arrangement. The parameter of interest is the post-treatment coefficient on that switch. The null hypothesis holds that public coverage has no effect on the rate of hazardous proximity events. The directional alternative holds that public coverage reduces that rate. The dissertation is designed to adjudicate the null against that one-sided alternative, nothing more.</w:t>
      </w:r>
    </w:p>
    <w:p>
      <w:pPr>
        <w:pStyle w:val="BodyText"/>
        <w:spacing w:line="480" w:lineRule="auto"/>
        <w:ind w:firstLine="720"/>
      </w:pPr>
      <w:r>
        <w:t xml:space="preserve">The claim is falsifiable in the strict sense. If proximity behavior changes before public coverage rather than after, the deterrence reading fails. If the change appears only in orbital shells mechanically affected by improvements in cataloging, the reading shifts from deterrence to measurement artifact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If the reduction shows up among partner chasers, for whom shared observability should not alter incentives, the mechanism is not what the theory says it is. The design specifies in advance which patterns would sink the claim. That commitment to conditions of failure is what separates a deterrence estimate from a deterrence narrative.</w:t>
      </w:r>
    </w:p>
    <w:bookmarkEnd w:id="62"/>
    <w:bookmarkStart w:id="63" w:name="what-this-dissertation-does-not-claim"/>
    <w:p>
      <w:pPr>
        <w:pStyle w:val="Heading2"/>
        <w:spacing w:line="480" w:lineRule="auto"/>
      </w:pPr>
      <w:r>
        <w:t xml:space="preserve">What this dissertation does not claim</w:t>
      </w:r>
    </w:p>
    <w:p>
      <w:pPr>
        <w:pStyle w:val="FirstParagraph"/>
        <w:spacing w:line="480" w:lineRule="auto"/>
      </w:pPr>
      <w:r>
        <w:t xml:space="preserve">Boundaries matter as much as claims. This work studies public SDA-sharing coverage, coded from official announcements and partnership records. It does not study classified intelligence sharing, because a mechanism that runs through the expectations of a potential chaser requires that the chaser can know or reasonably infer that observability has increased. It does not study every form of counterspace activity. Cyber interference, electronic attack, and directed-energy dazzling leave different signatures and travel through different governance channels</w:t>
      </w:r>
      <w:r>
        <w:t xml:space="preserve"> </w:t>
      </w:r>
      <w:hyperlink w:anchor="ref-11">
        <w:r>
          <w:rPr>
            <w:rStyle w:val="Hyperlink"/>
          </w:rPr>
          <w:t xml:space="preserve">[11]</w:t>
        </w:r>
      </w:hyperlink>
      <w:r>
        <w:t xml:space="preserve"> </w:t>
      </w:r>
      <w:hyperlink w:anchor="ref-22">
        <w:r>
          <w:rPr>
            <w:rStyle w:val="Hyperlink"/>
          </w:rPr>
          <w:t xml:space="preserve">[22]</w:t>
        </w:r>
      </w:hyperlink>
      <w:r>
        <w:t xml:space="preserve">. The outcome here is proximity behavior measured from orbital records, which is a slice of counterspace conduct, not the whole of it.</w:t>
      </w:r>
    </w:p>
    <w:p>
      <w:pPr>
        <w:pStyle w:val="BodyText"/>
        <w:spacing w:line="480" w:lineRule="auto"/>
        <w:ind w:firstLine="720"/>
      </w:pPr>
      <w:r>
        <w:t xml:space="preserve">The work also refuses to read intent from geometry. A close approach is labeled hazardous proximity behavior, not aggression. The deterrence interpretation rests on comparative change around the timing of public coverage, not on any single pass being hostile. This restraint is a design virtue, because inferring motive from orbital geometry is exactly the error that would let a spurious result masquerade as strategic insight.</w:t>
      </w:r>
    </w:p>
    <w:bookmarkEnd w:id="63"/>
    <w:bookmarkStart w:id="64" w:name="two-empirical-papers-and-how-they-fit"/>
    <w:p>
      <w:pPr>
        <w:pStyle w:val="Heading2"/>
        <w:spacing w:line="480" w:lineRule="auto"/>
      </w:pPr>
      <w:r>
        <w:t xml:space="preserve">Two empirical papers and how they fit</w:t>
      </w:r>
    </w:p>
    <w:p>
      <w:pPr>
        <w:pStyle w:val="FirstParagraph"/>
        <w:spacing w:line="480" w:lineRule="auto"/>
      </w:pPr>
      <w:r>
        <w:t xml:space="preserve">The full dyad-month behavioral study is the dissertation’s destination, and reaching it requires data infrastructure that is assembled but whose behavioral estimation is deliberately staged. Two completed empirical papers ground the argument and discipline it before that final estimate is attempted.</w:t>
      </w:r>
    </w:p>
    <w:p>
      <w:pPr>
        <w:pStyle w:val="BodyText"/>
        <w:spacing w:line="480" w:lineRule="auto"/>
        <w:ind w:firstLine="720"/>
      </w:pPr>
      <w:r>
        <w:t xml:space="preserve">The first paper turns the dissertation’s own cited corpus into data. It codes eleven public sources for whether they explicitly frame deterrence and for how richly they specify public SDA-sharing design, then estimates a logistic model. The coefficient on sharing-design score is positive at 0.375 but statistically weak, with p equal to 0.335, and the pseudo R-squared is 0.071 across eleven documents</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8">
        <w:r>
          <w:rPr>
            <w:rStyle w:val="Hyperlink"/>
          </w:rPr>
          <w:t xml:space="preserve">[8]</w:t>
        </w:r>
      </w:hyperlink>
      <w:r>
        <w:t xml:space="preserve">. Read plainly, the literature connects sharing and deterrence unevenly. The pieces are adjacent, not fused. That is the argumentative reason the behavioral test cannot be skipped: the source record does not already prove what the dissertation must test.</w:t>
      </w:r>
    </w:p>
    <w:p>
      <w:pPr>
        <w:pStyle w:val="BodyText"/>
        <w:spacing w:line="480" w:lineRule="auto"/>
        <w:ind w:firstLine="720"/>
      </w:pPr>
      <w:r>
        <w:t xml:space="preserve">The second paper takes the measurement problem head on. It uses the twelve component-level inserted-maneuver magnitudes reported in a published TLE anomaly-detection table and regresses their base-ten logarithm on maneuver component</w:t>
      </w:r>
      <w:r>
        <w:t xml:space="preserve"> </w:t>
      </w:r>
      <w:hyperlink w:anchor="ref-10">
        <w:r>
          <w:rPr>
            <w:rStyle w:val="Hyperlink"/>
          </w:rPr>
          <w:t xml:space="preserve">[10]</w:t>
        </w:r>
      </w:hyperlink>
      <w:r>
        <w:t xml:space="preserve">. In-track maneuvers come in about 0.98 log units smaller than the radial baseline, with p equal to 0.045, while cross-track magnitudes are larger but uncertain. The model accounts for roughly 49 percent of the variance in log magnitude across twelve rows. The lesson is that observability is not uniform across maneuver directions, so a proximity study built on public orbital records must treat detection thresholds as component-aware and must never read the absence of a detected signature as the absence of behavior.</w:t>
      </w:r>
    </w:p>
    <w:p>
      <w:pPr>
        <w:pStyle w:val="BodyText"/>
        <w:spacing w:line="480" w:lineRule="auto"/>
        <w:ind w:firstLine="720"/>
      </w:pPr>
      <w:r>
        <w:t xml:space="preserve">Neither paper claims deterrence. One shows that the literature has not yet joined the concepts tightly. The other shows that the measurement plan must be built with care. Together they mark out the exact space the behavioral design has to occupy.</w:t>
      </w:r>
    </w:p>
    <w:bookmarkEnd w:id="64"/>
    <w:bookmarkStart w:id="65" w:name="roadmap"/>
    <w:p>
      <w:pPr>
        <w:pStyle w:val="Heading2"/>
        <w:spacing w:line="480" w:lineRule="auto"/>
      </w:pPr>
      <w:r>
        <w:t xml:space="preserve">Roadmap</w:t>
      </w:r>
    </w:p>
    <w:p>
      <w:pPr>
        <w:pStyle w:val="FirstParagraph"/>
        <w:spacing w:line="480" w:lineRule="auto"/>
      </w:pPr>
      <w:r>
        <w:t xml:space="preserve">The dissertation proceeds in eight chapters. This introduction has framed the problem, the stakes, the single falsifiable contribution, and the scope. Chapter 2 situates the argument against three literatures that rarely speak to each other: space deterrence and escalation control, SDA partnership and burden sharing, and orbital measurement. Chapter 3 develops the theory, specifying the expectation channel through which public shared observability could alter a chaser’s calculus, and it derives the testable predictions. Chapter 4 lays out the identification strategy, the staggered difference-in-differences event study at the dyad-month level, and explains why it identifies a deterrence effect rather than a confound. Chapter 5 describes the data and measurement, the public orbital and registry sources, the construction of dyads, and the coding of treatment. Chapter 6 reports the results of the two empirical papers exactly as estimated and interprets their signs and magnitudes. Chapter 7 confronts the threats to validity and states clearly what the data cannot show. Chapter 8 draws the contribution together, connects it to governance and program decisions, and sets out the future work that would let the central claim finally stand or fall.</w:t>
      </w:r>
    </w:p>
    <w:p>
      <w:pPr>
        <w:pStyle w:val="BodyText"/>
        <w:spacing w:line="480" w:lineRule="auto"/>
        <w:ind w:firstLine="720"/>
      </w:pPr>
      <w:r>
        <w:t xml:space="preserve">The through-line is a single discipline. Do not infer deterrence from partnership announcements. Do not infer deterrence from better measurement. Infer deterrence only from behavior that changes after coverage becomes public, in the dyads where visibility should matter, and only when that change survives the checks specified before the data were touched.</w:t>
      </w:r>
    </w:p>
    <w:bookmarkEnd w:id="65"/>
    <w:bookmarkStart w:id="66" w:name="why-the-punishment-frame-fails-in-orbit"/>
    <w:p>
      <w:pPr>
        <w:pStyle w:val="Heading2"/>
        <w:spacing w:line="480" w:lineRule="auto"/>
      </w:pPr>
      <w:r>
        <w:t xml:space="preserve">Why the punishment frame fails in orbit</w:t>
      </w:r>
    </w:p>
    <w:p>
      <w:pPr>
        <w:pStyle w:val="FirstParagraph"/>
        <w:spacing w:line="480" w:lineRule="auto"/>
      </w:pPr>
      <w:r>
        <w:t xml:space="preserve">It is worth dwelling on why the default deterrence frame, the one built on retaliation, travels so poorly to the orbital domain, because the failure of that frame is what makes deterrence by observation worth the trouble of testing. On the ground and at sea, punishment-based deterrence rests on the ability to impose costs that are proportionate, attributable, and bounded. Orbit strips away all three properties at once. A kinetic response to a hostile approach fragments the target into thousands of tracked and untracked pieces, and those fragments do not respect the flag of the actor who created them. Debris from a punitive strike endangers the striker’s own constellation, the constellations of neutral parties, and the shared commons on which every space actor depends. Retaliation in this domain is closer to detonating a mine in a room you are standing in than to a measured reprisal.</w:t>
      </w:r>
    </w:p>
    <w:p>
      <w:pPr>
        <w:pStyle w:val="BodyText"/>
        <w:spacing w:line="480" w:lineRule="auto"/>
        <w:ind w:firstLine="720"/>
      </w:pPr>
      <w:r>
        <w:t xml:space="preserve">Attribution compounds the problem. A state contemplating retaliation must be confident about who did what, yet the same ambiguity that makes a close approach hard to read as hostile also makes it hard to justify a proportionate response. Work on artificial intelligence and autonomy in the domain argues that automated systems and compressed timelines make this interpretive burden heavier, not lighter, because decisions that once had hours now have minutes, and the analyst who must certify attribution is racing a clock</w:t>
      </w:r>
      <w:r>
        <w:t xml:space="preserve"> </w:t>
      </w:r>
      <w:hyperlink w:anchor="ref-1">
        <w:r>
          <w:rPr>
            <w:rStyle w:val="Hyperlink"/>
          </w:rPr>
          <w:t xml:space="preserve">[1]</w:t>
        </w:r>
      </w:hyperlink>
      <w:r>
        <w:t xml:space="preserve">. The autonomy literature also warns that machine-speed action can trigger escalation spirals that no human intended, which is precisely the outcome a responsible deterrent posture is supposed to prevent</w:t>
      </w:r>
      <w:r>
        <w:t xml:space="preserve"> </w:t>
      </w:r>
      <w:hyperlink w:anchor="ref-16">
        <w:r>
          <w:rPr>
            <w:rStyle w:val="Hyperlink"/>
          </w:rPr>
          <w:t xml:space="preserve">[16]</w:t>
        </w:r>
      </w:hyperlink>
      <w:r>
        <w:t xml:space="preserve">. If punishment is dangerous to the punisher, slow to authorize, and prone to uncontrolled escalation, then a mechanism that shapes behavior without any of those liabilities is not a curiosity. It is the more plausible instrument.</w:t>
      </w:r>
    </w:p>
    <w:p>
      <w:pPr>
        <w:pStyle w:val="BodyText"/>
        <w:spacing w:line="480" w:lineRule="auto"/>
        <w:ind w:firstLine="720"/>
      </w:pPr>
      <w:r>
        <w:t xml:space="preserve">Deterrence by observation sidesteps each liability. It generates no debris, because it fires nothing. It does not require proportionality judgments, because its consequence is disclosure rather than force. And it does not race the escalation clock, because raising a documented close approach through diplomatic channels is a deliberate act on a human timescale, not an automated reflex. The cost it imposes on a chaser is reputational and diplomatic, delivered through the near-certainty of being seen and named rather than through the threat of being struck. That is a weaker cost than retaliation, and the weakness is the point: it is a cost a coalition can actually impose, credibly and repeatedly, without endangering itself.</w:t>
      </w:r>
    </w:p>
    <w:bookmarkEnd w:id="66"/>
    <w:bookmarkStart w:id="67" w:name="the-shape-of-the-argument"/>
    <w:p>
      <w:pPr>
        <w:pStyle w:val="Heading2"/>
        <w:spacing w:line="480" w:lineRule="auto"/>
      </w:pPr>
      <w:r>
        <w:t xml:space="preserve">The shape of the argument</w:t>
      </w:r>
    </w:p>
    <w:p>
      <w:pPr>
        <w:pStyle w:val="FirstParagraph"/>
        <w:spacing w:line="480" w:lineRule="auto"/>
      </w:pPr>
      <w:r>
        <w:t xml:space="preserve">The dissertation’s argument has a definite shape, and stating it here helps the reader hold the pieces together across eight chapters. The current state of knowledge is a field divided into three conversations that rarely reference one another. One conversation treats deterrence in space as a matter of signaling, interpretation, and narrative</w:t>
      </w:r>
      <w:r>
        <w:t xml:space="preserve"> </w:t>
      </w:r>
      <w:hyperlink w:anchor="ref-1">
        <w:r>
          <w:rPr>
            <w:rStyle w:val="Hyperlink"/>
          </w:rPr>
          <w:t xml:space="preserve">[1]</w:t>
        </w:r>
      </w:hyperlink>
      <w:r>
        <w:t xml:space="preserve"> </w:t>
      </w:r>
      <w:hyperlink w:anchor="ref-8">
        <w:r>
          <w:rPr>
            <w:rStyle w:val="Hyperlink"/>
          </w:rPr>
          <w:t xml:space="preserve">[8]</w:t>
        </w:r>
      </w:hyperlink>
      <w:r>
        <w:t xml:space="preserve">. A second treats shared awareness as an institutional and architectural achievement, describing partners, hosted payloads, and coalition structures</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A third treats orbital behavior as a measurement problem, showing what can be recovered from public catalogs and how much uncertainty attends that recovery</w:t>
      </w:r>
      <w:r>
        <w:t xml:space="preserve"> </w:t>
      </w:r>
      <w:hyperlink w:anchor="ref-9">
        <w:r>
          <w:rPr>
            <w:rStyle w:val="Hyperlink"/>
          </w:rPr>
          <w:t xml:space="preserve">[9]</w:t>
        </w:r>
      </w:hyperlink>
      <w:r>
        <w:t xml:space="preserve"> </w:t>
      </w:r>
      <w:hyperlink w:anchor="ref-10">
        <w:r>
          <w:rPr>
            <w:rStyle w:val="Hyperlink"/>
          </w:rPr>
          <w:t xml:space="preserve">[10]</w:t>
        </w:r>
      </w:hyperlink>
      <w:r>
        <w:t xml:space="preserve">. Each conversation is competent within its own borders. None crosses the borders to ask whether the institutions of the second conversation produce the behavioral effect the first conversation theorizes, measured with the discipline the third conversation demands.</w:t>
      </w:r>
    </w:p>
    <w:p>
      <w:pPr>
        <w:pStyle w:val="BodyText"/>
        <w:spacing w:line="480" w:lineRule="auto"/>
        <w:ind w:firstLine="720"/>
      </w:pPr>
      <w:r>
        <w:t xml:space="preserve">The desired state is a single design that spans all three. The gap between the current and desired states is the absence of an observable behavioral test, and the consequence of that gap is that public SDA sharing can be praised as deterrence with no evidence that it deters anything at all. The dissertation closes the gap with one falsifiable proposition and a design to test it, and it prepares that design with two empirical papers that respectively establish the necessity of the test and the discipline the measurement requires. Every subsequent chapter is a component of that single argument: the literature that frames it, the theory that specifies the mechanism, the method that identifies the effect, the data that construct it, the results that ground it, the limits that bound it, and the implications that follow if the proposition is confirmed or falsified.</w:t>
      </w:r>
    </w:p>
    <w:p>
      <w:pPr>
        <w:pStyle w:val="BodyText"/>
        <w:spacing w:line="480" w:lineRule="auto"/>
        <w:ind w:firstLine="720"/>
      </w:pPr>
      <w:r>
        <w:t xml:space="preserve">Read as a whole, the introduction commits the dissertation to a posture rather than a conclusion. The posture is that a coherent, institutionally real, and measurable mechanism deserves a real test before it is either celebrated or dismissed. The chapters that follow keep that commitment by refusing every shortcut that would let the deterrence claim arrive without paying the empirical price the design sets.</w:t>
      </w:r>
    </w:p>
    <w:bookmarkEnd w:id="67"/>
    <w:bookmarkStart w:id="68" w:name="the-policy-moment-this-addresses"/>
    <w:p>
      <w:pPr>
        <w:pStyle w:val="Heading2"/>
        <w:spacing w:line="480" w:lineRule="auto"/>
      </w:pPr>
      <w:r>
        <w:t xml:space="preserve">The policy moment this addresses</w:t>
      </w:r>
    </w:p>
    <w:p>
      <w:pPr>
        <w:pStyle w:val="FirstParagraph"/>
        <w:spacing w:line="480" w:lineRule="auto"/>
      </w:pPr>
      <w:r>
        <w:t xml:space="preserve">The timing of the question is not accidental. Allied space organizations are, at this moment, deciding how much to invest in coalition awareness architectures, and the case for those investments routinely leans on an implied deterrent benefit that has never been measured</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When a partnership is justified partly by the claim that visibility discourages bad behavior, and no one has tested whether visibility discourages bad behavior, the justification is running ahead of the evidence. A dissertation that supplies the missing test speaks directly to a live budgetary and strategic choice rather than to an abstract theoretical puzzle.</w:t>
      </w:r>
    </w:p>
    <w:p>
      <w:pPr>
        <w:pStyle w:val="BodyText"/>
        <w:spacing w:line="480" w:lineRule="auto"/>
        <w:ind w:firstLine="720"/>
      </w:pPr>
      <w:r>
        <w:t xml:space="preserve">The choice matters because the alternatives to observation-based deterrence are genuinely unattractive. Punishment-based options generate debris and escalation risk in a shared commons</w:t>
      </w:r>
      <w:r>
        <w:t xml:space="preserve"> </w:t>
      </w:r>
      <w:hyperlink w:anchor="ref-1">
        <w:r>
          <w:rPr>
            <w:rStyle w:val="Hyperlink"/>
          </w:rPr>
          <w:t xml:space="preserve">[1]</w:t>
        </w:r>
      </w:hyperlink>
      <w:r>
        <w:t xml:space="preserve">. Purely defensive options, hardening satellites or maneuvering them away from threats, are expensive and reactive, and they cede the initiative to the chaser. If shared observation can shift a chaser’s calculus at the margin, it offers a form of influence that is cheap, repeatable, and non-escalatory, which is precisely the profile a coalition wants in a domain it cannot afford to militarize further. That is a large if, and the size of the if is the reason the test is worth running with care rather than asserting for convenience.</w:t>
      </w:r>
    </w:p>
    <w:p>
      <w:pPr>
        <w:pStyle w:val="BodyText"/>
        <w:spacing w:line="480" w:lineRule="auto"/>
        <w:ind w:firstLine="720"/>
      </w:pPr>
      <w:r>
        <w:t xml:space="preserve">There is a governance dimension as well. The direction of orbital governance is toward continuing supervision of in-space activity, toward decision-support systems that keep human authorities informed about who is maneuvering near whom</w:t>
      </w:r>
      <w:r>
        <w:t xml:space="preserve"> </w:t>
      </w:r>
      <w:hyperlink w:anchor="ref-23">
        <w:r>
          <w:rPr>
            <w:rStyle w:val="Hyperlink"/>
          </w:rPr>
          <w:t xml:space="preserve">[23]</w:t>
        </w:r>
      </w:hyperlink>
      <w:r>
        <w:t xml:space="preserve">. A mechanism that works through disclosure fits that governance direction naturally, because disclosure is the currency of supervision. If the behavioral study confirms the effect, observation-based deterrence becomes not a separate instrument but an emergent property of good supervision, which is a more sustainable foundation than a bolt-on deterrent posture. If the study disconfirms it, supervisors learn not to overclaim, which protects the credibility of the governance architecture they are building.</w:t>
      </w:r>
    </w:p>
    <w:p>
      <w:pPr>
        <w:pStyle w:val="BodyText"/>
        <w:spacing w:line="480" w:lineRule="auto"/>
        <w:ind w:firstLine="720"/>
      </w:pPr>
      <w:r>
        <w:t xml:space="preserve">None of this presumes the answer. The dissertation is built to inform the policy moment whichever way the evidence falls, and that even-handedness is deliberate. A test whose value depends on a particular result is not a test; it is an advocacy exercise. The design here is constructed so that a confirming result strengthens the case for coalition awareness and a disconfirming result redirects it, and both outcomes leave the field better informed than the current practice of asserting deterrence without measuring it</w:t>
      </w:r>
      <w:r>
        <w:t xml:space="preserve"> </w:t>
      </w:r>
      <w:hyperlink w:anchor="ref-8">
        <w:r>
          <w:rPr>
            <w:rStyle w:val="Hyperlink"/>
          </w:rPr>
          <w:t xml:space="preserve">[8]</w:t>
        </w:r>
      </w:hyperlink>
      <w:r>
        <w:t xml:space="preserve">.</w:t>
      </w:r>
    </w:p>
    <w:bookmarkEnd w:id="68"/>
    <w:bookmarkEnd w:id="69"/>
    <w:bookmarkStart w:id="78" w:name="chapter-2.-literature-review"/>
    <w:p>
      <w:pPr>
        <w:pStyle w:val="Heading1"/>
        <w:spacing w:line="480" w:lineRule="auto"/>
      </w:pPr>
      <w:r>
        <w:t xml:space="preserve">Chapter 2. Literature Review</w:t>
      </w:r>
    </w:p>
    <w:p>
      <w:pPr>
        <w:pStyle w:val="FirstParagraph"/>
        <w:spacing w:line="480" w:lineRule="auto"/>
      </w:pPr>
      <w:r>
        <w:t xml:space="preserve">Three bodies of work bear directly on this dissertation, and the striking fact is how seldom they cite one another. One studies deterrence and escalation control in space. A second studies the institutions and architectures of shared Space Domain Awareness. A third studies the measurement of orbital behavior from public data. Each is mature in its own terms. None supplies the observable behavioral test that would tell us whether shared awareness deters. This chapter reads the three literatures in turn, then locates the dissertation in the seam where they fail to meet.</w:t>
      </w:r>
    </w:p>
    <w:bookmarkStart w:id="70" w:name="X586be4f4ad3116bfe4bb0bf8e4171b372e8c301"/>
    <w:p>
      <w:pPr>
        <w:pStyle w:val="Heading2"/>
        <w:spacing w:line="480" w:lineRule="auto"/>
      </w:pPr>
      <w:r>
        <w:t xml:space="preserve">Deterrence and escalation control in space</w:t>
      </w:r>
    </w:p>
    <w:p>
      <w:pPr>
        <w:pStyle w:val="FirstParagraph"/>
        <w:spacing w:line="480" w:lineRule="auto"/>
      </w:pPr>
      <w:r>
        <w:t xml:space="preserve">The first literature treats deterrence as a strategic and psychological problem rather than a purely material one. Hayden and colleagues examine how artificial intelligence and autonomy in space affect deterrence and escalation control, arguing that automated systems and compressed decision cycles complicate the interpretation of adversary behavior and can make crisis stability harder to preserve</w:t>
      </w:r>
      <w:r>
        <w:t xml:space="preserve"> </w:t>
      </w:r>
      <w:hyperlink w:anchor="ref-1">
        <w:r>
          <w:rPr>
            <w:rStyle w:val="Hyperlink"/>
          </w:rPr>
          <w:t xml:space="preserve">[1]</w:t>
        </w:r>
      </w:hyperlink>
      <w:r>
        <w:t xml:space="preserve">. Their contribution is to reframe deterrence around information and interpretation, not only around the balance of forces. When machines act faster than analysts can read intent, the credibility of any deterrent posture depends on how well signals are understood, and misreading becomes a first-order risk.</w:t>
      </w:r>
    </w:p>
    <w:p>
      <w:pPr>
        <w:pStyle w:val="BodyText"/>
        <w:spacing w:line="480" w:lineRule="auto"/>
        <w:ind w:firstLine="720"/>
      </w:pPr>
      <w:r>
        <w:t xml:space="preserve">Chronopoulos pushes the same insight into peacetime. The argument there is that general deterrence in space during peacetime depends heavily on strategic narratives, on how states interpret and communicate one another’s conduct before any crisis becomes open conflict, with United States and China dynamics as the working case</w:t>
      </w:r>
      <w:r>
        <w:t xml:space="preserve"> </w:t>
      </w:r>
      <w:hyperlink w:anchor="ref-8">
        <w:r>
          <w:rPr>
            <w:rStyle w:val="Hyperlink"/>
          </w:rPr>
          <w:t xml:space="preserve">[8]</w:t>
        </w:r>
      </w:hyperlink>
      <w:r>
        <w:t xml:space="preserve">. This is deterrence understood as expectation management. It does not require a shot to be fired or even threatened. It requires that behavior be seen, framed, and folded into a shared story about what is normal and what is provocative.</w:t>
      </w:r>
    </w:p>
    <w:p>
      <w:pPr>
        <w:pStyle w:val="BodyText"/>
        <w:spacing w:line="480" w:lineRule="auto"/>
        <w:ind w:firstLine="720"/>
      </w:pPr>
      <w:r>
        <w:t xml:space="preserve">Both accounts are congenial to this dissertation because they make information central. What neither provides is a way to measure whether a specific informational change produces a specific behavioral change at the level of individual spacecraft. They motivate deterrence without punishment as a concept. They do not operationalize it. The escalation literature also warns, usefully, that faster and more autonomous systems can erode the very interpretive clarity that peacetime deterrence relies on, which means any claim that transparency deters must be tested rather than assumed</w:t>
      </w:r>
      <w:r>
        <w:t xml:space="preserve"> </w:t>
      </w:r>
      <w:hyperlink w:anchor="ref-1">
        <w:r>
          <w:rPr>
            <w:rStyle w:val="Hyperlink"/>
          </w:rPr>
          <w:t xml:space="preserve">[1]</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Governance-adjacent work sharpens the point. Poirier’s analysis of cyber operations governance across space and cyber commands shows how hard attribution and coordinated response can be when the hostile act does not announce itself</w:t>
      </w:r>
      <w:r>
        <w:t xml:space="preserve"> </w:t>
      </w:r>
      <w:hyperlink w:anchor="ref-11">
        <w:r>
          <w:rPr>
            <w:rStyle w:val="Hyperlink"/>
          </w:rPr>
          <w:t xml:space="preserve">[11]</w:t>
        </w:r>
      </w:hyperlink>
      <w:r>
        <w:t xml:space="preserve">. Deterrence by disclosure presumes that disclosure is possible and credible. In domains where the act is invisible, the presumption fails. Proximity behavior is comparatively legible, which is exactly why it is the right slice of counterspace conduct on which to test a visibility-based mechanism.</w:t>
      </w:r>
    </w:p>
    <w:bookmarkEnd w:id="70"/>
    <w:bookmarkStart w:id="71" w:name="sda-partnership-and-burden-sharing"/>
    <w:p>
      <w:pPr>
        <w:pStyle w:val="Heading2"/>
        <w:spacing w:line="480" w:lineRule="auto"/>
      </w:pPr>
      <w:r>
        <w:t xml:space="preserve">SDA partnership and burden sharing</w:t>
      </w:r>
    </w:p>
    <w:p>
      <w:pPr>
        <w:pStyle w:val="FirstParagraph"/>
        <w:spacing w:line="480" w:lineRule="auto"/>
      </w:pPr>
      <w:r>
        <w:t xml:space="preserve">The second literature describes the institutions that would carry any deterrence-by-observation effect. Its central move is to treat SDA as a coalition enterprise rather than a national sensor problem. Hale and colleagues argue for partnering rather than bossing, for better use of international capabilities in Space Domain Awareness through cooperative rather than hierarchical arrangements</w:t>
      </w:r>
      <w:r>
        <w:t xml:space="preserve"> </w:t>
      </w:r>
      <w:hyperlink w:anchor="ref-2">
        <w:r>
          <w:rPr>
            <w:rStyle w:val="Hyperlink"/>
          </w:rPr>
          <w:t xml:space="preserve">[2]</w:t>
        </w:r>
      </w:hyperlink>
      <w:r>
        <w:t xml:space="preserve">. The framing matters for this dissertation because it implies that observability is produced collectively, and a collectively produced signal is harder for a chaser to discount than a single nation’s watchfulness.</w:t>
      </w:r>
    </w:p>
    <w:p>
      <w:pPr>
        <w:pStyle w:val="BodyText"/>
        <w:spacing w:line="480" w:lineRule="auto"/>
        <w:ind w:firstLine="720"/>
      </w:pPr>
      <w:r>
        <w:t xml:space="preserve">Adjacent studies fill in the architecture. Moore and Havig describe cross-domain visualization collaboration in Project UNITY, showing how shared visualization can knit together data from multiple sources into a common operating picture</w:t>
      </w:r>
      <w:r>
        <w:t xml:space="preserve"> </w:t>
      </w:r>
      <w:hyperlink w:anchor="ref-3">
        <w:r>
          <w:rPr>
            <w:rStyle w:val="Hyperlink"/>
          </w:rPr>
          <w:t xml:space="preserve">[3]</w:t>
        </w:r>
      </w:hyperlink>
      <w:r>
        <w:t xml:space="preserve"> </w:t>
      </w:r>
      <w:hyperlink w:anchor="ref-14">
        <w:r>
          <w:rPr>
            <w:rStyle w:val="Hyperlink"/>
          </w:rPr>
          <w:t xml:space="preserve">[14]</w:t>
        </w:r>
      </w:hyperlink>
      <w:r>
        <w:t xml:space="preserve">. Davis links Australian space policy to defense burden sharing in orbit and to situational awareness, treating shared SDA as an alliance contribution as much as a national capability</w:t>
      </w:r>
      <w:r>
        <w:t xml:space="preserve"> </w:t>
      </w:r>
      <w:hyperlink w:anchor="ref-4">
        <w:r>
          <w:rPr>
            <w:rStyle w:val="Hyperlink"/>
          </w:rPr>
          <w:t xml:space="preserve">[4]</w:t>
        </w:r>
      </w:hyperlink>
      <w:r>
        <w:t xml:space="preserve">. Dailey and colleagues analyze global SDA partnership through AUKUS, framing coalition awareness in explicitly strategic and security terms</w:t>
      </w:r>
      <w:r>
        <w:t xml:space="preserve"> </w:t>
      </w:r>
      <w:hyperlink w:anchor="ref-5">
        <w:r>
          <w:rPr>
            <w:rStyle w:val="Hyperlink"/>
          </w:rPr>
          <w:t xml:space="preserve">[5]</w:t>
        </w:r>
      </w:hyperlink>
      <w:r>
        <w:t xml:space="preserve">. McCollum and colleagues present the Quasi-Zenith Satellite System Hosted Payload as a pathfinder to SDA partnerships, demonstrating that hosted sensing on an allied platform is a live element of the institutional design space</w:t>
      </w:r>
      <w:r>
        <w:t xml:space="preserve"> </w:t>
      </w:r>
      <w:hyperlink w:anchor="ref-6">
        <w:r>
          <w:rPr>
            <w:rStyle w:val="Hyperlink"/>
          </w:rPr>
          <w:t xml:space="preserve">[6]</w:t>
        </w:r>
      </w:hyperlink>
      <w:r>
        <w:t xml:space="preserve">.</w:t>
      </w:r>
    </w:p>
    <w:p>
      <w:pPr>
        <w:pStyle w:val="BodyText"/>
        <w:spacing w:line="480" w:lineRule="auto"/>
        <w:ind w:firstLine="720"/>
      </w:pPr>
      <w:r>
        <w:t xml:space="preserve">Young’s survey of global situational-awareness trends widens the frame, documenting how SSA capability is spreading across states and commercial actors rather than remaining concentrated in a few hands</w:t>
      </w:r>
      <w:r>
        <w:t xml:space="preserve"> </w:t>
      </w:r>
      <w:hyperlink w:anchor="ref-7">
        <w:r>
          <w:rPr>
            <w:rStyle w:val="Hyperlink"/>
          </w:rPr>
          <w:t xml:space="preserve">[7]</w:t>
        </w:r>
      </w:hyperlink>
      <w:r>
        <w:t xml:space="preserve">. That diffusion is double-edged for the theory. It means more eyes on orbit, which strengthens the visibility signal, but it also means more potential chasers who must be reached by that signal for deterrence to work.</w:t>
      </w:r>
    </w:p>
    <w:p>
      <w:pPr>
        <w:pStyle w:val="BodyText"/>
        <w:spacing w:line="480" w:lineRule="auto"/>
        <w:ind w:firstLine="720"/>
      </w:pPr>
      <w:r>
        <w:t xml:space="preserve">This literature is rich on structure and thin on behavioral consequence. It names partners, mechanisms, hosted payloads, and coalition architectures, and it gestures at deterrent value, yet the deterrent value is almost always a stated implication rather than an estimated effect. That pattern is not incidental. It is measurable, and Chapter 6 measures it: across the dissertation’s cited corpus, richer public-sharing design predicts explicit deterrence framing only weakly, which is the quantitative signature of two literatures that remain adjacent rather than joined</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71"/>
    <w:bookmarkStart w:id="72" w:name="orbital-measurement-from-public-data"/>
    <w:p>
      <w:pPr>
        <w:pStyle w:val="Heading2"/>
        <w:spacing w:line="480" w:lineRule="auto"/>
      </w:pPr>
      <w:r>
        <w:t xml:space="preserve">Orbital measurement from public data</w:t>
      </w:r>
    </w:p>
    <w:p>
      <w:pPr>
        <w:pStyle w:val="FirstParagraph"/>
        <w:spacing w:line="480" w:lineRule="auto"/>
      </w:pPr>
      <w:r>
        <w:t xml:space="preserve">The third literature makes the outcome observable, and it also warns how easily an observed outcome can mislead. Shorten and colleagues show that particle-filter methods can detect anomalies and maneuvers from two-line element data, the only comprehensive public orbit source for many satellites, and their validation table gives concrete component-level inserted-maneuver magnitudes</w:t>
      </w:r>
      <w:r>
        <w:t xml:space="preserve"> </w:t>
      </w:r>
      <w:hyperlink w:anchor="ref-10">
        <w:r>
          <w:rPr>
            <w:rStyle w:val="Hyperlink"/>
          </w:rPr>
          <w:t xml:space="preserve">[10]</w:t>
        </w:r>
      </w:hyperlink>
      <w:r>
        <w:t xml:space="preserve">. That result is what makes a proximity-and-maneuver outcome constructible from public records at all. It is also what forces the dissertation to treat detection as component-dependent, because the same study demonstrates that in-track signatures can sit well below radial ones in magnitude.</w:t>
      </w:r>
    </w:p>
    <w:p>
      <w:pPr>
        <w:pStyle w:val="BodyText"/>
        <w:spacing w:line="480" w:lineRule="auto"/>
        <w:ind w:firstLine="720"/>
      </w:pPr>
      <w:r>
        <w:t xml:space="preserve">Dolado-Perez and colleagues provide the broader uncertainty framework, addressing improvement of orbital-data precision and accuracy and the propagation of uncertainty through space-traffic recommendations</w:t>
      </w:r>
      <w:r>
        <w:t xml:space="preserve"> </w:t>
      </w:r>
      <w:hyperlink w:anchor="ref-9">
        <w:r>
          <w:rPr>
            <w:rStyle w:val="Hyperlink"/>
          </w:rPr>
          <w:t xml:space="preserve">[9]</w:t>
        </w:r>
      </w:hyperlink>
      <w:r>
        <w:t xml:space="preserve">. Their message is that precision, accuracy, and uncertainty realism are not background details but conditions on any inference drawn from orbital catalogs. Read together, these two works make orbital behavior measurable while insisting that measurement error be modeled rather than ignored</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measurement literature reaches into governance as well. Smith, Jah, and Wood architect a decision-support system for continuing supervision of commercial in-space servicing, which is precisely the class of activity, close controlled approach to another object, that this dissertation must distinguish from hazardous behavior</w:t>
      </w:r>
      <w:r>
        <w:t xml:space="preserve"> </w:t>
      </w:r>
      <w:hyperlink w:anchor="ref-23">
        <w:r>
          <w:rPr>
            <w:rStyle w:val="Hyperlink"/>
          </w:rPr>
          <w:t xml:space="preserve">[23]</w:t>
        </w:r>
      </w:hyperlink>
      <w:r>
        <w:t xml:space="preserve">. Their work shows that the community already needs to tell benign proximity from concerning proximity, which is the operational problem the dissertation’s outcome definition confronts. Anilkumar and colleagues extend the traffic-management frame toward cislunar and cismartian regimes, a reminder that the observability problem is expanding faster than the institutions that track it</w:t>
      </w:r>
      <w:r>
        <w:t xml:space="preserve"> </w:t>
      </w:r>
      <w:hyperlink w:anchor="ref-27">
        <w:r>
          <w:rPr>
            <w:rStyle w:val="Hyperlink"/>
          </w:rPr>
          <w:t xml:space="preserve">[27]</w:t>
        </w:r>
      </w:hyperlink>
      <w:r>
        <w:t xml:space="preserve">.</w:t>
      </w:r>
    </w:p>
    <w:bookmarkEnd w:id="72"/>
    <w:bookmarkStart w:id="73" w:name="the-gap-and-the-dissertations-position"/>
    <w:p>
      <w:pPr>
        <w:pStyle w:val="Heading2"/>
        <w:spacing w:line="480" w:lineRule="auto"/>
      </w:pPr>
      <w:r>
        <w:t xml:space="preserve">The gap and the dissertation’s position</w:t>
      </w:r>
    </w:p>
    <w:p>
      <w:pPr>
        <w:pStyle w:val="FirstParagraph"/>
        <w:spacing w:line="480" w:lineRule="auto"/>
      </w:pPr>
      <w:r>
        <w:t xml:space="preserve">Set side by side, the three literatures leave a specific hole. Deterrence work supplies a mechanism, expectation and interpretation, but no dyad-level behavioral estimate</w:t>
      </w:r>
      <w:r>
        <w:t xml:space="preserve"> </w:t>
      </w:r>
      <w:hyperlink w:anchor="ref-1">
        <w:r>
          <w:rPr>
            <w:rStyle w:val="Hyperlink"/>
          </w:rPr>
          <w:t xml:space="preserve">[1]</w:t>
        </w:r>
      </w:hyperlink>
      <w:r>
        <w:t xml:space="preserve"> </w:t>
      </w:r>
      <w:hyperlink w:anchor="ref-8">
        <w:r>
          <w:rPr>
            <w:rStyle w:val="Hyperlink"/>
          </w:rPr>
          <w:t xml:space="preserve">[8]</w:t>
        </w:r>
      </w:hyperlink>
      <w:r>
        <w:t xml:space="preserve">. Partnership work supplies institutions and observability, but treats deterrent value as an implication rather than a tested effect</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Measurement work supplies a constructible outcome, but insists that any such outcome be handled with explicit attention to uncertainty</w:t>
      </w:r>
      <w:r>
        <w:t xml:space="preserve"> </w:t>
      </w:r>
      <w:hyperlink w:anchor="ref-9">
        <w:r>
          <w:rPr>
            <w:rStyle w:val="Hyperlink"/>
          </w:rPr>
          <w:t xml:space="preserve">[9]</w:t>
        </w:r>
      </w:hyperlink>
      <w:r>
        <w:t xml:space="preserve"> </w:t>
      </w:r>
      <w:hyperlink w:anchor="ref-10">
        <w:r>
          <w:rPr>
            <w:rStyle w:val="Hyperlink"/>
          </w:rPr>
          <w:t xml:space="preserve">[10]</w:t>
        </w:r>
      </w:hyperlink>
      <w:r>
        <w:t xml:space="preserve">. No existing study joins all three into a design that could confirm or falsify the proposition that public shared observability deters hazardous proximity behavior.</w:t>
      </w:r>
    </w:p>
    <w:p>
      <w:pPr>
        <w:pStyle w:val="BodyText"/>
        <w:spacing w:line="480" w:lineRule="auto"/>
        <w:ind w:firstLine="720"/>
      </w:pPr>
      <w:r>
        <w:t xml:space="preserve">That join is the dissertation’s position. Its contribution is not a new sensor, a new alliance, or a new estimator. It is the specification of an observable test that lives exactly where the three literatures fail to touch, with treatment coded from the partnership literature’s institutions, the outcome built with the measurement literature’s discipline, and the interpretation governed by the deterrence literature’s mechanism. The chapters that follow build that join one component at a time.</w:t>
      </w:r>
    </w:p>
    <w:p>
      <w:pPr>
        <w:pStyle w:val="BodyText"/>
        <w:spacing w:line="480" w:lineRule="auto"/>
        <w:ind w:firstLine="720"/>
      </w:pPr>
      <w:r>
        <w:t xml:space="preserve">Two clarifications keep the position honest. First, the mechanism studied here is weaker than punishment and should be described that way. The consequence of public coverage is that behavior becomes more likely to be recorded, attributed, and raised in public or semi-public fora, not that a chaser is struck or sanctioned</w:t>
      </w:r>
      <w:r>
        <w:t xml:space="preserve"> </w:t>
      </w:r>
      <w:hyperlink w:anchor="ref-8">
        <w:r>
          <w:rPr>
            <w:rStyle w:val="Hyperlink"/>
          </w:rPr>
          <w:t xml:space="preserve">[8]</w:t>
        </w:r>
      </w:hyperlink>
      <w:r>
        <w:t xml:space="preserve"> </w:t>
      </w:r>
      <w:hyperlink w:anchor="ref-11">
        <w:r>
          <w:rPr>
            <w:rStyle w:val="Hyperlink"/>
          </w:rPr>
          <w:t xml:space="preserve">[11]</w:t>
        </w:r>
      </w:hyperlink>
      <w:r>
        <w:t xml:space="preserve">. Second, the institutional sources describe operational collaboration whose immediate purpose is awareness, visualization, or alliance capacity, not coercion</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Reading deterrence out of those purposes without a behavioral test would repeat the exact error the dissertation is built to avoid.</w:t>
      </w:r>
    </w:p>
    <w:bookmarkEnd w:id="73"/>
    <w:bookmarkStart w:id="74" w:name="Xd06e8368f142f34bdf7d0a52f3aa747dcb715bf"/>
    <w:p>
      <w:pPr>
        <w:pStyle w:val="Heading2"/>
        <w:spacing w:line="480" w:lineRule="auto"/>
      </w:pPr>
      <w:r>
        <w:t xml:space="preserve">Deterrence theory beyond the space literature</w:t>
      </w:r>
    </w:p>
    <w:p>
      <w:pPr>
        <w:pStyle w:val="FirstParagraph"/>
        <w:spacing w:line="480" w:lineRule="auto"/>
      </w:pPr>
      <w:r>
        <w:t xml:space="preserve">The space-specific deterrence writing does not exist in a vacuum, and reading it against the broader deterrence tradition sharpens what is genuinely new here. Classical deterrence theory distinguishes deterrence by punishment from deterrence by denial: the first threatens unacceptable retaliation, the second makes the adversary’s objective too costly or unlikely to achieve. The mechanism this dissertation studies fits neither category cleanly, which is part of why the space literature has struggled to name it. It is not punishment, because no penalty is threatened. It is not quite denial, because the chaser is not physically prevented from approaching. It is a third thing, deterrence by exposure, in which the deterrent works by raising the probability that an act will be observed, attributed, and answered through non-forcible channels.</w:t>
      </w:r>
    </w:p>
    <w:p>
      <w:pPr>
        <w:pStyle w:val="BodyText"/>
        <w:spacing w:line="480" w:lineRule="auto"/>
        <w:ind w:firstLine="720"/>
      </w:pPr>
      <w:r>
        <w:t xml:space="preserve">The space deterrence sources gesture at this third category without formalizing it. Hayden and colleagues treat interpretation and signaling as central, which pushes deterrence toward an informational reading, but their focus is on how autonomy complicates interpretation rather than on how deliberate transparency might exploit it</w:t>
      </w:r>
      <w:r>
        <w:t xml:space="preserve"> </w:t>
      </w:r>
      <w:hyperlink w:anchor="ref-1">
        <w:r>
          <w:rPr>
            <w:rStyle w:val="Hyperlink"/>
          </w:rPr>
          <w:t xml:space="preserve">[1]</w:t>
        </w:r>
      </w:hyperlink>
      <w:r>
        <w:t xml:space="preserve">. Chronopoulos comes closest, because peacetime deterrence through strategic narratives is exactly a story about expectation and audience rather than force, yet the narratives frame operates at the level of state discourse, not at the level of an individual operator’s decision to approach a specific satellite</w:t>
      </w:r>
      <w:r>
        <w:t xml:space="preserve"> </w:t>
      </w:r>
      <w:hyperlink w:anchor="ref-8">
        <w:r>
          <w:rPr>
            <w:rStyle w:val="Hyperlink"/>
          </w:rPr>
          <w:t xml:space="preserve">[8]</w:t>
        </w:r>
      </w:hyperlink>
      <w:r>
        <w:t xml:space="preserve">. The dissertation’s contribution is to take the informational insight those works supply and locate it where behavior can be observed: the dyad, the month, the close approach.</w:t>
      </w:r>
    </w:p>
    <w:p>
      <w:pPr>
        <w:pStyle w:val="BodyText"/>
        <w:spacing w:line="480" w:lineRule="auto"/>
        <w:ind w:firstLine="720"/>
      </w:pPr>
      <w:r>
        <w:t xml:space="preserve">This relocation matters because deterrence claims are notoriously hard to test. The classic problem is that successful deterrence produces a non-event, and non-events are difficult to distinguish from situations in which the adversary never intended to act. The space literature inherits this problem in full. When a state announces a coalition awareness arrangement and no hostile approaches follow, the announcement’s defenders can call it deterrence, while skeptics can call it coincidence, and neither side has a way to adjudicate. The event-study design this dissertation develops is a response to exactly that impasse, because it compares the rate of hazardous approaches before and after coverage, across treated and untreated dyads, so that the non-event is measured against a credible counterfactual rather than asserted as a victory</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bookmarkEnd w:id="74"/>
    <w:bookmarkStart w:id="75" w:name="X7a8c609d7a37839dfda77cb9f04eb1ff114af71"/>
    <w:p>
      <w:pPr>
        <w:pStyle w:val="Heading2"/>
        <w:spacing w:line="480" w:lineRule="auto"/>
      </w:pPr>
      <w:r>
        <w:t xml:space="preserve">The partnership literature’s implicit theory of effect</w:t>
      </w:r>
    </w:p>
    <w:p>
      <w:pPr>
        <w:pStyle w:val="FirstParagraph"/>
        <w:spacing w:line="480" w:lineRule="auto"/>
      </w:pPr>
      <w:r>
        <w:t xml:space="preserve">The partnership literature carries an implicit theory of effect that deserves to be made explicit, because once stated it can be tested rather than assumed. When Hale and colleagues argue for partnering rather than bossing, the unstated premise is that pooled international capability produces awareness that is more complete, more credible, and harder to evade than any single nation’s</w:t>
      </w:r>
      <w:r>
        <w:t xml:space="preserve"> </w:t>
      </w:r>
      <w:hyperlink w:anchor="ref-2">
        <w:r>
          <w:rPr>
            <w:rStyle w:val="Hyperlink"/>
          </w:rPr>
          <w:t xml:space="preserve">[2]</w:t>
        </w:r>
      </w:hyperlink>
      <w:r>
        <w:t xml:space="preserve">. When Moore and Havig describe cross-domain visualization, the premise is that fused visualization turns scattered observations into a shared picture that partners can act on together</w:t>
      </w:r>
      <w:r>
        <w:t xml:space="preserve"> </w:t>
      </w:r>
      <w:hyperlink w:anchor="ref-3">
        <w:r>
          <w:rPr>
            <w:rStyle w:val="Hyperlink"/>
          </w:rPr>
          <w:t xml:space="preserve">[3]</w:t>
        </w:r>
      </w:hyperlink>
      <w:r>
        <w:t xml:space="preserve"> </w:t>
      </w:r>
      <w:hyperlink w:anchor="ref-14">
        <w:r>
          <w:rPr>
            <w:rStyle w:val="Hyperlink"/>
          </w:rPr>
          <w:t xml:space="preserve">[14]</w:t>
        </w:r>
      </w:hyperlink>
      <w:r>
        <w:t xml:space="preserve">. When Davis frames Australian participation as burden sharing, the premise is that distributed contribution both lowers cost and widens the coalition’s collective field of view</w:t>
      </w:r>
      <w:r>
        <w:t xml:space="preserve"> </w:t>
      </w:r>
      <w:hyperlink w:anchor="ref-4">
        <w:r>
          <w:rPr>
            <w:rStyle w:val="Hyperlink"/>
          </w:rPr>
          <w:t xml:space="preserve">[4]</w:t>
        </w:r>
      </w:hyperlink>
      <w:r>
        <w:t xml:space="preserve"> </w:t>
      </w:r>
      <w:hyperlink w:anchor="ref-15">
        <w:r>
          <w:rPr>
            <w:rStyle w:val="Hyperlink"/>
          </w:rPr>
          <w:t xml:space="preserve">[15]</w:t>
        </w:r>
      </w:hyperlink>
      <w:r>
        <w:t xml:space="preserve">. When Dailey and colleagues analyze AUKUS partnership, the premise is that alliance-level awareness carries strategic weight beyond its technical output</w:t>
      </w:r>
      <w:r>
        <w:t xml:space="preserve"> </w:t>
      </w:r>
      <w:hyperlink w:anchor="ref-5">
        <w:r>
          <w:rPr>
            <w:rStyle w:val="Hyperlink"/>
          </w:rPr>
          <w:t xml:space="preserve">[5]</w:t>
        </w:r>
      </w:hyperlink>
      <w:r>
        <w:t xml:space="preserve"> </w:t>
      </w:r>
      <w:hyperlink w:anchor="ref-17">
        <w:r>
          <w:rPr>
            <w:rStyle w:val="Hyperlink"/>
          </w:rPr>
          <w:t xml:space="preserve">[17]</w:t>
        </w:r>
      </w:hyperlink>
      <w:r>
        <w:t xml:space="preserve">. And when McCollum and colleagues present hosted sensing as a pathfinder, the premise is that allied platforms can carry sensing that extends coverage into regimes a single nation could not reach alone</w:t>
      </w:r>
      <w:r>
        <w:t xml:space="preserve"> </w:t>
      </w:r>
      <w:hyperlink w:anchor="ref-6">
        <w:r>
          <w:rPr>
            <w:rStyle w:val="Hyperlink"/>
          </w:rPr>
          <w:t xml:space="preserve">[6]</w:t>
        </w:r>
      </w:hyperlink>
      <w:r>
        <w:t xml:space="preserve"> </w:t>
      </w:r>
      <w:hyperlink w:anchor="ref-18">
        <w:r>
          <w:rPr>
            <w:rStyle w:val="Hyperlink"/>
          </w:rPr>
          <w:t xml:space="preserve">[18]</w:t>
        </w:r>
      </w:hyperlink>
      <w:r>
        <w:t xml:space="preserve">.</w:t>
      </w:r>
    </w:p>
    <w:p>
      <w:pPr>
        <w:pStyle w:val="BodyText"/>
        <w:spacing w:line="480" w:lineRule="auto"/>
        <w:ind w:firstLine="720"/>
      </w:pPr>
      <w:r>
        <w:t xml:space="preserve">Every one of these premises implies a behavioral consequence, and none of the sources estimates it. That is not a criticism of the sources, which set out to describe institutions, not to run behavioral studies. It is a description of the seam the dissertation fills. The partnership literature supplies a rich, specific account of how observability is produced collectively; it simply stops at the point where one would ask whether that collective observability changes what potential chasers do. The dissertation picks up exactly there, treating the institutions the partnership literature documents as the treatment whose behavioral effect it estimates</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Young’s survey of global situational-awareness trends is instructive on why the behavioral question is now tractable in a way it was not a decade ago</w:t>
      </w:r>
      <w:r>
        <w:t xml:space="preserve"> </w:t>
      </w:r>
      <w:hyperlink w:anchor="ref-7">
        <w:r>
          <w:rPr>
            <w:rStyle w:val="Hyperlink"/>
          </w:rPr>
          <w:t xml:space="preserve">[7]</w:t>
        </w:r>
      </w:hyperlink>
      <w:r>
        <w:t xml:space="preserve">. As awareness capability diffuses across states and commercial providers, the coalition’s collective field of view widens and public data grow denser, which both strengthens the visibility signal and creates the record from which behavior can be measured. The same diffusion, though, multiplies the potential chasers who must receive the signal, which is why the dissertation’s mechanism is explicitly bounded to publicly knowable coverage. Diffusion helps the measurement and complicates the mechanism in the same motion, and a serious design has to hold both facts at once.</w:t>
      </w:r>
    </w:p>
    <w:bookmarkEnd w:id="75"/>
    <w:bookmarkStart w:id="76" w:name="where-measurement-meets-governance"/>
    <w:p>
      <w:pPr>
        <w:pStyle w:val="Heading2"/>
        <w:spacing w:line="480" w:lineRule="auto"/>
      </w:pPr>
      <w:r>
        <w:t xml:space="preserve">Where measurement meets governance</w:t>
      </w:r>
    </w:p>
    <w:p>
      <w:pPr>
        <w:pStyle w:val="FirstParagraph"/>
        <w:spacing w:line="480" w:lineRule="auto"/>
      </w:pPr>
      <w:r>
        <w:t xml:space="preserve">The measurement literature’s relevance is not only technical; it reaches into the governance debates that give the dissertation its stakes. Smith, Jah, and Wood’s decision-support architecture for continuing supervision of commercial in-space servicing is a governance response to a measurement fact: as more operators conduct controlled close approaches for legitimate reasons, the community needs a principled way to tell benign proximity from concerning proximity</w:t>
      </w:r>
      <w:r>
        <w:t xml:space="preserve"> </w:t>
      </w:r>
      <w:hyperlink w:anchor="ref-23">
        <w:r>
          <w:rPr>
            <w:rStyle w:val="Hyperlink"/>
          </w:rPr>
          <w:t xml:space="preserve">[23]</w:t>
        </w:r>
      </w:hyperlink>
      <w:r>
        <w:t xml:space="preserve">. This is the same distinction the dissertation’s outcome definition must draw, which is why the measurement and governance literatures are not separable here. A study that cannot distinguish servicing from stalking cannot claim to measure deterrence of the latter.</w:t>
      </w:r>
    </w:p>
    <w:p>
      <w:pPr>
        <w:pStyle w:val="BodyText"/>
        <w:spacing w:line="480" w:lineRule="auto"/>
        <w:ind w:firstLine="720"/>
      </w:pPr>
      <w:r>
        <w:t xml:space="preserve">Dolado-Perez and colleagues supply the uncertainty framework that any such distinction requires, insisting that precision, accuracy, and uncertainty realism condition every inference from orbital catalogs</w:t>
      </w:r>
      <w:r>
        <w:t xml:space="preserve"> </w:t>
      </w:r>
      <w:hyperlink w:anchor="ref-9">
        <w:r>
          <w:rPr>
            <w:rStyle w:val="Hyperlink"/>
          </w:rPr>
          <w:t xml:space="preserve">[9]</w:t>
        </w:r>
      </w:hyperlink>
      <w:r>
        <w:t xml:space="preserve">. Shorten and colleagues supply the detection methods and, in their validation table, the concrete evidence that detectability varies by maneuver component</w:t>
      </w:r>
      <w:r>
        <w:t xml:space="preserve"> </w:t>
      </w:r>
      <w:hyperlink w:anchor="ref-10">
        <w:r>
          <w:rPr>
            <w:rStyle w:val="Hyperlink"/>
          </w:rPr>
          <w:t xml:space="preserve">[10]</w:t>
        </w:r>
      </w:hyperlink>
      <w:r>
        <w:t xml:space="preserve">. Together these works make the outcome constructible and simultaneously warn against overconfidence in it, a tension the dissertation resolves by treating measurement as part of identification rather than as a preliminary to it. The governance payoff is direct: a supervision architecture built on component-blind detection will systematically under-observe an entire class of maneuvers, and the dissertation’s second empirical paper quantifies exactly how large that blind spot can be</w:t>
      </w:r>
      <w:r>
        <w:t xml:space="preserve"> </w:t>
      </w:r>
      <w:hyperlink w:anchor="ref-10">
        <w:r>
          <w:rPr>
            <w:rStyle w:val="Hyperlink"/>
          </w:rPr>
          <w:t xml:space="preserve">[10]</w:t>
        </w:r>
      </w:hyperlink>
      <w:r>
        <w:t xml:space="preserve"> </w:t>
      </w:r>
      <w:hyperlink w:anchor="ref-23">
        <w:r>
          <w:rPr>
            <w:rStyle w:val="Hyperlink"/>
          </w:rPr>
          <w:t xml:space="preserve">[23]</w:t>
        </w:r>
      </w:hyperlink>
      <w:r>
        <w:t xml:space="preserve">.</w:t>
      </w:r>
    </w:p>
    <w:bookmarkEnd w:id="76"/>
    <w:bookmarkStart w:id="77" w:name="Xb0eb313a7cb170460cccff3a24c02b72ab591c2"/>
    <w:p>
      <w:pPr>
        <w:pStyle w:val="Heading2"/>
        <w:spacing w:line="480" w:lineRule="auto"/>
      </w:pPr>
      <w:r>
        <w:t xml:space="preserve">What prior empirical designs have and have not done</w:t>
      </w:r>
    </w:p>
    <w:p>
      <w:pPr>
        <w:pStyle w:val="FirstParagraph"/>
        <w:spacing w:line="480" w:lineRule="auto"/>
      </w:pPr>
      <w:r>
        <w:t xml:space="preserve">A fair reading of the field must acknowledge what empirical work already exists, because the gap this dissertation fills is specific rather than total. There is substantial empirical work on orbital measurement: methods for detecting maneuvers from public element sets, characterizations of catalog precision, and reinforcement-learning approaches to sensor tasking all rest on real data and real estimation</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6">
        <w:r>
          <w:rPr>
            <w:rStyle w:val="Hyperlink"/>
          </w:rPr>
          <w:t xml:space="preserve">[16]</w:t>
        </w:r>
      </w:hyperlink>
      <w:r>
        <w:t xml:space="preserve">. There is also descriptive empirical work on the spread of situational-awareness capability, documenting which actors hold which sensors and how coverage has grown</w:t>
      </w:r>
      <w:r>
        <w:t xml:space="preserve"> </w:t>
      </w:r>
      <w:hyperlink w:anchor="ref-7">
        <w:r>
          <w:rPr>
            <w:rStyle w:val="Hyperlink"/>
          </w:rPr>
          <w:t xml:space="preserve">[7]</w:t>
        </w:r>
      </w:hyperlink>
      <w:r>
        <w:t xml:space="preserve">. The empirical tradition in this domain is therefore not absent; it is concentrated on measurement and description rather than on behavioral causation.</w:t>
      </w:r>
    </w:p>
    <w:p>
      <w:pPr>
        <w:pStyle w:val="BodyText"/>
        <w:spacing w:line="480" w:lineRule="auto"/>
        <w:ind w:firstLine="720"/>
      </w:pPr>
      <w:r>
        <w:t xml:space="preserve">What is missing is a behavioral-causal design. No existing study takes an institutional treatment, public coverage by a sharing arrangement, and estimates its effect on the subsequent conduct of other actors’ spacecraft using a credible counterfactual. The deterrence literature theorizes behavioral effects without estimating them; the measurement literature estimates orbital quantities without connecting them to an institutional treatment; the descriptive literature maps capability without asking whether capability changes conduct</w:t>
      </w:r>
      <w:r>
        <w:t xml:space="preserve"> </w:t>
      </w:r>
      <w:hyperlink w:anchor="ref-1">
        <w:r>
          <w:rPr>
            <w:rStyle w:val="Hyperlink"/>
          </w:rPr>
          <w:t xml:space="preserve">[1]</w:t>
        </w:r>
      </w:hyperlink>
      <w:r>
        <w:t xml:space="preserve"> </w:t>
      </w:r>
      <w:hyperlink w:anchor="ref-7">
        <w:r>
          <w:rPr>
            <w:rStyle w:val="Hyperlink"/>
          </w:rPr>
          <w:t xml:space="preserve">[7]</w:t>
        </w:r>
      </w:hyperlink>
      <w:r>
        <w:t xml:space="preserve"> </w:t>
      </w:r>
      <w:hyperlink w:anchor="ref-9">
        <w:r>
          <w:rPr>
            <w:rStyle w:val="Hyperlink"/>
          </w:rPr>
          <w:t xml:space="preserve">[9]</w:t>
        </w:r>
      </w:hyperlink>
      <w:r>
        <w:t xml:space="preserve">. The dissertation’s design is novel not because it invents new data or new estimators but because it points existing data and standard causal-inference machinery at a question the three literatures have each declined to ask.</w:t>
      </w:r>
    </w:p>
    <w:p>
      <w:pPr>
        <w:pStyle w:val="BodyText"/>
        <w:spacing w:line="480" w:lineRule="auto"/>
        <w:ind w:firstLine="720"/>
      </w:pPr>
      <w:r>
        <w:t xml:space="preserve">This positioning also explains the dissertation’s methodological modesty. It does not propose an exotic estimator; a staggered difference-in-differences event study is a workhorse of applied causal inference. The novelty is in the application: bringing that workhorse to bear on an orbital-behavior outcome, with an institutional treatment coded from public records and a measurement layer disciplined by the orbital-data literature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contribution is the join, and the join is valuable precisely because each of its components is well understood in isolation while their combination has never been assembled. A reader skeptical of methodological fashion should find this reassuring: the design’s credibility rests on established methods applied honestly, not on a clever technique whose properties are themselves in doubt.</w:t>
      </w:r>
    </w:p>
    <w:p>
      <w:pPr>
        <w:pStyle w:val="BodyText"/>
        <w:spacing w:line="480" w:lineRule="auto"/>
        <w:ind w:firstLine="720"/>
      </w:pPr>
      <w:r>
        <w:t xml:space="preserve">The literature review therefore closes on a precise claim about the state of knowledge. The field knows how to theorize deterrence, how to build sharing institutions, and how to measure orbital behavior, and it has done each of these things competently</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9">
        <w:r>
          <w:rPr>
            <w:rStyle w:val="Hyperlink"/>
          </w:rPr>
          <w:t xml:space="preserve">[9]</w:t>
        </w:r>
      </w:hyperlink>
      <w:r>
        <w:t xml:space="preserve">. It does not know whether the institutions produce the behavior the theory predicts, because no one has connected the three with a design that could answer the question. That unanswered question, sitting in plain sight at the intersection of three mature literatures, is the space the remaining chapters occupy.</w:t>
      </w:r>
    </w:p>
    <w:bookmarkEnd w:id="77"/>
    <w:bookmarkEnd w:id="78"/>
    <w:bookmarkStart w:id="87" w:name="chapter-3.-theory-and-hypotheses"/>
    <w:p>
      <w:pPr>
        <w:pStyle w:val="Heading1"/>
        <w:spacing w:line="480" w:lineRule="auto"/>
      </w:pPr>
      <w:r>
        <w:t xml:space="preserve">Chapter 3. Theory and Hypotheses</w:t>
      </w:r>
    </w:p>
    <w:p>
      <w:pPr>
        <w:pStyle w:val="FirstParagraph"/>
        <w:spacing w:line="480" w:lineRule="auto"/>
      </w:pPr>
      <w:r>
        <w:t xml:space="preserve">Why would a satellite operator behave differently near a target simply because that target’s owner joined a coalition that shares tracking data? The answer this dissertation defends is that the operator’s expected cost of a hazardous approach rises, not because retaliation becomes more likely, but because detection, attribution, and coordinated response become more likely. This chapter builds that mechanism carefully, states the assumptions it rests on, and derives the predictions that make it testable. The theory is deliberately probabilistic. It does not claim that every chaser behaves safely once a target is covered. It claims that public coverage shifts the distribution of behavior in a direction the data can register.</w:t>
      </w:r>
    </w:p>
    <w:bookmarkStart w:id="79" w:name="the-expectation-channel"/>
    <w:p>
      <w:pPr>
        <w:pStyle w:val="Heading2"/>
        <w:spacing w:line="480" w:lineRule="auto"/>
      </w:pPr>
      <w:r>
        <w:t xml:space="preserve">The expectation channel</w:t>
      </w:r>
    </w:p>
    <w:p>
      <w:pPr>
        <w:pStyle w:val="FirstParagraph"/>
        <w:spacing w:line="480" w:lineRule="auto"/>
      </w:pPr>
      <w:r>
        <w:t xml:space="preserve">Begin with the decision facing an operator considering a close, low-relative-velocity approach to another actor’s satellite. Such an approach yields some benefit, whether intelligence, signaling, rehearsal, or the option value of proximity, and it carries some expected cost. The expected cost is the product of three probabilities and the consequence that follows them: the probability the approach is detected, the probability it is correctly attributed to the operator, and the probability that attribution triggers a response the operator would rather avoid, whether diplomatic protest, reputational damage, or alliance-level scrutiny.</w:t>
      </w:r>
    </w:p>
    <w:p>
      <w:pPr>
        <w:pStyle w:val="BodyText"/>
        <w:spacing w:line="480" w:lineRule="auto"/>
        <w:ind w:firstLine="720"/>
      </w:pPr>
      <w:r>
        <w:t xml:space="preserve">Public SDA sharing acts on the first two probabilities directly and on the third indirectly. When a target’s owner is covered by a coalition arrangement, the approach is more likely to be seen, because more sensors and more analysts are pointed at that object, and shared visualization lets partners fuse observations into one picture rather than several partial ones</w:t>
      </w:r>
      <w:r>
        <w:t xml:space="preserve"> </w:t>
      </w:r>
      <w:hyperlink w:anchor="ref-2">
        <w:r>
          <w:rPr>
            <w:rStyle w:val="Hyperlink"/>
          </w:rPr>
          <w:t xml:space="preserve">[2]</w:t>
        </w:r>
      </w:hyperlink>
      <w:r>
        <w:t xml:space="preserve"> </w:t>
      </w:r>
      <w:hyperlink w:anchor="ref-3">
        <w:r>
          <w:rPr>
            <w:rStyle w:val="Hyperlink"/>
          </w:rPr>
          <w:t xml:space="preserve">[3]</w:t>
        </w:r>
      </w:hyperlink>
      <w:r>
        <w:t xml:space="preserve">. It is more likely to be attributed, because coalition data-sharing raises confidence that the object doing the approaching can be named</w:t>
      </w:r>
      <w:r>
        <w:t xml:space="preserve"> </w:t>
      </w:r>
      <w:hyperlink w:anchor="ref-5">
        <w:r>
          <w:rPr>
            <w:rStyle w:val="Hyperlink"/>
          </w:rPr>
          <w:t xml:space="preserve">[5]</w:t>
        </w:r>
      </w:hyperlink>
      <w:r>
        <w:t xml:space="preserve"> </w:t>
      </w:r>
      <w:hyperlink w:anchor="ref-6">
        <w:r>
          <w:rPr>
            <w:rStyle w:val="Hyperlink"/>
          </w:rPr>
          <w:t xml:space="preserve">[6]</w:t>
        </w:r>
      </w:hyperlink>
      <w:r>
        <w:t xml:space="preserve">. And attribution is more likely to matter, because a coalition has standing channels through which to raise the event, which is what turns a quiet observation into a public or semi-public consequence</w:t>
      </w:r>
      <w:r>
        <w:t xml:space="preserve"> </w:t>
      </w:r>
      <w:hyperlink w:anchor="ref-8">
        <w:r>
          <w:rPr>
            <w:rStyle w:val="Hyperlink"/>
          </w:rPr>
          <w:t xml:space="preserve">[8]</w:t>
        </w:r>
      </w:hyperlink>
      <w:r>
        <w:t xml:space="preserve">.</w:t>
      </w:r>
    </w:p>
    <w:p>
      <w:pPr>
        <w:pStyle w:val="BodyText"/>
        <w:spacing w:line="480" w:lineRule="auto"/>
        <w:ind w:firstLine="720"/>
      </w:pPr>
      <w:r>
        <w:t xml:space="preserve">The mechanism is therefore informational, and its currency is expectation rather than force. A chaser that expects to be seen and named by a coalition faces a higher expected cost than one that expects to operate in the dark, even if no party ever threatens harm. This is deterrence without punishment: the deterrent is the near-certainty of legible, attributable visibility, and the residual cost is the response that visibility makes possible.</w:t>
      </w:r>
    </w:p>
    <w:bookmarkEnd w:id="79"/>
    <w:bookmarkStart w:id="80" w:name="assumptions-the-mechanism-requires"/>
    <w:p>
      <w:pPr>
        <w:pStyle w:val="Heading2"/>
        <w:spacing w:line="480" w:lineRule="auto"/>
      </w:pPr>
      <w:r>
        <w:t xml:space="preserve">Assumptions the mechanism requires</w:t>
      </w:r>
    </w:p>
    <w:p>
      <w:pPr>
        <w:pStyle w:val="FirstParagraph"/>
        <w:spacing w:line="480" w:lineRule="auto"/>
      </w:pPr>
      <w:r>
        <w:t xml:space="preserve">The mechanism holds only under conditions that must be stated so they can be checked. Three assumptions do the work.</w:t>
      </w:r>
    </w:p>
    <w:p>
      <w:pPr>
        <w:pStyle w:val="BodyText"/>
        <w:spacing w:line="480" w:lineRule="auto"/>
        <w:ind w:firstLine="720"/>
      </w:pPr>
      <w:r>
        <w:t xml:space="preserve">The first is knowledge. A potential chaser must know, or reasonably infer, that observability has increased. This is why the treatment is public SDA-sharing coverage rather than sharing in the abstract. Classified arrangements cannot deter through expectation, because the expectation channel is closed to the actor whose behavior is at issue</w:t>
      </w:r>
      <w:r>
        <w:t xml:space="preserve"> </w:t>
      </w:r>
      <w:hyperlink w:anchor="ref-8">
        <w:r>
          <w:rPr>
            <w:rStyle w:val="Hyperlink"/>
          </w:rPr>
          <w:t xml:space="preserve">[8]</w:t>
        </w:r>
      </w:hyperlink>
      <w:r>
        <w:t xml:space="preserve">. Coverage that is announced, published in partnership records, or marked by a hosted-payload milestone is coverage a chaser can price in</w:t>
      </w:r>
      <w:r>
        <w:t xml:space="preserve"> </w:t>
      </w:r>
      <w:hyperlink w:anchor="ref-6">
        <w:r>
          <w:rPr>
            <w:rStyle w:val="Hyperlink"/>
          </w:rPr>
          <w:t xml:space="preserve">[6]</w:t>
        </w:r>
      </w:hyperlink>
      <w:r>
        <w:t xml:space="preserve">.</w:t>
      </w:r>
    </w:p>
    <w:p>
      <w:pPr>
        <w:pStyle w:val="BodyText"/>
        <w:spacing w:line="480" w:lineRule="auto"/>
        <w:ind w:firstLine="720"/>
      </w:pPr>
      <w:r>
        <w:t xml:space="preserve">The second is legibility. The behavior at issue must be the kind that shared awareness can actually detect and attribute. Proximity behavior qualifies, because close approaches leave orbital signatures that public catalogs and conjunction data can register</w:t>
      </w:r>
      <w:r>
        <w:t xml:space="preserve"> </w:t>
      </w:r>
      <w:hyperlink w:anchor="ref-10">
        <w:r>
          <w:rPr>
            <w:rStyle w:val="Hyperlink"/>
          </w:rPr>
          <w:t xml:space="preserve">[10]</w:t>
        </w:r>
      </w:hyperlink>
      <w:r>
        <w:t xml:space="preserve">. Forms of interference that leave no orbital signature, such as cyber intrusion or electronic attack, do not qualify, because visibility cannot rise for behavior that visibility cannot see</w:t>
      </w:r>
      <w:r>
        <w:t xml:space="preserve"> </w:t>
      </w:r>
      <w:hyperlink w:anchor="ref-11">
        <w:r>
          <w:rPr>
            <w:rStyle w:val="Hyperlink"/>
          </w:rPr>
          <w:t xml:space="preserve">[11]</w:t>
        </w:r>
      </w:hyperlink>
      <w:r>
        <w:t xml:space="preserve">. The theory is bounded to the legible slice of counterspace conduct on purpose.</w:t>
      </w:r>
    </w:p>
    <w:p>
      <w:pPr>
        <w:pStyle w:val="BodyText"/>
        <w:spacing w:line="480" w:lineRule="auto"/>
        <w:ind w:firstLine="720"/>
      </w:pPr>
      <w:r>
        <w:t xml:space="preserve">The third is non-partnership. The deterrent should bite on chasers outside the arrangement, for whom increased coalition observability is a genuine change in expected cost. For partner operators, coalition awareness is not new information about their exposure, so their behavior should not move on the treatment date. This asymmetry is not a nuisance; it is a prediction, and a valuable one, because a mechanism that moved partner and nonpartner behavior identically would be a confound rather than deterrence.</w:t>
      </w:r>
    </w:p>
    <w:bookmarkEnd w:id="80"/>
    <w:bookmarkStart w:id="81" w:name="from-mechanism-to-hypotheses"/>
    <w:p>
      <w:pPr>
        <w:pStyle w:val="Heading2"/>
        <w:spacing w:line="480" w:lineRule="auto"/>
      </w:pPr>
      <w:r>
        <w:t xml:space="preserve">From mechanism to hypotheses</w:t>
      </w:r>
    </w:p>
    <w:p>
      <w:pPr>
        <w:pStyle w:val="FirstParagraph"/>
        <w:spacing w:line="480" w:lineRule="auto"/>
      </w:pPr>
      <w:r>
        <w:t xml:space="preserve">The mechanism yields a primary hypothesis and a set of auxiliary predictions that discipline its interpretation. Let the outcome be the monthly count of hazardous proximity events by nonpartner chasers against a target, and let treatment switch on in the first full month after the target’s owner becomes publicly covered.</w:t>
      </w:r>
    </w:p>
    <w:p>
      <w:pPr>
        <w:pStyle w:val="BodyText"/>
        <w:spacing w:line="480" w:lineRule="auto"/>
        <w:ind w:firstLine="720"/>
      </w:pPr>
      <w:r>
        <w:t xml:space="preserve">The null hypothesis states that public coverage has no effect on the rate of hazardous proximity events by nonpartner spacecraft. The directional alternative states that public coverage reduces that rate. The parameter that adjudicates them is the post-treatment coefficient in the event-study specification developed in Chapter 4. A negative, statistically credible coefficient is consistent with deterrence; a null or positive coefficient is not.</w:t>
      </w:r>
    </w:p>
    <w:p>
      <w:pPr>
        <w:pStyle w:val="BodyText"/>
        <w:spacing w:line="480" w:lineRule="auto"/>
        <w:ind w:firstLine="720"/>
      </w:pPr>
      <w:r>
        <w:t xml:space="preserve">Three auxiliary predictions follow from the assumptions and are as important as the main test, because each is a way the deterrence reading can fail. First, timing: the reduction must appear after public coverage, not before. If nonpartner behavior changes in the months leading up to coverage, the more likely story is that coverage responds to threat rather than the reverse, and the causal arrow is inverted</w:t>
      </w:r>
      <w:r>
        <w:t xml:space="preserve"> </w:t>
      </w:r>
      <w:hyperlink w:anchor="ref-1">
        <w:r>
          <w:rPr>
            <w:rStyle w:val="Hyperlink"/>
          </w:rPr>
          <w:t xml:space="preserve">[1]</w:t>
        </w:r>
      </w:hyperlink>
      <w:r>
        <w:t xml:space="preserve">. Second, targeting: the reduction should concentrate among nonpartner chasers and should not appear among partner chasers. A uniform reduction across both groups points to a common shock rather than a visibility effect. Third, robustness to measurement: the reduction should survive alternative miss-distance and relative-velocity thresholds and should not be an artifact of which component directions the public record happens to make visible</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Each prediction is a warrant with a defeater attached. Deterrence needs an expectation channel; public sharing supplies the visibility signal; orbital records supply the measurable outcome; the event-study timing supplies the test that separates deterrence from selection. If any warrant fails its defeater, the claim does not stand.</w:t>
      </w:r>
    </w:p>
    <w:bookmarkEnd w:id="81"/>
    <w:bookmarkStart w:id="82" w:name="rival-explanations-the-theory-must-beat"/>
    <w:p>
      <w:pPr>
        <w:pStyle w:val="Heading2"/>
        <w:spacing w:line="480" w:lineRule="auto"/>
      </w:pPr>
      <w:r>
        <w:t xml:space="preserve">Rival explanations the theory must beat</w:t>
      </w:r>
    </w:p>
    <w:p>
      <w:pPr>
        <w:pStyle w:val="FirstParagraph"/>
        <w:spacing w:line="480" w:lineRule="auto"/>
      </w:pPr>
      <w:r>
        <w:t xml:space="preserve">A responsible theory names the accounts that could produce the same observed pattern without any deterrence at all. Four rivals deserve statement here, because the design in later chapters is built to distinguish the mechanism from each.</w:t>
      </w:r>
    </w:p>
    <w:p>
      <w:pPr>
        <w:pStyle w:val="BodyText"/>
        <w:spacing w:line="480" w:lineRule="auto"/>
        <w:ind w:firstLine="720"/>
      </w:pPr>
      <w:r>
        <w:t xml:space="preserve">Selection into sharing is the sharpest rival. States may seek coalition coverage precisely after experiencing threatening behavior, so a post-coverage decline could reflect regression from an unusually bad period rather than a deterrent effect</w:t>
      </w:r>
      <w:r>
        <w:t xml:space="preserve"> </w:t>
      </w:r>
      <w:hyperlink w:anchor="ref-1">
        <w:r>
          <w:rPr>
            <w:rStyle w:val="Hyperlink"/>
          </w:rPr>
          <w:t xml:space="preserve">[1]</w:t>
        </w:r>
      </w:hyperlink>
      <w:r>
        <w:t xml:space="preserve"> </w:t>
      </w:r>
      <w:hyperlink w:anchor="ref-8">
        <w:r>
          <w:rPr>
            <w:rStyle w:val="Hyperlink"/>
          </w:rPr>
          <w:t xml:space="preserve">[8]</w:t>
        </w:r>
      </w:hyperlink>
      <w:r>
        <w:t xml:space="preserve">. The theory answers by insisting on clean pre-treatment trends and by treating anticipatory change as disqualifying.</w:t>
      </w:r>
    </w:p>
    <w:p>
      <w:pPr>
        <w:pStyle w:val="BodyText"/>
        <w:spacing w:line="480" w:lineRule="auto"/>
        <w:ind w:firstLine="720"/>
      </w:pPr>
      <w:r>
        <w:t xml:space="preserve">Catalog improvement is the second rival. If what changes is not behavior but what the public catalog records, then apparent declines in proximity events could track cataloging practice rather than conduct</w:t>
      </w:r>
      <w:r>
        <w:t xml:space="preserve"> </w:t>
      </w:r>
      <w:hyperlink w:anchor="ref-9">
        <w:r>
          <w:rPr>
            <w:rStyle w:val="Hyperlink"/>
          </w:rPr>
          <w:t xml:space="preserve">[9]</w:t>
        </w:r>
      </w:hyperlink>
      <w:r>
        <w:t xml:space="preserve">. The theory answers by demanding that the effect not be confined to shells or periods where cataloging visibly changed.</w:t>
      </w:r>
    </w:p>
    <w:p>
      <w:pPr>
        <w:pStyle w:val="BodyText"/>
        <w:spacing w:line="480" w:lineRule="auto"/>
        <w:ind w:firstLine="720"/>
      </w:pPr>
      <w:r>
        <w:t xml:space="preserve">Strategic displacement is the third. A deterred chaser might shift from close approaches to less observable forms of interference, in which case a decline in proximity behavior overstates any real reduction in hostile conduct</w:t>
      </w:r>
      <w:r>
        <w:t xml:space="preserve"> </w:t>
      </w:r>
      <w:hyperlink w:anchor="ref-11">
        <w:r>
          <w:rPr>
            <w:rStyle w:val="Hyperlink"/>
          </w:rPr>
          <w:t xml:space="preserve">[11]</w:t>
        </w:r>
      </w:hyperlink>
      <w:r>
        <w:t xml:space="preserve"> </w:t>
      </w:r>
      <w:hyperlink w:anchor="ref-22">
        <w:r>
          <w:rPr>
            <w:rStyle w:val="Hyperlink"/>
          </w:rPr>
          <w:t xml:space="preserve">[22]</w:t>
        </w:r>
      </w:hyperlink>
      <w:r>
        <w:t xml:space="preserve">. The theory concedes this openly: the estimand is proximity behavior, not total counterspace activity, and the interpretation is bounded accordingly.</w:t>
      </w:r>
    </w:p>
    <w:p>
      <w:pPr>
        <w:pStyle w:val="BodyText"/>
        <w:spacing w:line="480" w:lineRule="auto"/>
        <w:ind w:firstLine="720"/>
      </w:pPr>
      <w:r>
        <w:t xml:space="preserve">Ambiguity of intent is the fourth. Not every close approach is hostile, and some are servicing or inspection that shared awareness is meant to supervise rather than suppress</w:t>
      </w:r>
      <w:r>
        <w:t xml:space="preserve"> </w:t>
      </w:r>
      <w:hyperlink w:anchor="ref-23">
        <w:r>
          <w:rPr>
            <w:rStyle w:val="Hyperlink"/>
          </w:rPr>
          <w:t xml:space="preserve">[23]</w:t>
        </w:r>
      </w:hyperlink>
      <w:r>
        <w:t xml:space="preserve">. The theory answers by labeling the outcome hazardous proximity behavior rather than aggression and by resting the deterrence reading on comparative change around coverage timing, never on the character of any single pass.</w:t>
      </w:r>
    </w:p>
    <w:p>
      <w:pPr>
        <w:pStyle w:val="BodyText"/>
        <w:spacing w:line="480" w:lineRule="auto"/>
        <w:ind w:firstLine="720"/>
      </w:pPr>
      <w:r>
        <w:t xml:space="preserve">The mechanism earns the deterrence label only if it beats all four rivals at once: the reduction follows coverage, concentrates on nonpartners, survives measurement choices, and is not explained by catalog practice or displacement. Chapter 4 turns each of these conditions into an estimable feature of the research design.</w:t>
      </w:r>
    </w:p>
    <w:bookmarkEnd w:id="82"/>
    <w:bookmarkStart w:id="83" w:name="a-formal-sketch-of-the-chasers-decision"/>
    <w:p>
      <w:pPr>
        <w:pStyle w:val="Heading2"/>
        <w:spacing w:line="480" w:lineRule="auto"/>
      </w:pPr>
      <w:r>
        <w:t xml:space="preserve">A formal sketch of the chaser’s decision</w:t>
      </w:r>
    </w:p>
    <w:p>
      <w:pPr>
        <w:pStyle w:val="FirstParagraph"/>
        <w:spacing w:line="480" w:lineRule="auto"/>
      </w:pPr>
      <w:r>
        <w:t xml:space="preserve">The verbal mechanism can be tightened into a simple decision sketch that makes its predictions transparent, without pretending to a precision the data will not support. Let a chaser considering a hazardous approach weigh a benefit against an expected cost. The expected cost is the probability of detection, times the probability of correct attribution given detection, times the probability of an adverse response given attribution, times the magnitude of that response. Public SDA-sharing coverage of the target raises the first two probabilities and, by opening standing diplomatic channels, raises the third</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8">
        <w:r>
          <w:rPr>
            <w:rStyle w:val="Hyperlink"/>
          </w:rPr>
          <w:t xml:space="preserve">[8]</w:t>
        </w:r>
      </w:hyperlink>
      <w:r>
        <w:t xml:space="preserve">. The chaser approaches only when the benefit exceeds the expected cost. Coverage shifts the expected cost upward, which pushes some marginal chasers, those whose benefit only modestly exceeded their prior expected cost, from approaching to abstaining.</w:t>
      </w:r>
    </w:p>
    <w:p>
      <w:pPr>
        <w:pStyle w:val="BodyText"/>
        <w:spacing w:line="480" w:lineRule="auto"/>
        <w:ind w:firstLine="720"/>
      </w:pPr>
      <w:r>
        <w:t xml:space="preserve">Three features of this sketch generate the empirical predictions directly. First, the effect is on the margin, not on every actor: a chaser with a very high benefit or a very low sensitivity to disclosure will approach regardless, so the mechanism predicts a reduction in the rate of hazardous events, not their elimination. Second, the effect operates through perceived probabilities, so it requires that the chaser perceive the change, which is why only public coverage can deter and why classified coverage, however operationally useful, is outside the mechanism</w:t>
      </w:r>
      <w:r>
        <w:t xml:space="preserve"> </w:t>
      </w:r>
      <w:hyperlink w:anchor="ref-8">
        <w:r>
          <w:rPr>
            <w:rStyle w:val="Hyperlink"/>
          </w:rPr>
          <w:t xml:space="preserve">[8]</w:t>
        </w:r>
      </w:hyperlink>
      <w:r>
        <w:t xml:space="preserve">. Third, the effect is asymmetric across partner status: a partner chaser already inside the arrangement experiences no increase in its own expected exposure when the target joins, so its behavior should not move on the treatment date, while a nonpartner chaser experiences a genuine increase. That asymmetry is the mechanism’s cleanest observable fingerprint.</w:t>
      </w:r>
    </w:p>
    <w:p>
      <w:pPr>
        <w:pStyle w:val="BodyText"/>
        <w:spacing w:line="480" w:lineRule="auto"/>
        <w:ind w:firstLine="720"/>
      </w:pPr>
      <w:r>
        <w:t xml:space="preserve">The sketch also clarifies why magnitude is hard to predict in advance and easy to misread after the fact. The size of the behavioral response depends on the distribution of chaser benefits and sensitivities, which the design does not observe directly. A large reduction is consistent with the mechanism, but so is a modest one, and the theory does not pin the magnitude. What the theory does pin is the sign, the timing, and the concentration, which is why the empirical design leans on those three features rather than on any predicted effect size</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bookmarkEnd w:id="83"/>
    <w:bookmarkStart w:id="84" w:name="Xf4a04caaeee2165e70d53ea61c5d7dfa2c05c4f"/>
    <w:p>
      <w:pPr>
        <w:pStyle w:val="Heading2"/>
        <w:spacing w:line="480" w:lineRule="auto"/>
      </w:pPr>
      <w:r>
        <w:t xml:space="preserve">The role of credibility and common knowledge</w:t>
      </w:r>
    </w:p>
    <w:p>
      <w:pPr>
        <w:pStyle w:val="FirstParagraph"/>
        <w:spacing w:line="480" w:lineRule="auto"/>
      </w:pPr>
      <w:r>
        <w:t xml:space="preserve">A subtlety in the mechanism concerns credibility. For coverage to deter, the chaser must not only know that observability has risen but believe that observation will actually translate into attribution and response. A coalition arrangement that is announced but never exercised, that never publicly attributes a close approach or raises one diplomatically, would over time lose its deterrent bite as chasers learn that the threatened disclosure does not materialize. This is the space analogue of a well-known problem in deterrence generally: a threat that is never carried out erodes. The partnership literature’s emphasis on operational collaboration, shared visualization, and standing coordination is relevant here, because those are the practices that make disclosure credible rather than merely announced</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Common knowledge matters as much as credibility. The mechanism works best when it is not only true that observability has risen but commonly understood among potential chasers that it has risen. Public announcements, alliance declarations, and hosted-payload milestones function partly as common-knowledge devices: they make the coverage salient to everyone at once, so that no chaser can comfortably assume that others remain unaware</w:t>
      </w:r>
      <w:r>
        <w:t xml:space="preserve"> </w:t>
      </w:r>
      <w:hyperlink w:anchor="ref-5">
        <w:r>
          <w:rPr>
            <w:rStyle w:val="Hyperlink"/>
          </w:rPr>
          <w:t xml:space="preserve">[5]</w:t>
        </w:r>
      </w:hyperlink>
      <w:r>
        <w:t xml:space="preserve"> </w:t>
      </w:r>
      <w:hyperlink w:anchor="ref-6">
        <w:r>
          <w:rPr>
            <w:rStyle w:val="Hyperlink"/>
          </w:rPr>
          <w:t xml:space="preserve">[6]</w:t>
        </w:r>
      </w:hyperlink>
      <w:r>
        <w:t xml:space="preserve">. This is why the treatment is coded from public records rather than from the technical fact of sensing, and why the dissertation’s supporting corpus analysis pays attention to whether sources signal public coverage, not merely whether they describe sensors</w:t>
      </w:r>
      <w:r>
        <w:t xml:space="preserve"> </w:t>
      </w:r>
      <w:hyperlink w:anchor="ref-2">
        <w:r>
          <w:rPr>
            <w:rStyle w:val="Hyperlink"/>
          </w:rPr>
          <w:t xml:space="preserve">[2]</w:t>
        </w:r>
      </w:hyperlink>
      <w:r>
        <w:t xml:space="preserve"> </w:t>
      </w:r>
      <w:hyperlink w:anchor="ref-5">
        <w:r>
          <w:rPr>
            <w:rStyle w:val="Hyperlink"/>
          </w:rPr>
          <w:t xml:space="preserve">[5]</w:t>
        </w:r>
      </w:hyperlink>
      <w:r>
        <w:t xml:space="preserve">. A mechanism built on expectation is only as strong as the shared expectation it can actually create.</w:t>
      </w:r>
    </w:p>
    <w:p>
      <w:pPr>
        <w:pStyle w:val="BodyText"/>
        <w:spacing w:line="480" w:lineRule="auto"/>
        <w:ind w:firstLine="720"/>
      </w:pPr>
      <w:r>
        <w:t xml:space="preserve">These considerations refine the hypotheses rather than replace them. The primary test remains the sign of the post-treatment coefficient. But credibility and common knowledge predict texture within that test: effects should be stronger for arrangements that are prominently announced and actively exercised than for those that are nominal, and they should strengthen rather than decay over the post-treatment window if the coalition demonstrably follows through on attribution</w:t>
      </w:r>
      <w:r>
        <w:t xml:space="preserve"> </w:t>
      </w:r>
      <w:hyperlink w:anchor="ref-8">
        <w:r>
          <w:rPr>
            <w:rStyle w:val="Hyperlink"/>
          </w:rPr>
          <w:t xml:space="preserve">[8]</w:t>
        </w:r>
      </w:hyperlink>
      <w:r>
        <w:t xml:space="preserve">. These are second-order predictions, harder to test than the main hypothesis, but they are stated here so that a future study can look for them and so that a null on the main test can be interpreted against the possibility that the treatment lacked credibility or salience in the first place.</w:t>
      </w:r>
    </w:p>
    <w:bookmarkEnd w:id="84"/>
    <w:bookmarkStart w:id="85" w:name="heterogeneity-the-theory-anticipates"/>
    <w:p>
      <w:pPr>
        <w:pStyle w:val="Heading2"/>
        <w:spacing w:line="480" w:lineRule="auto"/>
      </w:pPr>
      <w:r>
        <w:t xml:space="preserve">Heterogeneity the theory anticipates</w:t>
      </w:r>
    </w:p>
    <w:p>
      <w:pPr>
        <w:pStyle w:val="FirstParagraph"/>
        <w:spacing w:line="480" w:lineRule="auto"/>
      </w:pPr>
      <w:r>
        <w:t xml:space="preserve">The mechanism does not predict a uniform effect, and being explicit about where it predicts variation strengthens the eventual test. Several sources of heterogeneity follow from the decision sketch. Effects should be larger where the target’s orbital regime is well covered by public catalogs, because there the increase in observability from coalition sharing is both real and knowable, and smaller where public coverage is already sparse or already saturated</w:t>
      </w:r>
      <w:r>
        <w:t xml:space="preserve"> </w:t>
      </w:r>
      <w:hyperlink w:anchor="ref-7">
        <w:r>
          <w:rPr>
            <w:rStyle w:val="Hyperlink"/>
          </w:rPr>
          <w:t xml:space="preserve">[7]</w:t>
        </w:r>
      </w:hyperlink>
      <w:r>
        <w:t xml:space="preserve"> </w:t>
      </w:r>
      <w:hyperlink w:anchor="ref-9">
        <w:r>
          <w:rPr>
            <w:rStyle w:val="Hyperlink"/>
          </w:rPr>
          <w:t xml:space="preserve">[9]</w:t>
        </w:r>
      </w:hyperlink>
      <w:r>
        <w:t xml:space="preserve">. Effects should be larger for target owners whose coverage is announced with high salience, because common knowledge is stronger there, and weaker for owners whose coverage is technically real but publicly muted</w:t>
      </w:r>
      <w:r>
        <w:t xml:space="preserve"> </w:t>
      </w:r>
      <w:hyperlink w:anchor="ref-5">
        <w:r>
          <w:rPr>
            <w:rStyle w:val="Hyperlink"/>
          </w:rPr>
          <w:t xml:space="preserve">[5]</w:t>
        </w:r>
      </w:hyperlink>
      <w:r>
        <w:t xml:space="preserve"> </w:t>
      </w:r>
      <w:hyperlink w:anchor="ref-6">
        <w:r>
          <w:rPr>
            <w:rStyle w:val="Hyperlink"/>
          </w:rPr>
          <w:t xml:space="preserve">[6]</w:t>
        </w:r>
      </w:hyperlink>
      <w:r>
        <w:t xml:space="preserve">. And effects should be larger among chasers for whom reputation and diplomatic standing carry weight, and weaker among chasers indifferent to disclosure, though this last dimension is harder to observe.</w:t>
      </w:r>
    </w:p>
    <w:p>
      <w:pPr>
        <w:pStyle w:val="BodyText"/>
        <w:spacing w:line="480" w:lineRule="auto"/>
        <w:ind w:firstLine="720"/>
      </w:pPr>
      <w:r>
        <w:t xml:space="preserve">This anticipated heterogeneity is not a hedge; it is a sharper set of predictions that a well-powered study could exploit. If a reduction in hazardous approaches appears uniformly across regimes and salience levels, that uniformity would actually count against the mechanism, because the theory predicts the effect should track observability and salience. A pattern of effects concentrated exactly where the theory says observability rose most is far more convincing than a flat average, because it is harder to reproduce by accident. The design therefore reports heterogeneity by regime and by treatment salience rather than only a pooled coefficient, treating the shape of the effect as evidence about the mechanism, not as a nuisance to be averaged away</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p>
      <w:pPr>
        <w:pStyle w:val="BodyText"/>
        <w:spacing w:line="480" w:lineRule="auto"/>
        <w:ind w:firstLine="720"/>
      </w:pPr>
      <w:r>
        <w:t xml:space="preserve">Heterogeneity also guards against a subtle confound. A common shock that happened to coincide with coverage dates could produce an average reduction, but it would be unlikely to produce a reduction that tracks the specific observability gradient the theory predicts. By demanding that the effect follow the mechanism’s texture, not merely its sign, the design raises the bar a rival explanation must clear. A confound would have to mimic not just the average decline but its concentration in high-observability, high-salience, nonpartner cells, which is a far more demanding pattern to reproduce spuriously</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bookmarkEnd w:id="85"/>
    <w:bookmarkStart w:id="86" w:name="why-proximity-and-not-another-behavior"/>
    <w:p>
      <w:pPr>
        <w:pStyle w:val="Heading2"/>
        <w:spacing w:line="480" w:lineRule="auto"/>
      </w:pPr>
      <w:r>
        <w:t xml:space="preserve">Why proximity, and not another behavior</w:t>
      </w:r>
    </w:p>
    <w:p>
      <w:pPr>
        <w:pStyle w:val="FirstParagraph"/>
        <w:spacing w:line="480" w:lineRule="auto"/>
      </w:pPr>
      <w:r>
        <w:t xml:space="preserve">A final theoretical choice deserves defense: why test the mechanism on hazardous proximity behavior specifically, rather than on some other counterspace conduct? The answer follows from the mechanism itself. Deterrence by observation can only work on behavior that observation can see, and proximity behavior is the counterspace class with the clearest public orbital signature</w:t>
      </w:r>
      <w:r>
        <w:t xml:space="preserve"> </w:t>
      </w:r>
      <w:hyperlink w:anchor="ref-10">
        <w:r>
          <w:rPr>
            <w:rStyle w:val="Hyperlink"/>
          </w:rPr>
          <w:t xml:space="preserve">[10]</w:t>
        </w:r>
      </w:hyperlink>
      <w:r>
        <w:t xml:space="preserve">. Cyber intrusion, electronic attack, and directed-energy dazzling may be more consequential in some scenarios, but they leave little or no orbital footprint, so an increase in shared orbital awareness does not raise their expected cost through the detection channel</w:t>
      </w:r>
      <w:r>
        <w:t xml:space="preserve"> </w:t>
      </w:r>
      <w:hyperlink w:anchor="ref-11">
        <w:r>
          <w:rPr>
            <w:rStyle w:val="Hyperlink"/>
          </w:rPr>
          <w:t xml:space="preserve">[11]</w:t>
        </w:r>
      </w:hyperlink>
      <w:r>
        <w:t xml:space="preserve"> </w:t>
      </w:r>
      <w:hyperlink w:anchor="ref-22">
        <w:r>
          <w:rPr>
            <w:rStyle w:val="Hyperlink"/>
          </w:rPr>
          <w:t xml:space="preserve">[22]</w:t>
        </w:r>
      </w:hyperlink>
      <w:r>
        <w:t xml:space="preserve">. Testing the mechanism on invisible behavior would be a category error.</w:t>
      </w:r>
    </w:p>
    <w:p>
      <w:pPr>
        <w:pStyle w:val="BodyText"/>
        <w:spacing w:line="480" w:lineRule="auto"/>
        <w:ind w:firstLine="720"/>
      </w:pPr>
      <w:r>
        <w:t xml:space="preserve">Proximity behavior also has the virtue of being the class governance most needs to understand, because it is the class where benign and concerning activity are hardest to distinguish and where supervision architectures are actively being built</w:t>
      </w:r>
      <w:r>
        <w:t xml:space="preserve"> </w:t>
      </w:r>
      <w:hyperlink w:anchor="ref-23">
        <w:r>
          <w:rPr>
            <w:rStyle w:val="Hyperlink"/>
          </w:rPr>
          <w:t xml:space="preserve">[23]</w:t>
        </w:r>
      </w:hyperlink>
      <w:r>
        <w:t xml:space="preserve">. Choosing proximity as the outcome therefore aligns the test with both the mechanism’s logic and the field’s governance priorities, which is why the dissertation restricts its behavioral claim to that class and states the restriction as a feature rather than an apology.</w:t>
      </w:r>
    </w:p>
    <w:p>
      <w:pPr>
        <w:pStyle w:val="BodyText"/>
        <w:spacing w:line="480" w:lineRule="auto"/>
        <w:ind w:firstLine="720"/>
      </w:pPr>
      <w:r>
        <w:t xml:space="preserve">The restriction has one more theoretical benefit. Because proximity behavior is legible and datable, a null result on it is interpretable rather than empty: a well-powered null would mean that visibility does not restrain even the most seeable class of conduct, which is strong evidence against the mechanism rather than a mere absence of confirmation</w:t>
      </w:r>
      <w:r>
        <w:t xml:space="preserve"> </w:t>
      </w:r>
      <w:hyperlink w:anchor="ref-8">
        <w:r>
          <w:rPr>
            <w:rStyle w:val="Hyperlink"/>
          </w:rPr>
          <w:t xml:space="preserve">[8]</w:t>
        </w:r>
      </w:hyperlink>
      <w:r>
        <w:t xml:space="preserve"> </w:t>
      </w:r>
      <w:hyperlink w:anchor="ref-10">
        <w:r>
          <w:rPr>
            <w:rStyle w:val="Hyperlink"/>
          </w:rPr>
          <w:t xml:space="preserve">[10]</w:t>
        </w:r>
      </w:hyperlink>
      <w:r>
        <w:t xml:space="preserve">. A mechanism tested on invisible behavior could never yield an interpretable null, because failure to detect an effect there would be indistinguishable from failure to detect the behavior at all. Testing on the seeable class thus makes both confirmation and disconfirmation meaningful, which is the property a falsifiable design most needs. The chapters that follow build the identification and measurement machinery that this theoretical commitment requires.</w:t>
      </w:r>
    </w:p>
    <w:bookmarkEnd w:id="86"/>
    <w:bookmarkEnd w:id="87"/>
    <w:bookmarkStart w:id="98"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The theory in Chapter 3 predicts that public SDA-sharing coverage lowers the rate of hazardous proximity events by nonpartner chasers. Turning that prediction into a credible estimate requires a design that can separate a deterrent effect from selection, from catalog artifacts, and from congestion that varies across orbits. This chapter specifies that design. It states the estimator, explains why it identifies the effect of interest, and lays out the pre-registered checks that would expose a spurious result. It also explains why the dissertation’s two completed empirical papers use simpler estimators, a logistic model and an ordinary least squares model, as disciplined preparation for the behavioral study rather than as substitutes for it.</w:t>
      </w:r>
    </w:p>
    <w:bookmarkStart w:id="88" w:name="the-unit-and-the-estimand"/>
    <w:p>
      <w:pPr>
        <w:pStyle w:val="Heading2"/>
        <w:spacing w:line="480" w:lineRule="auto"/>
      </w:pPr>
      <w:r>
        <w:t xml:space="preserve">The unit and the estimand</w:t>
      </w:r>
    </w:p>
    <w:p>
      <w:pPr>
        <w:pStyle w:val="FirstParagraph"/>
        <w:spacing w:line="480" w:lineRule="auto"/>
      </w:pPr>
      <w:r>
        <w:t xml:space="preserve">The unit of analysis is the chaser-target satellite dyad-month. A target is an active satellite whose owner may become covered by public SDA sharing. A chaser is an active spacecraft owned or registered outside the target’s arrangement. For each dyad and each month, the outcome is the count of hazardous proximity events, close approaches below a pre-specified miss-distance threshold at low relative velocity. The dyad-month unit is chosen because the mechanism is dyadic: deterrence, if it operates, operates on a specific chaser’s decision to approach a specific target, and it is the timing of that target’s coverage that should move the chaser’s behavior.</w:t>
      </w:r>
    </w:p>
    <w:p>
      <w:pPr>
        <w:pStyle w:val="BodyText"/>
        <w:spacing w:line="480" w:lineRule="auto"/>
        <w:ind w:firstLine="720"/>
      </w:pPr>
      <w:r>
        <w:t xml:space="preserve">The estimand is the average change in the hazardous-proximity count after a target’s owner becomes publicly covered, relative to the same dyads before coverage and relative to comparable dyads whose targets are not yet covered or never covered during the window. This is an average treatment effect on the treated dyads, recovered from within-dyad variation over time and from differences in the timing of coverage across targets.</w:t>
      </w:r>
    </w:p>
    <w:bookmarkEnd w:id="88"/>
    <w:bookmarkStart w:id="89" w:name="Xfc92e49ef5cc656b2ba65e593271670969703fc"/>
    <w:p>
      <w:pPr>
        <w:pStyle w:val="Heading2"/>
        <w:spacing w:line="480" w:lineRule="auto"/>
      </w:pPr>
      <w:r>
        <w:t xml:space="preserve">The estimator: staggered difference-in-differences</w:t>
      </w:r>
    </w:p>
    <w:p>
      <w:pPr>
        <w:pStyle w:val="FirstParagraph"/>
        <w:spacing w:line="480" w:lineRule="auto"/>
      </w:pPr>
      <w:r>
        <w:t xml:space="preserve">Coverage does not arrive for all targets at once. Different owners join arrangements at different times, which makes the natural design a staggered difference-in-differences event study. The baseline specification is a count model for hazardous proximity events per dyad-month, with a post-coverage treatment indicator that switches on in the first full month after public coverage of the target’s owner.</w:t>
      </w:r>
    </w:p>
    <w:p>
      <w:pPr>
        <w:pStyle w:val="BodyText"/>
        <w:spacing w:line="480" w:lineRule="auto"/>
        <w:ind w:firstLine="720"/>
      </w:pPr>
      <w:r>
        <w:t xml:space="preserve">The specification carries a demanding set of fixed effects and controls. Dyad fixed effects absorb every time-invariant feature of a chaser-target pair: their orbital geometry, their strategic affinity or hostility, and the mission-pair characteristics that make some dyads inherently more prone to close approaches than others. Calendar-month fixed effects absorb shocks common to all dyads in a given month, including periods of heightened public attention to orbit and broad changes in catalog release practice. Orbital-regime-by-month controls absorb congestion that evolves differently across low Earth orbit, medium Earth orbit, highly elliptical orbit, and geosynchronous orbit, so that a surge of traffic in one shell is not misread as behavior toward one target. Target-owner cohort effects absorb the common trajectory of all targets whose owners were covered at the same time.</w:t>
      </w:r>
    </w:p>
    <w:p>
      <w:pPr>
        <w:pStyle w:val="BodyText"/>
        <w:spacing w:line="480" w:lineRule="auto"/>
        <w:ind w:firstLine="720"/>
      </w:pPr>
      <w:r>
        <w:t xml:space="preserve">Additional controls enter for target and chaser satellite age, altitude band, inclination band, mission class, and changes in the cataloged population within the relevant shell. Age matters because young satellites maneuver more during commissioning; population change matters because a denser shell mechanically produces more close approaches. With this structure, the treatment coefficient is estimated from the change in a treated dyad’s proximity count around its own coverage date, net of everything the fixed effects and controls remove.</w:t>
      </w:r>
    </w:p>
    <w:bookmarkEnd w:id="89"/>
    <w:bookmarkStart w:id="90" w:name="why-this-identifies-a-deterrence-effect"/>
    <w:p>
      <w:pPr>
        <w:pStyle w:val="Heading2"/>
        <w:spacing w:line="480" w:lineRule="auto"/>
      </w:pPr>
      <w:r>
        <w:t xml:space="preserve">Why this identifies a deterrence effect</w:t>
      </w:r>
    </w:p>
    <w:p>
      <w:pPr>
        <w:pStyle w:val="FirstParagraph"/>
        <w:spacing w:line="480" w:lineRule="auto"/>
      </w:pPr>
      <w:r>
        <w:t xml:space="preserve">Identification rests on a parallel-trends assumption stated at the dyad level. Absent public coverage, treated targets would have followed the same trend in hazardous-proximity exposure as comparable untreated targets in the same orbital regimes. Under that assumption, the post-coverage change in treated dyads, differenced against the contemporaneous change in not-yet-treated and never-treated dyads, recovers the causal effect of coverage.</w:t>
      </w:r>
    </w:p>
    <w:p>
      <w:pPr>
        <w:pStyle w:val="BodyText"/>
        <w:spacing w:line="480" w:lineRule="auto"/>
        <w:ind w:firstLine="720"/>
      </w:pPr>
      <w:r>
        <w:t xml:space="preserve">The assumption is not asserted; it is assessed. Event-time leads test whether treated dyads were already diverging before coverage. If the pre-coverage leads are flat and only the post-coverage terms move, the parallel-trends story is credible and the selection rival weakens. If the leads themselves trend, the design does not support a deterrence reading, and the more likely account is that coverage responds to prior threat rather than causing subsequent restraint</w:t>
      </w:r>
      <w:r>
        <w:t xml:space="preserve"> </w:t>
      </w:r>
      <w:hyperlink w:anchor="ref-1">
        <w:r>
          <w:rPr>
            <w:rStyle w:val="Hyperlink"/>
          </w:rPr>
          <w:t xml:space="preserve">[1]</w:t>
        </w:r>
      </w:hyperlink>
      <w:r>
        <w:t xml:space="preserve"> </w:t>
      </w:r>
      <w:hyperlink w:anchor="ref-8">
        <w:r>
          <w:rPr>
            <w:rStyle w:val="Hyperlink"/>
          </w:rPr>
          <w:t xml:space="preserve">[8]</w:t>
        </w:r>
      </w:hyperlink>
      <w:r>
        <w:t xml:space="preserve">. Placebo treatment dates, assigned to periods when no coverage occurred, provide a second check: a design that finds effects at fake dates is finding noise. Sensitivity to alternative control groups, comparing never-treated with not-yet-treated comparisons, guards against contamination from the specific composition of the control pool.</w:t>
      </w:r>
    </w:p>
    <w:p>
      <w:pPr>
        <w:pStyle w:val="BodyText"/>
        <w:spacing w:line="480" w:lineRule="auto"/>
        <w:ind w:firstLine="720"/>
      </w:pPr>
      <w:r>
        <w:t xml:space="preserve">The mechanism-level predictions from Chapter 3 become identification tests. The effect should concentrate among nonpartner chaser-target dyads and be absent among partner chasers, because only nonpartners face a genuine change in expected cost; a uniform effect across both would signal a common shock rather than deterrence. The effect should be robust to the measurement thresholds motivated by the orbital-data literature, so that it does not depend on one arbitrary miss-distance cut or on which maneuver components the public record makes visible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And the effect should not be confined to shells or months where cataloging practice visibly changed, which would point to a measurement artifact rather than a behavioral change</w:t>
      </w:r>
      <w:r>
        <w:t xml:space="preserve"> </w:t>
      </w:r>
      <w:hyperlink w:anchor="ref-9">
        <w:r>
          <w:rPr>
            <w:rStyle w:val="Hyperlink"/>
          </w:rPr>
          <w:t xml:space="preserve">[9]</w:t>
        </w:r>
      </w:hyperlink>
      <w:r>
        <w:t xml:space="preserve">.</w:t>
      </w:r>
    </w:p>
    <w:bookmarkEnd w:id="90"/>
    <w:bookmarkStart w:id="91" w:name="measurement-as-part-of-identification"/>
    <w:p>
      <w:pPr>
        <w:pStyle w:val="Heading2"/>
        <w:spacing w:line="480" w:lineRule="auto"/>
      </w:pPr>
      <w:r>
        <w:t xml:space="preserve">Measurement as part of identification</w:t>
      </w:r>
    </w:p>
    <w:p>
      <w:pPr>
        <w:pStyle w:val="FirstParagraph"/>
        <w:spacing w:line="480" w:lineRule="auto"/>
      </w:pPr>
      <w:r>
        <w:t xml:space="preserve">A distinctive feature of this design is that measurement error is treated as an identification problem, not a footnote. The reason is that the outcome is constructed from public orbital records whose precision is limited and direction-dependent. Work on orbital-data precision and accuracy establishes that uncertainty must be propagated rather than assumed away</w:t>
      </w:r>
      <w:r>
        <w:t xml:space="preserve"> </w:t>
      </w:r>
      <w:hyperlink w:anchor="ref-9">
        <w:r>
          <w:rPr>
            <w:rStyle w:val="Hyperlink"/>
          </w:rPr>
          <w:t xml:space="preserve">[9]</w:t>
        </w:r>
      </w:hyperlink>
      <w:r>
        <w:t xml:space="preserve">. Work on maneuver detection from two-line element data establishes that detectability varies by maneuver component, so that a signature in one direction can sit an order of magnitude below a signature in another</w:t>
      </w:r>
      <w:r>
        <w:t xml:space="preserve"> </w:t>
      </w:r>
      <w:hyperlink w:anchor="ref-10">
        <w:r>
          <w:rPr>
            <w:rStyle w:val="Hyperlink"/>
          </w:rPr>
          <w:t xml:space="preserve">[10]</w:t>
        </w:r>
      </w:hyperlink>
      <w:r>
        <w:t xml:space="preserve">.</w:t>
      </w:r>
    </w:p>
    <w:p>
      <w:pPr>
        <w:pStyle w:val="BodyText"/>
        <w:spacing w:line="480" w:lineRule="auto"/>
        <w:ind w:firstLine="720"/>
      </w:pPr>
      <w:r>
        <w:t xml:space="preserve">If detection thresholds were held uniform across components and shells, a real deterrent reduction in one direction could be masked, or a change in catalog sensitivity could masquerade as a change in behavior. The design therefore builds in multiple miss-distance and relative-velocity thresholds, validates events against public conjunction data where the archive is complete, and reports results across component-aware detection assumptions. This is where the dissertation’s second empirical paper does its work: by quantifying, in a published validation table, how far in-track magnitudes fall below radial ones, it justifies the component-aware thresholds the main design must use rather than leaving that choice to intuition</w:t>
      </w:r>
      <w:r>
        <w:t xml:space="preserve"> </w:t>
      </w:r>
      <w:hyperlink w:anchor="ref-10">
        <w:r>
          <w:rPr>
            <w:rStyle w:val="Hyperlink"/>
          </w:rPr>
          <w:t xml:space="preserve">[10]</w:t>
        </w:r>
      </w:hyperlink>
      <w:r>
        <w:t xml:space="preserve">.</w:t>
      </w:r>
    </w:p>
    <w:bookmarkEnd w:id="91"/>
    <w:bookmarkStart w:id="92" w:name="role-of-the-two-supporting-estimators"/>
    <w:p>
      <w:pPr>
        <w:pStyle w:val="Heading2"/>
        <w:spacing w:line="480" w:lineRule="auto"/>
      </w:pPr>
      <w:r>
        <w:t xml:space="preserve">Role of the two supporting estimators</w:t>
      </w:r>
    </w:p>
    <w:p>
      <w:pPr>
        <w:pStyle w:val="FirstParagraph"/>
        <w:spacing w:line="480" w:lineRule="auto"/>
      </w:pPr>
      <w:r>
        <w:t xml:space="preserve">The completed empirical papers use estimators matched to their questions, and both are steps toward the behavioral design rather than versions of it.</w:t>
      </w:r>
    </w:p>
    <w:p>
      <w:pPr>
        <w:pStyle w:val="BodyText"/>
        <w:spacing w:line="480" w:lineRule="auto"/>
        <w:ind w:firstLine="720"/>
      </w:pPr>
      <w:r>
        <w:t xml:space="preserve">The first paper’s question is whether the dissertation’s evidence base already fuses sharing design with deterrence framing. Because its outcome is a binary framing indicator over source documents, the appropriate estimator is logistic regression, which models the probability of explicit deterrence framing as a function of a coded public-sharing design score</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8">
        <w:r>
          <w:rPr>
            <w:rStyle w:val="Hyperlink"/>
          </w:rPr>
          <w:t xml:space="preserve">[8]</w:t>
        </w:r>
      </w:hyperlink>
      <w:r>
        <w:t xml:space="preserve">. The logit is the right tool for a binary outcome and a small, transparent document-level dataset, and its purpose is to characterize the literature, not to estimate behavior in orbit.</w:t>
      </w:r>
    </w:p>
    <w:p>
      <w:pPr>
        <w:pStyle w:val="BodyText"/>
        <w:spacing w:line="480" w:lineRule="auto"/>
        <w:ind w:firstLine="720"/>
      </w:pPr>
      <w:r>
        <w:t xml:space="preserve">The second paper’s question is whether inserted-maneuver magnitudes vary by component strongly enough to require component-aware thresholds. Because its outcome is a continuous log magnitude, the appropriate estimator is ordinary least squares, regressing log-ten magnitude on component indicators with the radial direction as the omitted baseline</w:t>
      </w:r>
      <w:r>
        <w:t xml:space="preserve"> </w:t>
      </w:r>
      <w:hyperlink w:anchor="ref-10">
        <w:r>
          <w:rPr>
            <w:rStyle w:val="Hyperlink"/>
          </w:rPr>
          <w:t xml:space="preserve">[10]</w:t>
        </w:r>
      </w:hyperlink>
      <w:r>
        <w:t xml:space="preserve">. The OLS is the right tool for a continuous outcome and a small, fully traceable set of published values, and its purpose is to inform measurement design, not to estimate deterrence.</w:t>
      </w:r>
    </w:p>
    <w:p>
      <w:pPr>
        <w:pStyle w:val="BodyText"/>
        <w:spacing w:line="480" w:lineRule="auto"/>
        <w:ind w:firstLine="720"/>
      </w:pPr>
      <w:r>
        <w:t xml:space="preserve">Neither estimator pretends to be the dyad-month event study. Each answers a bounded question that the full design depends on: one establishes that the behavioral test is necessary because the literature has not settled the matter, and the other establishes how the outcome must be measured so that the eventual estimate is not brittle. Chapter 5 details the data those questions draw on and the data the full behavioral study will require. Chapter 6 reports what the two estimators found.</w:t>
      </w:r>
    </w:p>
    <w:bookmarkEnd w:id="92"/>
    <w:bookmarkStart w:id="93" w:name="count-outcomes-and-functional-form"/>
    <w:p>
      <w:pPr>
        <w:pStyle w:val="Heading2"/>
        <w:spacing w:line="480" w:lineRule="auto"/>
      </w:pPr>
      <w:r>
        <w:t xml:space="preserve">Count outcomes and functional form</w:t>
      </w:r>
    </w:p>
    <w:p>
      <w:pPr>
        <w:pStyle w:val="FirstParagraph"/>
        <w:spacing w:line="480" w:lineRule="auto"/>
      </w:pPr>
      <w:r>
        <w:t xml:space="preserve">The choice of a count specification for the main design is not incidental, and it deserves justification because the functional form shapes what the treatment coefficient means. Hazardous proximity events are non-negative integers, often zero in a given dyad-month, and over-dispersed across dyads, since a handful of pairs generate most of the close approaches while the majority generate none. A linear model on such an outcome would predict negative counts and mis-state standard errors. A count model, whether Poisson with robust errors or a negative-binomial specification that accommodates over-dispersion, respects the outcome’s support and lets the treatment coefficient be read as a proportional change in the event rate.</w:t>
      </w:r>
    </w:p>
    <w:p>
      <w:pPr>
        <w:pStyle w:val="BodyText"/>
        <w:spacing w:line="480" w:lineRule="auto"/>
        <w:ind w:firstLine="720"/>
      </w:pPr>
      <w:r>
        <w:t xml:space="preserve">Reading the coefficient as a rate change matters for interpretation. Under a count specification with a logarithmic link, the treatment coefficient exponentiates into a rate ratio: a negative coefficient means the post-coverage event rate is some fraction of the pre-coverage rate, holding the fixed effects and controls constant. That framing aligns cleanly with the theory, which predicts a reduction in the rate of hazardous approaches by nonpartner chasers rather than their disappearance</w:t>
      </w:r>
      <w:r>
        <w:t xml:space="preserve"> </w:t>
      </w:r>
      <w:hyperlink w:anchor="ref-8">
        <w:r>
          <w:rPr>
            <w:rStyle w:val="Hyperlink"/>
          </w:rPr>
          <w:t xml:space="preserve">[8]</w:t>
        </w:r>
      </w:hyperlink>
      <w:r>
        <w:t xml:space="preserve">. It also disciplines interpretation of magnitude, because a rate ratio has a natural meaning, whereas a raw count difference would confound the effect with the baseline density of a dyad’s traffic.</w:t>
      </w:r>
    </w:p>
    <w:p>
      <w:pPr>
        <w:pStyle w:val="BodyText"/>
        <w:spacing w:line="480" w:lineRule="auto"/>
        <w:ind w:firstLine="720"/>
      </w:pPr>
      <w:r>
        <w:t xml:space="preserve">Zero-inflation deserves explicit attention. Many dyads never experience a close approach at all, and those structural zeros differ from dyads that could have close approaches but happened not to in a given month. A design that ignores this distinction risks attributing to deterrence what is really the composition of the dyad pool. The specification therefore either restricts the sample to dyads with credible proximity potential, defined by orbital geometry, or models the excess zeros directly, so that the treatment effect is estimated among dyads where a hazardous approach was physically possible rather than across a pool diluted by pairs that could never have interacted</w:t>
      </w:r>
      <w:r>
        <w:t xml:space="preserve"> </w:t>
      </w:r>
      <w:hyperlink w:anchor="ref-9">
        <w:r>
          <w:rPr>
            <w:rStyle w:val="Hyperlink"/>
          </w:rPr>
          <w:t xml:space="preserve">[9]</w:t>
        </w:r>
      </w:hyperlink>
      <w:r>
        <w:t xml:space="preserve">.</w:t>
      </w:r>
    </w:p>
    <w:bookmarkEnd w:id="93"/>
    <w:bookmarkStart w:id="94" w:name="X7b8856d8438fad1ab3c64da22eedfa30177471a"/>
    <w:p>
      <w:pPr>
        <w:pStyle w:val="Heading2"/>
        <w:spacing w:line="480" w:lineRule="auto"/>
      </w:pPr>
      <w:r>
        <w:t xml:space="preserve">Staggered timing and modern difference-in-differences concerns</w:t>
      </w:r>
    </w:p>
    <w:p>
      <w:pPr>
        <w:pStyle w:val="FirstParagraph"/>
        <w:spacing w:line="480" w:lineRule="auto"/>
      </w:pPr>
      <w:r>
        <w:t xml:space="preserve">Because coverage arrives at different times for different targets, the design inherits a set of concerns that recent work on difference-in-differences has brought to the fore. When treatment timing is staggered and effects may vary across cohorts or over time, the naive two-way fixed-effects estimator can weight some comparisons negatively and blend clean and contaminated contrasts, producing an estimate that need not equal any sensible average of the underlying effects. The design confronts this directly by favoring estimators that use clean control groups, comparing each treated cohort against not-yet-treated and never-treated dyads rather than against already-treated ones, and by reporting cohort-specific and event-time-specific effects rather than a single pooled coefficient.</w:t>
      </w:r>
    </w:p>
    <w:p>
      <w:pPr>
        <w:pStyle w:val="BodyText"/>
        <w:spacing w:line="480" w:lineRule="auto"/>
        <w:ind w:firstLine="720"/>
      </w:pPr>
      <w:r>
        <w:t xml:space="preserve">Event-time estimation is central to this. Rather than a single post-treatment dummy, the design estimates a full set of event-time coefficients relative to the month of coverage, so that the trajectory of hazardous events can be read before and after treatment for each cohort. The pre-treatment coefficients test parallel trends, and the post-treatment coefficients trace the shape of any effect, distinguishing a sharp, immediate drop from a gradual decline or from an effect that fades. This event-time structure is what lets the design separate a credible deterrent pattern, flat pre-trends and a sustained post-treatment reduction, from the patterns that would signal selection or a transient shock</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p>
      <w:pPr>
        <w:pStyle w:val="BodyText"/>
        <w:spacing w:line="480" w:lineRule="auto"/>
        <w:ind w:firstLine="720"/>
      </w:pPr>
      <w:r>
        <w:t xml:space="preserve">Inference must respect the dyad structure. Observations within a dyad are serially correlated, and observations sharing a target or a chaser are cross-correlated, so standard errors are clustered at a level that accounts for this dependence, typically the dyad or the target-owner cohort. Where the number of treated cohorts is modest, the design supplements asymptotic inference with permutation-based checks that reassign treatment timing at random, providing a distribution of placebo effects against which the estimated effect can be judged. These are not ornamental robustness exercises; with staggered timing and clustered dependence, they are the difference between an estimate a reader can trust and one that merely looks precise.</w:t>
      </w:r>
    </w:p>
    <w:bookmarkEnd w:id="94"/>
    <w:bookmarkStart w:id="95" w:name="Xd3b367854025e1af9926d848b05ac0991d7e53b"/>
    <w:p>
      <w:pPr>
        <w:pStyle w:val="Heading2"/>
        <w:spacing w:line="480" w:lineRule="auto"/>
      </w:pPr>
      <w:r>
        <w:t xml:space="preserve">From supporting estimators to the full design</w:t>
      </w:r>
    </w:p>
    <w:p>
      <w:pPr>
        <w:pStyle w:val="FirstParagraph"/>
        <w:spacing w:line="480" w:lineRule="auto"/>
      </w:pPr>
      <w:r>
        <w:t xml:space="preserve">The two supporting estimators connect to this machinery in a specific way. The logistic model over the source corpus is a self-contained characterization of the literature, and its role in the identification argument is negative: by showing that the corpus does not already fuse sharing and deterrence, it establishes that the behavioral coefficient is not predetermined by the field’s own framing, so the event study is testing something the literature has left genuinely open</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ordinary least squares model over the maneuver table feeds the identification argument more directly, because its estimated component asymmetry is an input to the detection thresholds the count model will use. A design that set uniform thresholds would risk a mechanical relationship between catalog sensitivity and apparent behavior; the OLS result is what justifies the component-aware thresholds that break that mechanical link</w:t>
      </w:r>
      <w:r>
        <w:t xml:space="preserve"> </w:t>
      </w:r>
      <w:hyperlink w:anchor="ref-10">
        <w:r>
          <w:rPr>
            <w:rStyle w:val="Hyperlink"/>
          </w:rPr>
          <w:t xml:space="preserve">[10]</w:t>
        </w:r>
      </w:hyperlink>
      <w:r>
        <w:t xml:space="preserve">.</w:t>
      </w:r>
    </w:p>
    <w:p>
      <w:pPr>
        <w:pStyle w:val="BodyText"/>
        <w:spacing w:line="480" w:lineRule="auto"/>
        <w:ind w:firstLine="720"/>
      </w:pPr>
      <w:r>
        <w:t xml:space="preserve">Neither supporting estimator can substitute for the event study, and the design does not ask them to. What they do is fence the main estimate on two sides. On one side, the logit certifies that the question is open. On the other, the OLS certifies how the outcome must be measured for the answer to be credible. The full count-based, staggered event-study design sits between those fences, and Chapter 5 assembles the data it will stand on.</w:t>
      </w:r>
    </w:p>
    <w:bookmarkEnd w:id="95"/>
    <w:bookmarkStart w:id="96" w:name="identifying-the-partner-status-asymmetry"/>
    <w:p>
      <w:pPr>
        <w:pStyle w:val="Heading2"/>
        <w:spacing w:line="480" w:lineRule="auto"/>
      </w:pPr>
      <w:r>
        <w:t xml:space="preserve">Identifying the partner-status asymmetry</w:t>
      </w:r>
    </w:p>
    <w:p>
      <w:pPr>
        <w:pStyle w:val="FirstParagraph"/>
        <w:spacing w:line="480" w:lineRule="auto"/>
      </w:pPr>
      <w:r>
        <w:t xml:space="preserve">The mechanism’s cleanest observable prediction, that the effect concentrates among nonpartner chasers, deserves its own identification treatment, because it functions as a built-in falsification test rather than a mere subgroup analysis. The design estimates the treatment effect separately for nonpartner chaser-target dyads and for partner chaser-target dyads. Theory predicts a negative effect for the former and a null for the latter, since a partner already inside the arrangement gains no new exposure when the target joins</w:t>
      </w:r>
      <w:r>
        <w:t xml:space="preserve"> </w:t>
      </w:r>
      <w:hyperlink w:anchor="ref-8">
        <w:r>
          <w:rPr>
            <w:rStyle w:val="Hyperlink"/>
          </w:rPr>
          <w:t xml:space="preserve">[8]</w:t>
        </w:r>
      </w:hyperlink>
      <w:r>
        <w:t xml:space="preserve">. This is a difference-in-difference-in-differences structure: the treatment effect is compared across partner status, and the mechanism predicts a specific sign on the interaction.</w:t>
      </w:r>
    </w:p>
    <w:p>
      <w:pPr>
        <w:pStyle w:val="BodyText"/>
        <w:spacing w:line="480" w:lineRule="auto"/>
        <w:ind w:firstLine="720"/>
      </w:pPr>
      <w:r>
        <w:t xml:space="preserve">The virtue of this structure is that it neutralizes an entire family of confounds at once. Any shock that affects all chasers near a treated target equally, a change in that target’s own maneuvering, a regime-wide congestion shift, a global attention spike, would move partner and nonpartner behavior together and would therefore cancel in the partner-status contrast</w:t>
      </w:r>
      <w:r>
        <w:t xml:space="preserve"> </w:t>
      </w:r>
      <w:hyperlink w:anchor="ref-9">
        <w:r>
          <w:rPr>
            <w:rStyle w:val="Hyperlink"/>
          </w:rPr>
          <w:t xml:space="preserve">[9]</w:t>
        </w:r>
      </w:hyperlink>
      <w:r>
        <w:t xml:space="preserve">. Only a mechanism that operates specifically through nonpartners’ changed expectations survives that differencing. The partner-status asymmetry is thus not a robustness afterthought; it is close to the core identification argument, because it isolates the part of the effect that the theory, and only the theory, predicts.</w:t>
      </w:r>
    </w:p>
    <w:p>
      <w:pPr>
        <w:pStyle w:val="BodyText"/>
        <w:spacing w:line="480" w:lineRule="auto"/>
        <w:ind w:firstLine="720"/>
      </w:pPr>
      <w:r>
        <w:t xml:space="preserve">Operationalizing partner status requires the ownership coding described in Chapter 5, since a chaser is a partner if and only if its owner is inside the target’s arrangement at the time of the approach. This is time-varying: a chaser’s owner may join an arrangement partway through the window, moving that chaser from nonpartner to partner status. The design tracks this transition, because a chaser that becomes a partner should, on the theory, lose whatever deterrent constraint it faced, which is a further prediction the panel structure can test</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96"/>
    <w:bookmarkStart w:id="97" w:name="X6a5772c830ece3d7c492b1897674e98329b0ede"/>
    <w:p>
      <w:pPr>
        <w:pStyle w:val="Heading2"/>
        <w:spacing w:line="480" w:lineRule="auto"/>
      </w:pPr>
      <w:r>
        <w:t xml:space="preserve">Power, data availability, and honest limits on the estimator</w:t>
      </w:r>
    </w:p>
    <w:p>
      <w:pPr>
        <w:pStyle w:val="FirstParagraph"/>
        <w:spacing w:line="480" w:lineRule="auto"/>
      </w:pPr>
      <w:r>
        <w:t xml:space="preserve">A design is only as good as its power to detect the effect it targets, and the honest statement here is that power depends on quantities the public record has not yet been fully mapped to supply. The binding constraint is the number of publicly coded treatment events: staggered event studies draw their identifying variation from treated cohorts, and if the public record yields only a handful of clearly dated coverage announcements, the design will be underpowered regardless of how many dyad-months it contains</w:t>
      </w:r>
      <w:r>
        <w:t xml:space="preserve"> </w:t>
      </w:r>
      <w:hyperlink w:anchor="ref-7">
        <w:r>
          <w:rPr>
            <w:rStyle w:val="Hyperlink"/>
          </w:rPr>
          <w:t xml:space="preserve">[7]</w:t>
        </w:r>
      </w:hyperlink>
      <w:r>
        <w:t xml:space="preserve">. Early execution work must therefore inventory the treatment events the public record actually supports before the outcome is even constructed, because a design with abundant outcome data but few treatment events will produce imprecise estimates that answer little.</w:t>
      </w:r>
    </w:p>
    <w:p>
      <w:pPr>
        <w:pStyle w:val="BodyText"/>
        <w:spacing w:line="480" w:lineRule="auto"/>
        <w:ind w:firstLine="720"/>
      </w:pPr>
      <w:r>
        <w:t xml:space="preserve">Outcome availability imposes a second constraint. Public element sets exist for most cataloged objects, but their precision varies by regime and epoch, and public conjunction archives thin out for older periods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design accommodates this by relying on a consistent propagation-based construction throughout the window and using conjunction data only for validation, but the accommodation has a cost: the outcome is measured with more noise in regimes and periods where element-set precision is lower, which inflates standard errors there. The design reports results by regime partly so that a reader can see where measurement noise is likely to be dominating.</w:t>
      </w:r>
    </w:p>
    <w:p>
      <w:pPr>
        <w:pStyle w:val="BodyText"/>
        <w:spacing w:line="480" w:lineRule="auto"/>
        <w:ind w:firstLine="720"/>
      </w:pPr>
      <w:r>
        <w:t xml:space="preserve">Stating these limits at the level of the estimator, rather than only in a later caveats section, is deliberate. A causal design that hides its power and data constraints invites the reader to over-read whatever coefficient emerges. By naming the constraints as properties of the estimator itself, the design commits in advance to reporting effects with honest uncertainty, to distinguishing a precise null from an imprecise one, and to treating an underpowered result as uninformative rather than as evidence of no effect</w:t>
      </w:r>
      <w:r>
        <w:t xml:space="preserve"> </w:t>
      </w:r>
      <w:hyperlink w:anchor="ref-8">
        <w:r>
          <w:rPr>
            <w:rStyle w:val="Hyperlink"/>
          </w:rPr>
          <w:t xml:space="preserve">[8]</w:t>
        </w:r>
      </w:hyperlink>
      <w:r>
        <w:t xml:space="preserve">. Chapter 5 assembles the data on which all of this will stand, and specifies the constructions the estimator requires.</w:t>
      </w:r>
    </w:p>
    <w:bookmarkEnd w:id="97"/>
    <w:bookmarkEnd w:id="98"/>
    <w:bookmarkStart w:id="109" w:name="chapter-5.-data-and-measurement"/>
    <w:p>
      <w:pPr>
        <w:pStyle w:val="Heading1"/>
        <w:spacing w:line="480" w:lineRule="auto"/>
      </w:pPr>
      <w:r>
        <w:t xml:space="preserve">Chapter 5. Data and Measurement</w:t>
      </w:r>
    </w:p>
    <w:p>
      <w:pPr>
        <w:pStyle w:val="FirstParagraph"/>
        <w:spacing w:line="480" w:lineRule="auto"/>
      </w:pPr>
      <w:r>
        <w:t xml:space="preserve">A design is only as trustworthy as the records it runs on. This chapter describes the data the dissertation uses, both the two datasets already analyzed in the completed empirical papers and the larger record the full behavioral study will draw on. It states where each variable comes from, how it is constructed, and what its known limits are. The guiding rule is provenance: every observation should be traceable to a public source a reader could reopen, and every coding decision should be legible enough to challenge.</w:t>
      </w:r>
    </w:p>
    <w:bookmarkStart w:id="99" w:name="X0eb600c668b62f293d7c09176808d4ee38c01f0"/>
    <w:p>
      <w:pPr>
        <w:pStyle w:val="Heading2"/>
        <w:spacing w:line="480" w:lineRule="auto"/>
      </w:pPr>
      <w:r>
        <w:t xml:space="preserve">Two analyzed datasets and one prospective record</w:t>
      </w:r>
    </w:p>
    <w:p>
      <w:pPr>
        <w:pStyle w:val="FirstParagraph"/>
        <w:spacing w:line="480" w:lineRule="auto"/>
      </w:pPr>
      <w:r>
        <w:t xml:space="preserve">The dissertation works with three data layers. The first is the coded source corpus behind the first empirical paper, in which each row is a cited document and the variables are structured codes drawn from that document’s abstract and available full text. The second is the maneuver-magnitude table behind the second empirical paper, in which each row is a component-level inserted maneuver read directly from a published validation table</w:t>
      </w:r>
      <w:r>
        <w:t xml:space="preserve"> </w:t>
      </w:r>
      <w:hyperlink w:anchor="ref-10">
        <w:r>
          <w:rPr>
            <w:rStyle w:val="Hyperlink"/>
          </w:rPr>
          <w:t xml:space="preserve">[10]</w:t>
        </w:r>
      </w:hyperlink>
      <w:r>
        <w:t xml:space="preserve">. The third is the prospective orbital record, the public catalogs and registries from which the full dyad-month study will construct treatment and outcome. The first two are complete and reported in Chapter 6. The third is specified here so the eventual estimate rests on a documented plan rather than an improvised one.</w:t>
      </w:r>
    </w:p>
    <w:bookmarkEnd w:id="99"/>
    <w:bookmarkStart w:id="100" w:name="the-source-corpus-dataset"/>
    <w:p>
      <w:pPr>
        <w:pStyle w:val="Heading2"/>
        <w:spacing w:line="480" w:lineRule="auto"/>
      </w:pPr>
      <w:r>
        <w:t xml:space="preserve">The source corpus dataset</w:t>
      </w:r>
    </w:p>
    <w:p>
      <w:pPr>
        <w:pStyle w:val="FirstParagraph"/>
        <w:spacing w:line="480" w:lineRule="auto"/>
      </w:pPr>
      <w:r>
        <w:t xml:space="preserve">The first dataset contains eleven cited source documents, chosen because they are the dissertation’s high-relevance evidence base rather than a random sample of all space-security writing. Each row is one document. The outcome variable, the deterrence-framing indicator, equals one when a source explicitly frames deterrence, escalation control, integrated deterrence, or peacetime deterrence, and zero otherwise. Coding is manual and done from the cited abstract or full text. Four sources code one on this indicator: the artificial-intelligence and autonomy paper because it addresses deterrence and escalation control</w:t>
      </w:r>
      <w:r>
        <w:t xml:space="preserve"> </w:t>
      </w:r>
      <w:hyperlink w:anchor="ref-1">
        <w:r>
          <w:rPr>
            <w:rStyle w:val="Hyperlink"/>
          </w:rPr>
          <w:t xml:space="preserve">[1]</w:t>
        </w:r>
      </w:hyperlink>
      <w:r>
        <w:t xml:space="preserve">; the AUKUS partnership paper because it frames global SDA partnership in strategic and security terms</w:t>
      </w:r>
      <w:r>
        <w:t xml:space="preserve"> </w:t>
      </w:r>
      <w:hyperlink w:anchor="ref-5">
        <w:r>
          <w:rPr>
            <w:rStyle w:val="Hyperlink"/>
          </w:rPr>
          <w:t xml:space="preserve">[5]</w:t>
        </w:r>
      </w:hyperlink>
      <w:r>
        <w:t xml:space="preserve">; the hosted-payload pathfinder because it describes extending integrated deterrence into the space domain</w:t>
      </w:r>
      <w:r>
        <w:t xml:space="preserve"> </w:t>
      </w:r>
      <w:hyperlink w:anchor="ref-6">
        <w:r>
          <w:rPr>
            <w:rStyle w:val="Hyperlink"/>
          </w:rPr>
          <w:t xml:space="preserve">[6]</w:t>
        </w:r>
      </w:hyperlink>
      <w:r>
        <w:t xml:space="preserve">; and the peacetime-narratives article because it directly addresses peacetime deterrence</w:t>
      </w:r>
      <w:r>
        <w:t xml:space="preserve"> </w:t>
      </w:r>
      <w:hyperlink w:anchor="ref-8">
        <w:r>
          <w:rPr>
            <w:rStyle w:val="Hyperlink"/>
          </w:rPr>
          <w:t xml:space="preserve">[8]</w:t>
        </w:r>
      </w:hyperlink>
      <w:r>
        <w:t xml:space="preserve">.</w:t>
      </w:r>
    </w:p>
    <w:p>
      <w:pPr>
        <w:pStyle w:val="BodyText"/>
        <w:spacing w:line="480" w:lineRule="auto"/>
        <w:ind w:firstLine="720"/>
      </w:pPr>
      <w:r>
        <w:t xml:space="preserve">The main predictor is the public-sharing design score, a count from zero to five of design elements present in a source: named partners, a data-sharing mechanism, operational collaboration, a public coverage signal, and an alliance or coalition architecture. Sources that specify partnership structures or information-sharing arrangements score high. The AUKUS paper and the hosted-payload pathfinder reach the top of the scale, while the cross-domain visualization work and the partnering study score high on design without making deterrence their central claim</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Two further coded variables, a technical-measurement score and an institutional-partner score, capture, respectively, the density of sensing and orbital-data content and the density of formal partnership content; the technical papers score high on measurement and low on sharing design, exactly as their subject matter implies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 publication-order variable records source sequence for ordering checks.</w:t>
      </w:r>
    </w:p>
    <w:p>
      <w:pPr>
        <w:pStyle w:val="BodyText"/>
        <w:spacing w:line="480" w:lineRule="auto"/>
        <w:ind w:firstLine="720"/>
      </w:pPr>
      <w:r>
        <w:t xml:space="preserve">The dataset’s virtue is transparency and its limit is scope. Eleven documents cannot represent the whole field, and manual coding is interpretive even when the coding rule is explicit. The dataset is therefore used to characterize the specific evidence base the dissertation relies on, not to generalize to all deterrence or SDA scholarship. That bounded ambition is stated plainly so the result in Chapter 6 is read for what it is.</w:t>
      </w:r>
    </w:p>
    <w:bookmarkEnd w:id="100"/>
    <w:bookmarkStart w:id="101" w:name="the-maneuver-magnitude-dataset"/>
    <w:p>
      <w:pPr>
        <w:pStyle w:val="Heading2"/>
        <w:spacing w:line="480" w:lineRule="auto"/>
      </w:pPr>
      <w:r>
        <w:t xml:space="preserve">The maneuver-magnitude dataset</w:t>
      </w:r>
    </w:p>
    <w:p>
      <w:pPr>
        <w:pStyle w:val="FirstParagraph"/>
        <w:spacing w:line="480" w:lineRule="auto"/>
      </w:pPr>
      <w:r>
        <w:t xml:space="preserve">The second dataset contains twelve rows, the radial, in-track, and cross-track inserted-maneuver magnitudes for four satellites in a published TLE anomaly-detection validation table</w:t>
      </w:r>
      <w:r>
        <w:t xml:space="preserve"> </w:t>
      </w:r>
      <w:hyperlink w:anchor="ref-10">
        <w:r>
          <w:rPr>
            <w:rStyle w:val="Hyperlink"/>
          </w:rPr>
          <w:t xml:space="preserve">[10]</w:t>
        </w:r>
      </w:hyperlink>
      <w:r>
        <w:t xml:space="preserve">. The four spacecraft are Gosat-2, Skysat-C19, Blacksky-1, and ICEsat-2, each contributing one magnitude per component direction. Magnitudes are read directly from the source table and span from 0.0002 meters per second to 0.2 meters per second, a range of three orders of magnitude, which is why the dependent variable is the base-ten logarithm of magnitude rather than the raw value. Component indicators for cross-track and in-track are constructed from the table’s own labels, with the radial direction left as the omitted baseline.</w:t>
      </w:r>
    </w:p>
    <w:p>
      <w:pPr>
        <w:pStyle w:val="BodyText"/>
        <w:spacing w:line="480" w:lineRule="auto"/>
        <w:ind w:firstLine="720"/>
      </w:pPr>
      <w:r>
        <w:t xml:space="preserve">This dataset is small by design and complete by construction. Every value is a source-reported number a reader can locate in the original table, which makes the second empirical paper fully traceable. Its purpose is not to represent every orbit regime or every maneuver but to give a concrete numerical example of the measurement asymmetry the full study must confront. The values are inserted-maneuver magnitudes from a validation exercise, not observed deterrence events, and the dissertation treats them accordingly: as measurement design evidence, never as behavior in the wild.</w:t>
      </w:r>
    </w:p>
    <w:bookmarkEnd w:id="101"/>
    <w:bookmarkStart w:id="102" w:name="the-prospective-orbital-record"/>
    <w:p>
      <w:pPr>
        <w:pStyle w:val="Heading2"/>
        <w:spacing w:line="480" w:lineRule="auto"/>
      </w:pPr>
      <w:r>
        <w:t xml:space="preserve">The prospective orbital record</w:t>
      </w:r>
    </w:p>
    <w:p>
      <w:pPr>
        <w:pStyle w:val="FirstParagraph"/>
        <w:spacing w:line="480" w:lineRule="auto"/>
      </w:pPr>
      <w:r>
        <w:t xml:space="preserve">The full behavioral study will draw on public primary and quasi-primary records, specified here so the plan is documented before any behavioral estimate is attempted.</w:t>
      </w:r>
    </w:p>
    <w:p>
      <w:pPr>
        <w:pStyle w:val="BodyText"/>
        <w:spacing w:line="480" w:lineRule="auto"/>
        <w:ind w:firstLine="720"/>
      </w:pPr>
      <w:r>
        <w:t xml:space="preserve">Public general-perturbation and satellite-catalog records supply catalog identifiers, launch information, object status, country codes, and time-stamped orbital elements. From these the study will construct satellite identities, orbital regimes, altitude and inclination bands, satellite age, target and chaser histories, and candidate proximity windows. The feasibility of deriving anomaly and maneuver indicators from two-line element data is real but bounded by the measurement literature, which is why maneuver signatures enter as indicators to be validated rather than as ground truth</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Public conjunction data, where the archive is complete for the study period, will validate and supplement the close-approach events derived from propagated orbital elements. Where older conjunction archives are incomplete, the main specification will rely on reproducible propagation from public general perturbations, using conjunction data for validation rather than as the sole outcome source, so that the outcome definition does not silently change across time.</w:t>
      </w:r>
    </w:p>
    <w:p>
      <w:pPr>
        <w:pStyle w:val="BodyText"/>
        <w:spacing w:line="480" w:lineRule="auto"/>
        <w:ind w:firstLine="720"/>
      </w:pPr>
      <w:r>
        <w:t xml:space="preserve">Treatment timing will be coded from public government and operator records: force and command announcements, defense-ministry statements, hosted-payload program milestones, and partnership declarations. The coding rule is conservative. A target owner is treated only when public records identify coverage through an SDA-sharing arrangement, not when general diplomatic cooperation is merely implied</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This conservatism matters because the mechanism requires public knowledge of increased observability, so a treatment that a chaser could not have known about would be miscoded.</w:t>
      </w:r>
    </w:p>
    <w:p>
      <w:pPr>
        <w:pStyle w:val="BodyText"/>
        <w:spacing w:line="480" w:lineRule="auto"/>
        <w:ind w:firstLine="720"/>
      </w:pPr>
      <w:r>
        <w:t xml:space="preserve">The United Nations registry of objects launched into outer space will cross-check launching state, registration state, object name, and launch date, reducing reliance on any single catalog field for ownership assignment. Public mission pages, press kits, and operator filings will classify mission class and operator type when catalog or registry fields are insufficient; these enter as controls, not as outcomes.</w:t>
      </w:r>
    </w:p>
    <w:bookmarkEnd w:id="102"/>
    <w:bookmarkStart w:id="103" w:name="X722b0c6424f01fc20ca61c61eb1663facc391b4"/>
    <w:p>
      <w:pPr>
        <w:pStyle w:val="Heading2"/>
        <w:spacing w:line="480" w:lineRule="auto"/>
      </w:pPr>
      <w:r>
        <w:t xml:space="preserve">Variable construction and measurement discipline</w:t>
      </w:r>
    </w:p>
    <w:p>
      <w:pPr>
        <w:pStyle w:val="FirstParagraph"/>
        <w:spacing w:line="480" w:lineRule="auto"/>
      </w:pPr>
      <w:r>
        <w:t xml:space="preserve">The full study’s unit is the chaser-target dyad-month. The target is an active satellite whose owner may become covered by public sharing; the chaser is an active spacecraft owned or registered outside the target’s arrangement. Treatment begins in the first full month after public announcement or operational activation of coverage. The outcome is the count of close, low-relative-velocity events involving the dyad in that month. Controls include target and chaser age, orbital regime, altitude and inclination bands, mission class, owner identities, and changes in the cataloged population of the relevant shell.</w:t>
      </w:r>
    </w:p>
    <w:p>
      <w:pPr>
        <w:pStyle w:val="BodyText"/>
        <w:spacing w:line="480" w:lineRule="auto"/>
        <w:ind w:firstLine="720"/>
      </w:pPr>
      <w:r>
        <w:t xml:space="preserve">Two measurement commitments run through all of this. First, thresholds are plural and pre-specified: multiple miss-distance and relative-velocity cuts, so that no single arbitrary threshold drives the result</w:t>
      </w:r>
      <w:r>
        <w:t xml:space="preserve"> </w:t>
      </w:r>
      <w:hyperlink w:anchor="ref-9">
        <w:r>
          <w:rPr>
            <w:rStyle w:val="Hyperlink"/>
          </w:rPr>
          <w:t xml:space="preserve">[9]</w:t>
        </w:r>
      </w:hyperlink>
      <w:r>
        <w:t xml:space="preserve">. Second, detection is component-aware, because the maneuver-magnitude dataset shows that in-track signatures can fall well below radial ones, so absence of a detected maneuver is never read as absence of behavior</w:t>
      </w:r>
      <w:r>
        <w:t xml:space="preserve"> </w:t>
      </w:r>
      <w:hyperlink w:anchor="ref-10">
        <w:r>
          <w:rPr>
            <w:rStyle w:val="Hyperlink"/>
          </w:rPr>
          <w:t xml:space="preserve">[10]</w:t>
        </w:r>
      </w:hyperlink>
      <w:r>
        <w:t xml:space="preserve">. These commitments make measurement part of the identification strategy rather than a source of hidden discretion.</w:t>
      </w:r>
    </w:p>
    <w:bookmarkEnd w:id="103"/>
    <w:bookmarkStart w:id="104" w:name="X1109639f3f586698604ad89b9ac1a28a3a7a7be"/>
    <w:p>
      <w:pPr>
        <w:pStyle w:val="Heading2"/>
        <w:spacing w:line="480" w:lineRule="auto"/>
      </w:pPr>
      <w:r>
        <w:t xml:space="preserve">Constructing the outcome from public orbital records</w:t>
      </w:r>
    </w:p>
    <w:p>
      <w:pPr>
        <w:pStyle w:val="FirstParagraph"/>
        <w:spacing w:line="480" w:lineRule="auto"/>
      </w:pPr>
      <w:r>
        <w:t xml:space="preserve">The outcome variable, the count of hazardous proximity events per dyad-month, is the most delicate construction in the entire design, and its details determine whether the eventual estimate means anything. A hazardous proximity event is defined ex ante as a close approach below a primary miss-distance threshold at low relative velocity. Both conditions carry weight. The miss-distance condition captures physical proximity, the sense in which one spacecraft came near another. The low-relative-velocity condition distinguishes a deliberate or controlled approach from a high-speed conjunction that reflects orbital mechanics rather than any operator’s choice, since two objects in crossing orbits can pass close at high relative speed without either having maneuvered toward the other.</w:t>
      </w:r>
    </w:p>
    <w:p>
      <w:pPr>
        <w:pStyle w:val="BodyText"/>
        <w:spacing w:line="480" w:lineRule="auto"/>
        <w:ind w:firstLine="720"/>
      </w:pPr>
      <w:r>
        <w:t xml:space="preserve">Building this outcome from public general-perturbation records requires propagating orbital elements forward, identifying candidate close-approach windows between each chaser and target, and screening those windows against the miss-distance and relative-velocity thresholds. The propagation step is where measurement uncertainty enters, because two-line element sets carry known precision limits that vary with orbit regime and with time since the element set was generated</w:t>
      </w:r>
      <w:r>
        <w:t xml:space="preserve"> </w:t>
      </w:r>
      <w:hyperlink w:anchor="ref-9">
        <w:r>
          <w:rPr>
            <w:rStyle w:val="Hyperlink"/>
          </w:rPr>
          <w:t xml:space="preserve">[9]</w:t>
        </w:r>
      </w:hyperlink>
      <w:r>
        <w:t xml:space="preserve">. The design handles this by treating each candidate event as a probabilistic rather than a deterministic detection, screening across the plural thresholds rather than a single cut, and validating against public conjunction data wherever the archive is complete for the period in question.</w:t>
      </w:r>
    </w:p>
    <w:p>
      <w:pPr>
        <w:pStyle w:val="BodyText"/>
        <w:spacing w:line="480" w:lineRule="auto"/>
        <w:ind w:firstLine="720"/>
      </w:pPr>
      <w:r>
        <w:t xml:space="preserve">A key discipline is that the outcome definition must not drift across the study window. If public conjunction archives are complete for recent years but sparse for older ones, a naive analysis might use conjunction data early and propagated elements late, or the reverse, silently changing what an event means over time. The design forbids this. The main specification uses one consistent, reproducible construction, propagation from public general perturbations, throughout the window, and uses conjunction data for validation rather than as a source that switches in and out. This consistency is what allows a before-and-after comparison to reflect behavior rather than a change in how behavior was measured</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bookmarkEnd w:id="104"/>
    <w:bookmarkStart w:id="105" w:name="coding-treatment-and-assigning-ownership"/>
    <w:p>
      <w:pPr>
        <w:pStyle w:val="Heading2"/>
        <w:spacing w:line="480" w:lineRule="auto"/>
      </w:pPr>
      <w:r>
        <w:t xml:space="preserve">Coding treatment and assigning ownership</w:t>
      </w:r>
    </w:p>
    <w:p>
      <w:pPr>
        <w:pStyle w:val="FirstParagraph"/>
        <w:spacing w:line="480" w:lineRule="auto"/>
      </w:pPr>
      <w:r>
        <w:t xml:space="preserve">Treatment coding carries its own measurement burden, because the mechanism depends on public knowledge of coverage, and coverage must therefore be dated from records a potential chaser could actually have seen. The coding rule is conservative by construction: a target owner is coded as treated only when public records, official announcements, partnership agreements, hosted-payload milestones, or government releases, identify coverage through an SDA-sharing arrangement</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General diplomatic cooperation, mutual goodwill, or unannounced technical sensing does not qualify, because none of these creates the common knowledge on which the deterrent mechanism relies</w:t>
      </w:r>
      <w:r>
        <w:t xml:space="preserve"> </w:t>
      </w:r>
      <w:hyperlink w:anchor="ref-8">
        <w:r>
          <w:rPr>
            <w:rStyle w:val="Hyperlink"/>
          </w:rPr>
          <w:t xml:space="preserve">[8]</w:t>
        </w:r>
      </w:hyperlink>
      <w:r>
        <w:t xml:space="preserve">.</w:t>
      </w:r>
    </w:p>
    <w:p>
      <w:pPr>
        <w:pStyle w:val="BodyText"/>
        <w:spacing w:line="480" w:lineRule="auto"/>
        <w:ind w:firstLine="720"/>
      </w:pPr>
      <w:r>
        <w:t xml:space="preserve">This conservatism has a known cost, and the design accepts it deliberately. By excluding classified or informal sharing, the coding systematically misses real coverage that a chaser might nonetheless have inferred, which means the estimated effect is a lower bound on the deterrent effect of all sharing. A lower bound is the right target here. It is better to under-count treatment and risk understating the effect than to over-count treatment by coding coverage a chaser could not have known about, which would attach the treatment label to months in which the mechanism was not actually operative.</w:t>
      </w:r>
    </w:p>
    <w:p>
      <w:pPr>
        <w:pStyle w:val="BodyText"/>
        <w:spacing w:line="480" w:lineRule="auto"/>
        <w:ind w:firstLine="720"/>
      </w:pPr>
      <w:r>
        <w:t xml:space="preserve">Ownership assignment is the other coding challenge, because both treatment and the partner-status distinction depend on knowing who owns each target and each chaser. Satellite catalog country codes are a starting point, but they can reflect launch or registration rather than operational control, and a single field is fragile. The design cross-checks ownership against the United Nations registry of objects launched into outer space, which records launching state, registration state, object name, and launch date, and against public mission and operator records where catalog and registry fields disagree or fall short. Ownership enters the analysis both as a control and, more consequentially, as the basis for the partner-versus-nonpartner classification that carries the mechanism’s cleanest prediction, so errors here would blur exactly the asymmetry the design most needs to detect.</w:t>
      </w:r>
    </w:p>
    <w:bookmarkEnd w:id="105"/>
    <w:bookmarkStart w:id="106" w:name="Xa050b260f6d0cf6eb5c907f84f5c411b2608caf"/>
    <w:p>
      <w:pPr>
        <w:pStyle w:val="Heading2"/>
        <w:spacing w:line="480" w:lineRule="auto"/>
      </w:pPr>
      <w:r>
        <w:t xml:space="preserve">Provenance and reproducibility as a standard</w:t>
      </w:r>
    </w:p>
    <w:bookmarkEnd w:id="106"/>
    <w:bookmarkStart w:id="107" w:name="controls-and-their-measurement"/>
    <w:p>
      <w:pPr>
        <w:pStyle w:val="Heading2"/>
        <w:spacing w:line="480" w:lineRule="auto"/>
      </w:pPr>
      <w:r>
        <w:t xml:space="preserve">Controls and their measurement</w:t>
      </w:r>
    </w:p>
    <w:p>
      <w:pPr>
        <w:pStyle w:val="FirstParagraph"/>
        <w:spacing w:line="480" w:lineRule="auto"/>
      </w:pPr>
      <w:r>
        <w:t xml:space="preserve">The control variables in the full design each carry their own measurement considerations, and treating them carelessly would let confounds slip through. Satellite age is constructed from launch date in the catalog and registry, and it matters because commissioning and early-orbit operations involve more maneuvering, so a young target or a young chaser generates more proximity activity for reasons unrelated to deterrence</w:t>
      </w:r>
      <w:r>
        <w:t xml:space="preserve"> </w:t>
      </w:r>
      <w:hyperlink w:anchor="ref-9">
        <w:r>
          <w:rPr>
            <w:rStyle w:val="Hyperlink"/>
          </w:rPr>
          <w:t xml:space="preserve">[9]</w:t>
        </w:r>
      </w:hyperlink>
      <w:r>
        <w:t xml:space="preserve">. Orbital regime, altitude band, and inclination band are derived from the orbital elements themselves, and they matter because congestion and encounter geometry differ sharply across low Earth orbit, medium Earth orbit, highly elliptical orbit, and geosynchronous orbit. Mission class and operator type, drawn from public mission records, matter because a servicing spacecraft and a communications satellite present very different baseline proximity profiles</w:t>
      </w:r>
      <w:r>
        <w:t xml:space="preserve"> </w:t>
      </w:r>
      <w:hyperlink w:anchor="ref-23">
        <w:r>
          <w:rPr>
            <w:rStyle w:val="Hyperlink"/>
          </w:rPr>
          <w:t xml:space="preserve">[23]</w:t>
        </w:r>
      </w:hyperlink>
      <w:r>
        <w:t xml:space="preserve">.</w:t>
      </w:r>
    </w:p>
    <w:p>
      <w:pPr>
        <w:pStyle w:val="BodyText"/>
        <w:spacing w:line="480" w:lineRule="auto"/>
        <w:ind w:firstLine="720"/>
      </w:pPr>
      <w:r>
        <w:t xml:space="preserve">Shell population change is the most dynamic control and the most important for one of the rival explanations. As the cataloged population of a shell grows, the mechanical rate of close approaches rises independent of any behavioral change, so a study that omitted population change could mistake a denser sky for a deterred one, or the reverse</w:t>
      </w:r>
      <w:r>
        <w:t xml:space="preserve"> </w:t>
      </w:r>
      <w:hyperlink w:anchor="ref-9">
        <w:r>
          <w:rPr>
            <w:rStyle w:val="Hyperlink"/>
          </w:rPr>
          <w:t xml:space="preserve">[9]</w:t>
        </w:r>
      </w:hyperlink>
      <w:r>
        <w:t xml:space="preserve">. The design constructs a time-varying count of cataloged objects in each relevant shell and includes it directly, so that the treatment coefficient reflects behavior net of the shell’s changing congestion. This control is where the catalog-improvement rival is partly absorbed, because changes in what is cataloged show up as changes in shell population that the control removes.</w:t>
      </w:r>
    </w:p>
    <w:p>
      <w:pPr>
        <w:pStyle w:val="BodyText"/>
        <w:spacing w:line="480" w:lineRule="auto"/>
        <w:ind w:firstLine="720"/>
      </w:pPr>
      <w:r>
        <w:t xml:space="preserve">Each control is measured from a public source and enters as a covariate, never as an outcome. The discipline is that controls are chosen for their role in the confounding structure, not for their statistical convenience, and that each is documented so a reader can assess whether it does the work claimed. A control that is poorly measured can do more harm than good, introducing noise or, worse, correlating with treatment so that it biases the coefficient, so the design prefers a small set of well-measured, theoretically motivated controls over a large set of loosely constructed ones</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bookmarkEnd w:id="107"/>
    <w:bookmarkStart w:id="108" w:name="data-limitations-stated-plainly"/>
    <w:p>
      <w:pPr>
        <w:pStyle w:val="Heading2"/>
        <w:spacing w:line="480" w:lineRule="auto"/>
      </w:pPr>
      <w:r>
        <w:t xml:space="preserve">Data limitations stated plainly</w:t>
      </w:r>
    </w:p>
    <w:p>
      <w:pPr>
        <w:pStyle w:val="FirstParagraph"/>
        <w:spacing w:line="480" w:lineRule="auto"/>
      </w:pPr>
      <w:r>
        <w:t xml:space="preserve">Honesty about the data requires naming what the record cannot supply. Public catalogs do not include every object; small, dark, or classified objects may be absent or sparsely tracked, which means some chasers and some approaches are invisible to the design</w:t>
      </w:r>
      <w:r>
        <w:t xml:space="preserve"> </w:t>
      </w:r>
      <w:hyperlink w:anchor="ref-7">
        <w:r>
          <w:rPr>
            <w:rStyle w:val="Hyperlink"/>
          </w:rPr>
          <w:t xml:space="preserve">[7]</w:t>
        </w:r>
      </w:hyperlink>
      <w:r>
        <w:t xml:space="preserve"> </w:t>
      </w:r>
      <w:hyperlink w:anchor="ref-10">
        <w:r>
          <w:rPr>
            <w:rStyle w:val="Hyperlink"/>
          </w:rPr>
          <w:t xml:space="preserve">[10]</w:t>
        </w:r>
      </w:hyperlink>
      <w:r>
        <w:t xml:space="preserve">. Ownership assignment, even cross-checked against the registry, can be ambiguous for objects whose operational control differs from their registration, and misassigned ownership blurs the partner-status distinction the mechanism relies on. Treatment dates coded from public announcements may lag or lead the moment a chaser actually perceived coverage, introducing timing error into the very variable the event study is built around</w:t>
      </w:r>
      <w:r>
        <w:t xml:space="preserve"> </w:t>
      </w:r>
      <w:hyperlink w:anchor="ref-8">
        <w:r>
          <w:rPr>
            <w:rStyle w:val="Hyperlink"/>
          </w:rPr>
          <w:t xml:space="preserve">[8]</w:t>
        </w:r>
      </w:hyperlink>
      <w:r>
        <w:t xml:space="preserve">.</w:t>
      </w:r>
    </w:p>
    <w:p>
      <w:pPr>
        <w:pStyle w:val="BodyText"/>
        <w:spacing w:line="480" w:lineRule="auto"/>
        <w:ind w:firstLine="720"/>
      </w:pPr>
      <w:r>
        <w:t xml:space="preserve">None of these limitations is fatal, but each shapes interpretation. Missing objects mean the outcome undercounts, biasing toward a null if the missingness is unrelated to treatment and requiring caution if it is not. Ambiguous ownership attenuates the partner-status contrast, making the asymmetry harder to detect than it truly is. Timing error in treatment smears the event-study coefficients across adjacent months, which the design accommodates by reading effects over a window rather than at a single point</w:t>
      </w:r>
      <w:r>
        <w:t xml:space="preserve"> </w:t>
      </w:r>
      <w:hyperlink w:anchor="ref-8">
        <w:r>
          <w:rPr>
            <w:rStyle w:val="Hyperlink"/>
          </w:rPr>
          <w:t xml:space="preserve">[8]</w:t>
        </w:r>
      </w:hyperlink>
      <w:r>
        <w:t xml:space="preserve">. Stating these limits at the data stage, rather than burying them, is what lets the results chapter and the limitations chapter interpret the eventual estimate with the right degree of confidence.</w:t>
      </w:r>
    </w:p>
    <w:p>
      <w:pPr>
        <w:pStyle w:val="BodyText"/>
        <w:spacing w:line="480" w:lineRule="auto"/>
        <w:ind w:firstLine="720"/>
      </w:pPr>
      <w:r>
        <w:t xml:space="preserve">Running through the two completed datasets and the prospective record is a single standard: every observation should be traceable to a public source a reader could reopen. In the source corpus, each row is a cited document and each code can be checked against the document’s own text. In the maneuver dataset, each row is a value read from a published validation table, locatable line by line</w:t>
      </w:r>
      <w:r>
        <w:t xml:space="preserve"> </w:t>
      </w:r>
      <w:hyperlink w:anchor="ref-10">
        <w:r>
          <w:rPr>
            <w:rStyle w:val="Hyperlink"/>
          </w:rPr>
          <w:t xml:space="preserve">[10]</w:t>
        </w:r>
      </w:hyperlink>
      <w:r>
        <w:t xml:space="preserve">. In the prospective orbital record, each event will rest on public catalog and registry entries, each treatment date on a public announcement, and each ownership assignment on a cross-checked registry field. This is not administrative tidiness. Provenance is what lets a skeptical reader audit the deterrence claim rather than take it on faith, and a claim about strategic behavior in a contested domain should be auditable or it should not be made. Chapter 6 reports what the two completed analyses found under exactly this discipline.</w:t>
      </w:r>
    </w:p>
    <w:bookmarkEnd w:id="108"/>
    <w:bookmarkEnd w:id="109"/>
    <w:bookmarkStart w:id="118" w:name="chapter-6.-results"/>
    <w:p>
      <w:pPr>
        <w:pStyle w:val="Heading1"/>
        <w:spacing w:line="480" w:lineRule="auto"/>
      </w:pPr>
      <w:r>
        <w:t xml:space="preserve">Chapter 6. Results</w:t>
      </w:r>
    </w:p>
    <w:p>
      <w:pPr>
        <w:pStyle w:val="FirstParagraph"/>
        <w:spacing w:line="480" w:lineRule="auto"/>
      </w:pPr>
      <w:r>
        <w:t xml:space="preserve">This chapter reports the estimator output of the two completed empirical papers exactly as produced, then interprets the signs and magnitudes. The first paper estimates whether the dissertation’s cited corpus already fuses public SDA-sharing design with explicit deterrence framing, using a logistic model. The second estimates whether inserted-maneuver magnitudes vary by component strongly enough to require component-aware measurement thresholds, using ordinary least squares. Neither result claims a deterrence effect in orbit. Together they establish that the behavioral test is necessary and that the outcome must be measured with care.</w:t>
      </w:r>
    </w:p>
    <w:bookmarkStart w:id="110" w:name="Xcf8942cdeb3c6b017725e10036f26c11614d86a"/>
    <w:p>
      <w:pPr>
        <w:pStyle w:val="Heading2"/>
        <w:spacing w:line="480" w:lineRule="auto"/>
      </w:pPr>
      <w:r>
        <w:t xml:space="preserve">Paper 1: sharing design and deterrence framing</w:t>
      </w:r>
    </w:p>
    <w:p>
      <w:pPr>
        <w:pStyle w:val="FirstParagraph"/>
        <w:spacing w:line="480" w:lineRule="auto"/>
      </w:pPr>
      <w:r>
        <w:t xml:space="preserve">The first model is a logistic regression over eleven cited source documents. The outcome is the binary deterrence-framing indicator; the predictor is the public-sharing design score, the count from zero to five of sharing-design elements coded from each source. The model estimates the probability that a source uses explicit deterrence framing as a function of that score, following the specification in which the inverse-logit of a constant plus the design-score coefficient gives the framing probability.</w:t>
      </w:r>
    </w:p>
    <w:p>
      <w:pPr>
        <w:pStyle w:val="BodyText"/>
        <w:spacing w:line="480" w:lineRule="auto"/>
        <w:ind w:firstLine="720"/>
      </w:pPr>
      <w:r>
        <w:t xml:space="preserve">The estimated coefficient on the public-sharing design score is 0.375. The coefficient is positive, so richer public-sharing design is associated with a higher probability of explicit deterrence framing, in the direction the theory anticipates. The association is statistically weak. The p value on the coefficient is 0.335, well above any conventional threshold for significance, and the model’s pseudo R-squared is 0.071, indicating that the design score explains only a small share of the variation in framing across the eleven documents. The sample size is eleven source documents, which is the dissertation’s high-relevance cited corpus rather than a random draw from the field.</w:t>
      </w:r>
    </w:p>
    <w:p>
      <w:pPr>
        <w:pStyle w:val="BodyText"/>
        <w:spacing w:line="480" w:lineRule="auto"/>
        <w:ind w:firstLine="720"/>
      </w:pPr>
      <w:r>
        <w:t xml:space="preserve">Read carefully, this is a positive-but-weak result, and its weakness is informative rather than disappointing. A large and precise coefficient would have implied that the literature already treats public SDA sharing as deterrence, in which case a behavioral study would be redundant. The observed coefficient of 0.375 with p equal to 0.335 implies the opposite: the concepts are adjacent in the corpus but not fused. Some sources describe robust partnership mechanisms without naming deterrence</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Some deterrence sources describe strategic interpretation without building an empirical sharing treatment</w:t>
      </w:r>
      <w:r>
        <w:t xml:space="preserve"> </w:t>
      </w:r>
      <w:hyperlink w:anchor="ref-1">
        <w:r>
          <w:rPr>
            <w:rStyle w:val="Hyperlink"/>
          </w:rPr>
          <w:t xml:space="preserve">[1]</w:t>
        </w:r>
      </w:hyperlink>
      <w:r>
        <w:t xml:space="preserve"> </w:t>
      </w:r>
      <w:hyperlink w:anchor="ref-8">
        <w:r>
          <w:rPr>
            <w:rStyle w:val="Hyperlink"/>
          </w:rPr>
          <w:t xml:space="preserve">[8]</w:t>
        </w:r>
      </w:hyperlink>
      <w:r>
        <w:t xml:space="preserve">. The dissertation sits precisely in that unfilled join.</w:t>
      </w:r>
    </w:p>
    <w:p>
      <w:pPr>
        <w:pStyle w:val="BodyText"/>
        <w:spacing w:line="480" w:lineRule="auto"/>
        <w:ind w:firstLine="720"/>
      </w:pPr>
      <w:r>
        <w:t xml:space="preserve">The magnitude deserves plain translation. On the log-odds scale, each additional point of sharing-design score raises the log-odds of deterrence framing by 0.375, so a source moving from a mid-range design score to the top of the five-point scale gains a little over a full log-odds unit of framing probability. That is a meaningful direction and a genuinely uncertain estimate at the same time. The uncertainty is not a flaw to hide; it is the empirical reason the dissertation cannot launder a literature adjacency into a behavioral conclusion. The result licenses the deterrence question without answering it.</w:t>
      </w:r>
    </w:p>
    <w:p>
      <w:pPr>
        <w:pStyle w:val="BodyText"/>
        <w:spacing w:line="480" w:lineRule="auto"/>
        <w:ind w:firstLine="720"/>
      </w:pPr>
      <w:r>
        <w:t xml:space="preserve">Two limits bound the reading. The eleven rows are documents, not orbital events, so the model estimates framing association, not deterrent effect. And the coding, while transparent and reproducible from the coded corpus, is interpretive. The result therefore characterizes the specific evidence base the dissertation relies on and makes no claim about all space-security literature. Within that bounded ambition, it does exactly what it should: it shows what the source record has not yet proven</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bookmarkEnd w:id="110"/>
    <w:bookmarkStart w:id="111" w:name="X16d37f68284c56b3223b022f3fe6eb761bfab02"/>
    <w:p>
      <w:pPr>
        <w:pStyle w:val="Heading2"/>
        <w:spacing w:line="480" w:lineRule="auto"/>
      </w:pPr>
      <w:r>
        <w:t xml:space="preserve">Paper 2: component-dependent maneuver magnitudes</w:t>
      </w:r>
    </w:p>
    <w:p>
      <w:pPr>
        <w:pStyle w:val="FirstParagraph"/>
        <w:spacing w:line="480" w:lineRule="auto"/>
      </w:pPr>
      <w:r>
        <w:t xml:space="preserve">The second model is an ordinary least squares regression over twelve rows, the radial, in-track, and cross-track inserted-maneuver magnitudes for four satellites in a published TLE anomaly-detection validation table</w:t>
      </w:r>
      <w:r>
        <w:t xml:space="preserve"> </w:t>
      </w:r>
      <w:hyperlink w:anchor="ref-10">
        <w:r>
          <w:rPr>
            <w:rStyle w:val="Hyperlink"/>
          </w:rPr>
          <w:t xml:space="preserve">[10]</w:t>
        </w:r>
      </w:hyperlink>
      <w:r>
        <w:t xml:space="preserve">. The dependent variable is the base-ten logarithm of maneuver magnitude in meters per second. The predictors are indicators for the cross-track and in-track components, with the radial component left as the omitted baseline, following the specification in which log-ten magnitude is a constant plus a cross-track term plus an in-track term plus error.</w:t>
      </w:r>
    </w:p>
    <w:p>
      <w:pPr>
        <w:pStyle w:val="BodyText"/>
        <w:spacing w:line="480" w:lineRule="auto"/>
        <w:ind w:firstLine="720"/>
      </w:pPr>
      <w:r>
        <w:t xml:space="preserve">The in-track coefficient is -0.980, with a p value of 0.045. The sign is negative and the estimate reaches conventional significance, so in-track inserted maneuvers in this table are roughly one order of magnitude smaller than the radial baseline, since a change of about one unit on the base-ten log scale corresponds to a factor of ten in magnitude. The cross-track coefficient is 0.325, with a p value of 0.387. The sign is positive, suggesting that cross-track magnitudes run larger than the radial baseline, but the p value is far from significance, so the cross-track direction should be treated as suggestive rather than established. The model explains about 49.2 percent of the variation in log magnitude across the twelve rows, a substantial share for a small source-reported dataset, though the sample remains too small for broad inference.</w:t>
      </w:r>
    </w:p>
    <w:p>
      <w:pPr>
        <w:pStyle w:val="BodyText"/>
        <w:spacing w:line="480" w:lineRule="auto"/>
        <w:ind w:firstLine="720"/>
      </w:pPr>
      <w:r>
        <w:t xml:space="preserve">The interpretation is a measurement-design lesson, not a behavioral one. In-track signatures sitting an order of magnitude below radial ones means that observability is component-dependent: a maneuver that is easy to detect in one direction may be near or below naive detection thresholds in another. For a study that constructs proximity and maneuver outcomes from public orbital records, the consequence is direct. Detection thresholds cannot be uniform by assumption, and the absence of a detected maneuver cannot be read as the absence of behavior, because a real in-track maneuver could fall beneath a threshold calibrated to radial magnitudes</w:t>
      </w:r>
      <w:r>
        <w:t xml:space="preserve"> </w:t>
      </w:r>
      <w:hyperlink w:anchor="ref-10">
        <w:r>
          <w:rPr>
            <w:rStyle w:val="Hyperlink"/>
          </w:rPr>
          <w:t xml:space="preserve">[10]</w:t>
        </w:r>
      </w:hyperlink>
      <w:r>
        <w:t xml:space="preserve">. The uncertain cross-track estimate reinforces the same caution: the design should not privilege one component without sensitivity checks.</w:t>
      </w:r>
    </w:p>
    <w:p>
      <w:pPr>
        <w:pStyle w:val="BodyText"/>
        <w:spacing w:line="480" w:lineRule="auto"/>
        <w:ind w:firstLine="720"/>
      </w:pPr>
      <w:r>
        <w:t xml:space="preserve">The value of this result is its traceability. Every satellite, every component, and every magnitude is a source-reported value a reader can locate in the original table. Twelve inserted-maneuver rows cannot govern an entire dissertation, and they do not; they supply a concrete example of a measurement problem that the broader orbital-data precision literature frames in general terms, where precision, accuracy, uncertainty propagation, and uncertainty realism all condition any inference drawn from orbital catalogs</w:t>
      </w:r>
      <w:r>
        <w:t xml:space="preserve"> </w:t>
      </w:r>
      <w:hyperlink w:anchor="ref-9">
        <w:r>
          <w:rPr>
            <w:rStyle w:val="Hyperlink"/>
          </w:rPr>
          <w:t xml:space="preserve">[9]</w:t>
        </w:r>
      </w:hyperlink>
      <w:r>
        <w:t xml:space="preserve">. The narrow OLS result and the broad precision framework point the same way: measure the outcome with component-aware, plural thresholds, or risk mistaking a measurement artifact for a behavioral change.</w:t>
      </w:r>
    </w:p>
    <w:bookmarkEnd w:id="111"/>
    <w:bookmarkStart w:id="112" w:name="what-the-two-results-establish-together"/>
    <w:p>
      <w:pPr>
        <w:pStyle w:val="Heading2"/>
        <w:spacing w:line="480" w:lineRule="auto"/>
      </w:pPr>
      <w:r>
        <w:t xml:space="preserve">What the two results establish together</w:t>
      </w:r>
    </w:p>
    <w:p>
      <w:pPr>
        <w:pStyle w:val="FirstParagraph"/>
        <w:spacing w:line="480" w:lineRule="auto"/>
      </w:pPr>
      <w:r>
        <w:t xml:space="preserve">Neither result estimates deterrence, and neither pretends to. The first shows, through a coefficient of 0.375 at p equal to 0.335 over eleven documents, that the dissertation’s own corpus does not already fuse sharing design and deterrence framing, which is why the behavioral test is not decorative</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second shows, through an in-track coefficient of -0.980 at p equal to 0.045 and a cross-track coefficient of 0.325 at p equal to 0.387 over twelve rows, that the outcome the behavioral test depends on must be measured with component-aware thresholds</w:t>
      </w:r>
      <w:r>
        <w:t xml:space="preserve"> </w:t>
      </w:r>
      <w:hyperlink w:anchor="ref-10">
        <w:r>
          <w:rPr>
            <w:rStyle w:val="Hyperlink"/>
          </w:rPr>
          <w:t xml:space="preserve">[10]</w:t>
        </w:r>
      </w:hyperlink>
      <w:r>
        <w:t xml:space="preserve">.</w:t>
      </w:r>
    </w:p>
    <w:p>
      <w:pPr>
        <w:pStyle w:val="BodyText"/>
        <w:spacing w:line="480" w:lineRule="auto"/>
        <w:ind w:firstLine="720"/>
      </w:pPr>
      <w:r>
        <w:t xml:space="preserve">The logit disciplines the argument. The OLS disciplines the measurement. Read as a pair, they define the exact conditions under which a future dyad-month event study could credibly claim, or fail to claim, that public SDA-sharing coverage deters hazardous proximity behavior. The corpus association is real but weak; the measurement asymmetry is real and, in the in-track direction, statistically clear. Both findings survive their own stated limits, and both point to the same conclusion: the deterrence claim must be earned by observed behavior, measured honestly, and not asserted from framing or from a single detection threshold.</w:t>
      </w:r>
    </w:p>
    <w:bookmarkEnd w:id="112"/>
    <w:bookmarkStart w:id="113" w:name="X69462684d319df604110d87f7c7fd8b7971b166"/>
    <w:p>
      <w:pPr>
        <w:pStyle w:val="Heading2"/>
        <w:spacing w:line="480" w:lineRule="auto"/>
      </w:pPr>
      <w:r>
        <w:t xml:space="preserve">Reading the logit result against the coded corpus</w:t>
      </w:r>
    </w:p>
    <w:p>
      <w:pPr>
        <w:pStyle w:val="FirstParagraph"/>
        <w:spacing w:line="480" w:lineRule="auto"/>
      </w:pPr>
      <w:r>
        <w:t xml:space="preserve">The logit coefficient of 0.375 becomes more informative when read against the individual sources that produced it. The two highest-scoring sources on public-sharing design, the AUKUS partnership analysis and the hosted-payload pathfinder, both also code one on the deterrence-framing indicator, which pulls the coefficient positive</w:t>
      </w:r>
      <w:r>
        <w:t xml:space="preserve"> </w:t>
      </w:r>
      <w:hyperlink w:anchor="ref-5">
        <w:r>
          <w:rPr>
            <w:rStyle w:val="Hyperlink"/>
          </w:rPr>
          <w:t xml:space="preserve">[5]</w:t>
        </w:r>
      </w:hyperlink>
      <w:r>
        <w:t xml:space="preserve"> </w:t>
      </w:r>
      <w:hyperlink w:anchor="ref-6">
        <w:r>
          <w:rPr>
            <w:rStyle w:val="Hyperlink"/>
          </w:rPr>
          <w:t xml:space="preserve">[6]</w:t>
        </w:r>
      </w:hyperlink>
      <w:r>
        <w:t xml:space="preserve">. But the pattern is far from clean, and the impurity is exactly what drives the p value of 0.335. The cross-domain visualization work and the partnering study score high on sharing design yet code zero on deterrence framing, because their central claims are operational and architectural rather than strategic</w:t>
      </w:r>
      <w:r>
        <w:t xml:space="preserve"> </w:t>
      </w:r>
      <w:hyperlink w:anchor="ref-2">
        <w:r>
          <w:rPr>
            <w:rStyle w:val="Hyperlink"/>
          </w:rPr>
          <w:t xml:space="preserve">[2]</w:t>
        </w:r>
      </w:hyperlink>
      <w:r>
        <w:t xml:space="preserve"> </w:t>
      </w:r>
      <w:hyperlink w:anchor="ref-3">
        <w:r>
          <w:rPr>
            <w:rStyle w:val="Hyperlink"/>
          </w:rPr>
          <w:t xml:space="preserve">[3]</w:t>
        </w:r>
      </w:hyperlink>
      <w:r>
        <w:t xml:space="preserve">. Meanwhile the artificial-intelligence and autonomy paper codes one on deterrence framing while scoring low on sharing design, since its subject is escalation control rather than partnership structure</w:t>
      </w:r>
      <w:r>
        <w:t xml:space="preserve"> </w:t>
      </w:r>
      <w:hyperlink w:anchor="ref-1">
        <w:r>
          <w:rPr>
            <w:rStyle w:val="Hyperlink"/>
          </w:rPr>
          <w:t xml:space="preserve">[1]</w:t>
        </w:r>
      </w:hyperlink>
      <w:r>
        <w:t xml:space="preserve">.</w:t>
      </w:r>
    </w:p>
    <w:p>
      <w:pPr>
        <w:pStyle w:val="BodyText"/>
        <w:spacing w:line="480" w:lineRule="auto"/>
        <w:ind w:firstLine="720"/>
      </w:pPr>
      <w:r>
        <w:t xml:space="preserve">These crosscutting cases are why the association is weak rather than strong, and they are substantively meaningful rather than statistical noise. They show a literature in which sharing design and deterrence language are produced by partly different communities writing for partly different purposes. The partnership community documents institutions; the deterrence community theorizes strategy; the two overlap at points, visibly in the AUKUS and hosted-payload work, but they do not coincide</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A logit over eleven documents is a small instrument, yet it registers this structural feature of the field cleanly, and the feature is precisely what leaves the behavioral question open for the dissertation to answer.</w:t>
      </w:r>
    </w:p>
    <w:p>
      <w:pPr>
        <w:pStyle w:val="BodyText"/>
        <w:spacing w:line="480" w:lineRule="auto"/>
        <w:ind w:firstLine="720"/>
      </w:pPr>
      <w:r>
        <w:t xml:space="preserve">The pseudo R-squared of 0.071 reinforces the reading. The sharing-design score accounts for only a small slice of the variation in framing, which means framing is driven substantially by factors the score does not capture, the source’s community, its purpose, its disciplinary home. That is consistent with a field whose deterrence talk and sharing talk are loosely coupled. A field in which they were tightly coupled would show a high pseudo R-squared and a precise coefficient, and would need no behavioral test to establish the link. The observed looseness is the empirical warrant for the dissertation’s central design</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13"/>
    <w:bookmarkStart w:id="114" w:name="X4883a8fd653fe67f6b9ba00c5cbe92e77475919"/>
    <w:p>
      <w:pPr>
        <w:pStyle w:val="Heading2"/>
        <w:spacing w:line="480" w:lineRule="auto"/>
      </w:pPr>
      <w:r>
        <w:t xml:space="preserve">Reading the OLS result against the four satellites</w:t>
      </w:r>
    </w:p>
    <w:p>
      <w:pPr>
        <w:pStyle w:val="FirstParagraph"/>
        <w:spacing w:line="480" w:lineRule="auto"/>
      </w:pPr>
      <w:r>
        <w:t xml:space="preserve">The OLS result likewise repays attention to the underlying rows. The in-track coefficient of -0.980 aggregates a consistent pattern across all four satellites: in every case, the in-track inserted magnitude in the validation table sits below the radial magnitude for the same spacecraft, and in several cases well below it</w:t>
      </w:r>
      <w:r>
        <w:t xml:space="preserve"> </w:t>
      </w:r>
      <w:hyperlink w:anchor="ref-10">
        <w:r>
          <w:rPr>
            <w:rStyle w:val="Hyperlink"/>
          </w:rPr>
          <w:t xml:space="preserve">[10]</w:t>
        </w:r>
      </w:hyperlink>
      <w:r>
        <w:t xml:space="preserve">. Blacksky-1’s in-track magnitude, at the low end of the table, is nearly two orders of magnitude beneath the largest radial values elsewhere in the set. This consistency across four otherwise dissimilar satellites, spanning different operators and mission types, is what lets a twelve-row regression reach a p value of 0.045 on the in-track term despite the tiny sample.</w:t>
      </w:r>
    </w:p>
    <w:p>
      <w:pPr>
        <w:pStyle w:val="BodyText"/>
        <w:spacing w:line="480" w:lineRule="auto"/>
        <w:ind w:firstLine="720"/>
      </w:pPr>
      <w:r>
        <w:t xml:space="preserve">The cross-track story is genuinely different, and the statistics say so. The positive coefficient of 0.325 reflects that cross-track magnitudes tend to exceed radial ones in the table, but the pattern is less consistent across the four satellites, and with only four cross-track observations the estimate carries a p value of 0.387. The honest reading is that cross-track magnitudes are plausibly larger than radial but that the evidence here cannot establish it. The dissertation treats the cross-track direction as suggestive and declines to build any threshold decision on it alone, which is exactly the caution the uncertain estimate demands</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model’s 49.2 percent of explained variance is high for a source-reported dataset of twelve rows, and the temptation is to over-read it. The dissertation resists. A high R-squared on a small, structured validation table reflects that maneuver component genuinely organizes magnitude in this particular set, not that component explains magnitude in orbit generally. The result’s value is demonstrative rather than inferential: it proves by concrete example that a real, published detection dataset contains component-dependent magnitude variation large enough to matter for threshold design, which is a claim about what measurement must account for, not a claim about how satellites behave</w:t>
      </w:r>
      <w:r>
        <w:t xml:space="preserve"> </w:t>
      </w:r>
      <w:hyperlink w:anchor="ref-10">
        <w:r>
          <w:rPr>
            <w:rStyle w:val="Hyperlink"/>
          </w:rPr>
          <w:t xml:space="preserve">[10]</w:t>
        </w:r>
      </w:hyperlink>
      <w:r>
        <w:t xml:space="preserve">.</w:t>
      </w:r>
    </w:p>
    <w:bookmarkEnd w:id="114"/>
    <w:bookmarkStart w:id="115" w:name="the-joint-logic-of-the-two-results"/>
    <w:p>
      <w:pPr>
        <w:pStyle w:val="Heading2"/>
        <w:spacing w:line="480" w:lineRule="auto"/>
      </w:pPr>
      <w:r>
        <w:t xml:space="preserve">The joint logic of the two results</w:t>
      </w:r>
    </w:p>
    <w:p>
      <w:pPr>
        <w:pStyle w:val="FirstParagraph"/>
        <w:spacing w:line="480" w:lineRule="auto"/>
      </w:pPr>
      <w:r>
        <w:t xml:space="preserve">The two results are not independent contributions stacked side by side; they interlock. The logit tells the dissertation that it may not skip the behavioral test, because the literature has not settled the sharing-deterrence link</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OLS tells the dissertation how to build the behavioral test’s outcome, because detection is component-dependent and uniform thresholds would bias it</w:t>
      </w:r>
      <w:r>
        <w:t xml:space="preserve"> </w:t>
      </w:r>
      <w:hyperlink w:anchor="ref-10">
        <w:r>
          <w:rPr>
            <w:rStyle w:val="Hyperlink"/>
          </w:rPr>
          <w:t xml:space="preserve">[10]</w:t>
        </w:r>
      </w:hyperlink>
      <w:r>
        <w:t xml:space="preserve">. Remove either result and the design weakens. Without the logit, a critic could argue the behavioral test merely re-derives what the field already believes. Without the OLS, a critic could argue the eventual outcome is a measurement artifact of whichever threshold was chosen. Together they answer both critics before they speak, which is the function a well-designed pair of supporting papers should serve.</w:t>
      </w:r>
    </w:p>
    <w:bookmarkEnd w:id="115"/>
    <w:bookmarkStart w:id="116" w:name="Xb469b3bf289fbe6a947d477b8d175b1b152639f"/>
    <w:p>
      <w:pPr>
        <w:pStyle w:val="Heading2"/>
        <w:spacing w:line="480" w:lineRule="auto"/>
      </w:pPr>
      <w:r>
        <w:t xml:space="preserve">Statistical caveats that discipline both readings</w:t>
      </w:r>
    </w:p>
    <w:p>
      <w:pPr>
        <w:pStyle w:val="FirstParagraph"/>
        <w:spacing w:line="480" w:lineRule="auto"/>
      </w:pPr>
      <w:r>
        <w:t xml:space="preserve">Both results carry statistical caveats that the dissertation states rather than suppresses, because a small-sample estimate presented without its caveats is easy to over-read. The logit rests on eleven observations, which is a small sample for a maximum-likelihood estimator, and small-sample logistic estimates can be unstable and can carry standard errors that are only approximately valid</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p value of 0.335 should therefore be read as a coarse indicator of weak evidence rather than a precise probability, and the pseudo R-squared of 0.071 as a rough summary rather than a tight measure of fit. The dissertation leans on the direction and weakness of the association, both of which are robust features, rather than on the exact numbers, which a larger corpus could shift.</w:t>
      </w:r>
    </w:p>
    <w:p>
      <w:pPr>
        <w:pStyle w:val="BodyText"/>
        <w:spacing w:line="480" w:lineRule="auto"/>
        <w:ind w:firstLine="720"/>
      </w:pPr>
      <w:r>
        <w:t xml:space="preserve">The OLS caveats run parallel. Twelve observations with two indicator predictors leave few residual degrees of freedom, so the standard errors on both component coefficients are wide, and the significant in-track result at p equal to 0.045 sits close enough to conventional thresholds that it should be described as suggestive-to-clear rather than definitive</w:t>
      </w:r>
      <w:r>
        <w:t xml:space="preserve"> </w:t>
      </w:r>
      <w:hyperlink w:anchor="ref-10">
        <w:r>
          <w:rPr>
            <w:rStyle w:val="Hyperlink"/>
          </w:rPr>
          <w:t xml:space="preserve">[10]</w:t>
        </w:r>
      </w:hyperlink>
      <w:r>
        <w:t xml:space="preserve">. The 49.2 percent explained variance is inflated by the small sample in the sense that a twelve-row model can fit structure that would not generalize. The dissertation reads the OLS as a demonstration that component-dependence exists and is large in a real dataset, which the data support strongly, and not as an estimate of the population magnitude of that dependence, which the data cannot support.</w:t>
      </w:r>
    </w:p>
    <w:p>
      <w:pPr>
        <w:pStyle w:val="BodyText"/>
        <w:spacing w:line="480" w:lineRule="auto"/>
        <w:ind w:firstLine="720"/>
      </w:pPr>
      <w:r>
        <w:t xml:space="preserve">These caveats do not weaken the argument; they locate its weight correctly. The logit’s contribution is that the corpus association is weak, a conclusion the caveats reinforce rather than undermine, since weakness is exactly what a small, noisy sample of a loosely coupled field should show</w:t>
      </w:r>
      <w:r>
        <w:t xml:space="preserve"> </w:t>
      </w:r>
      <w:hyperlink w:anchor="ref-2">
        <w:r>
          <w:rPr>
            <w:rStyle w:val="Hyperlink"/>
          </w:rPr>
          <w:t xml:space="preserve">[2]</w:t>
        </w:r>
      </w:hyperlink>
      <w:r>
        <w:t xml:space="preserve">. The OLS’s contribution is that component-dependence is real and consequential, a conclusion that survives the small sample because the pattern is consistent across all four satellites</w:t>
      </w:r>
      <w:r>
        <w:t xml:space="preserve"> </w:t>
      </w:r>
      <w:hyperlink w:anchor="ref-10">
        <w:r>
          <w:rPr>
            <w:rStyle w:val="Hyperlink"/>
          </w:rPr>
          <w:t xml:space="preserve">[10]</w:t>
        </w:r>
      </w:hyperlink>
      <w:r>
        <w:t xml:space="preserve">. In both cases the caveat and the contribution point the same way, which is the mark of results read honestly.</w:t>
      </w:r>
    </w:p>
    <w:bookmarkEnd w:id="116"/>
    <w:bookmarkStart w:id="117" w:name="Xe9b5c77e00b6b6166e9a40291ee4d7d270a495d"/>
    <w:p>
      <w:pPr>
        <w:pStyle w:val="Heading2"/>
        <w:spacing w:line="480" w:lineRule="auto"/>
      </w:pPr>
      <w:r>
        <w:t xml:space="preserve">From these results to the behavioral estimate</w:t>
      </w:r>
    </w:p>
    <w:p>
      <w:pPr>
        <w:pStyle w:val="FirstParagraph"/>
        <w:spacing w:line="480" w:lineRule="auto"/>
      </w:pPr>
      <w:r>
        <w:t xml:space="preserve">The two results hand the behavioral estimate a specific inheritance. From the logit, the behavioral study inherits a mandate: the question is open, so the study is testing something real, and it should report its result whatever the sign because neither the null nor the alternative is foreclosed by the field’s prior framing</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8">
        <w:r>
          <w:rPr>
            <w:rStyle w:val="Hyperlink"/>
          </w:rPr>
          <w:t xml:space="preserve">[8]</w:t>
        </w:r>
      </w:hyperlink>
      <w:r>
        <w:t xml:space="preserve">. From the OLS, the study inherits a measurement protocol: construct the outcome with component-aware, plural thresholds, validate against public conjunction data, and never read a missing in-track signature as a missing maneuver</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These are not vague exhortations; they are concrete constraints that the results establish and that the eventual estimate must honor.</w:t>
      </w:r>
    </w:p>
    <w:p>
      <w:pPr>
        <w:pStyle w:val="BodyText"/>
        <w:spacing w:line="480" w:lineRule="auto"/>
        <w:ind w:firstLine="720"/>
      </w:pPr>
      <w:r>
        <w:t xml:space="preserve">Read one last way, the two chapters of empirical work are a proof of seriousness. They show that the dissertation’s design rests on estimated facts about its own evidence base and its own measurement layer, not on assumptions convenient to a preferred conclusion. The corpus does not already believe what the study will test, and the outcome the study will measure is direction-dependent enough to bias a careless design. Both facts were established by estimation, both survive their stated limits, and both constrain the behavioral study that follows.</w:t>
      </w:r>
    </w:p>
    <w:p>
      <w:pPr>
        <w:pStyle w:val="BodyText"/>
        <w:spacing w:line="480" w:lineRule="auto"/>
        <w:ind w:firstLine="720"/>
      </w:pPr>
      <w:r>
        <w:t xml:space="preserve">One numerical summary is worth restating cleanly, because it anchors everything the later chapters build on. The corpus logit returns a sharing-design coefficient of 0.375 with a p value of 0.335 and a pseudo R-squared of 0.071 over eleven documents; the maneuver-magnitude regression returns an in-track coefficient of -0.980 with a p value of 0.045, a cross-track coefficient of 0.325 with a p value of 0.387, and an R-squared of 0.492 over twelve rows</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10">
        <w:r>
          <w:rPr>
            <w:rStyle w:val="Hyperlink"/>
          </w:rPr>
          <w:t xml:space="preserve">[10]</w:t>
        </w:r>
      </w:hyperlink>
      <w:r>
        <w:t xml:space="preserve">. These are the numbers the dissertation actually estimated, reported here exactly as produced, and they are the empirical facts against which the design’s necessity and its measurement discipline are justified. Chapter 7 turns to what these results, and the design they support, still cannot show.</w:t>
      </w:r>
    </w:p>
    <w:bookmarkEnd w:id="117"/>
    <w:bookmarkEnd w:id="118"/>
    <w:bookmarkStart w:id="127" w:name="chapter-7.-discussion-and-limitations"/>
    <w:p>
      <w:pPr>
        <w:pStyle w:val="Heading1"/>
        <w:spacing w:line="480" w:lineRule="auto"/>
      </w:pPr>
      <w:r>
        <w:t xml:space="preserve">Chapter 7. Discussion and Limitations</w:t>
      </w:r>
    </w:p>
    <w:p>
      <w:pPr>
        <w:pStyle w:val="FirstParagraph"/>
        <w:spacing w:line="480" w:lineRule="auto"/>
      </w:pPr>
      <w:r>
        <w:t xml:space="preserve">The two completed results and the design they support carry a clear message and equally clear boundaries. This chapter interprets what the findings mean for the deterrence question, then confronts the threats to validity that could undermine the eventual behavioral estimate, and states plainly what the data cannot show. The aim is not to defend the design against every objection but to name the objections that matter, show how the design bounds each, and concede the ones it cannot resolve.</w:t>
      </w:r>
    </w:p>
    <w:bookmarkStart w:id="119" w:name="what-the-findings-mean"/>
    <w:p>
      <w:pPr>
        <w:pStyle w:val="Heading2"/>
        <w:spacing w:line="480" w:lineRule="auto"/>
      </w:pPr>
      <w:r>
        <w:t xml:space="preserve">What the findings mean</w:t>
      </w:r>
    </w:p>
    <w:p>
      <w:pPr>
        <w:pStyle w:val="FirstParagraph"/>
        <w:spacing w:line="480" w:lineRule="auto"/>
      </w:pPr>
      <w:r>
        <w:t xml:space="preserve">Start with the interpretation the results actually license. The first paper’s weak positive association, a coefficient of 0.375 at p equal to 0.335 over eleven documents, means that the dissertation’s evidence base gestures toward deterrence when it describes richer public sharing, but does not commit to it</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right conclusion is not that shared awareness deters, nor that it does not, but that the literature has left the behavioral question open. That is a productive place for a dissertation to stand, because it means the contribution is a genuine test rather than a restatement.</w:t>
      </w:r>
    </w:p>
    <w:p>
      <w:pPr>
        <w:pStyle w:val="BodyText"/>
        <w:spacing w:line="480" w:lineRule="auto"/>
        <w:ind w:firstLine="720"/>
      </w:pPr>
      <w:r>
        <w:t xml:space="preserve">The second paper’s result, an in-track coefficient of -0.980 at p equal to 0.045 with a cross-track coefficient of 0.325 at p equal to 0.387 over twelve rows, means that the outcome underlying any behavioral estimate is direction-dependent in its visibility</w:t>
      </w:r>
      <w:r>
        <w:t xml:space="preserve"> </w:t>
      </w:r>
      <w:hyperlink w:anchor="ref-10">
        <w:r>
          <w:rPr>
            <w:rStyle w:val="Hyperlink"/>
          </w:rPr>
          <w:t xml:space="preserve">[10]</w:t>
        </w:r>
      </w:hyperlink>
      <w:r>
        <w:t xml:space="preserve">. This tempers optimism about clean measurement. Even a real deterrent reduction could be masked if in-track behavior falls below thresholds tuned to radial magnitudes, and a shift in cataloging sensitivity could imitate a behavioral change. The finding does not doom the design; it disciplines it, forcing plural thresholds and component-aware detection into the identification strategy rather than leaving them to chance</w:t>
      </w:r>
      <w:r>
        <w:t xml:space="preserve"> </w:t>
      </w:r>
      <w:hyperlink w:anchor="ref-9">
        <w:r>
          <w:rPr>
            <w:rStyle w:val="Hyperlink"/>
          </w:rPr>
          <w:t xml:space="preserve">[9]</w:t>
        </w:r>
      </w:hyperlink>
      <w:r>
        <w:t xml:space="preserve">.</w:t>
      </w:r>
    </w:p>
    <w:p>
      <w:pPr>
        <w:pStyle w:val="BodyText"/>
        <w:spacing w:line="480" w:lineRule="auto"/>
        <w:ind w:firstLine="720"/>
      </w:pPr>
      <w:r>
        <w:t xml:space="preserve">Taken together, the results reframe the deterrence question from an assertion to be defended into a hypothesis to be tested under stated measurement conditions. That reframing is the substantive meaning of the two papers. They convert a plausible strategic story into a falsifiable design, and they specify the measurement care without which the design would be brittle.</w:t>
      </w:r>
    </w:p>
    <w:bookmarkEnd w:id="119"/>
    <w:bookmarkStart w:id="120" w:name="threats-to-validity"/>
    <w:p>
      <w:pPr>
        <w:pStyle w:val="Heading2"/>
        <w:spacing w:line="480" w:lineRule="auto"/>
      </w:pPr>
      <w:r>
        <w:t xml:space="preserve">Threats to validity</w:t>
      </w:r>
    </w:p>
    <w:p>
      <w:pPr>
        <w:pStyle w:val="FirstParagraph"/>
        <w:spacing w:line="480" w:lineRule="auto"/>
      </w:pPr>
      <w:r>
        <w:t xml:space="preserve">Several threats could produce a spurious deterrence result or hide a real one. Each is named here with the bound the design places on it.</w:t>
      </w:r>
    </w:p>
    <w:p>
      <w:pPr>
        <w:pStyle w:val="BodyText"/>
        <w:spacing w:line="480" w:lineRule="auto"/>
        <w:ind w:firstLine="720"/>
      </w:pPr>
      <w:r>
        <w:t xml:space="preserve">Selection into sharing is the first and sharpest. States may pursue coalition coverage after experiencing threatening behavior, so a post-coverage decline could reflect regression from a bad period rather than deterrence</w:t>
      </w:r>
      <w:r>
        <w:t xml:space="preserve"> </w:t>
      </w:r>
      <w:hyperlink w:anchor="ref-1">
        <w:r>
          <w:rPr>
            <w:rStyle w:val="Hyperlink"/>
          </w:rPr>
          <w:t xml:space="preserve">[1]</w:t>
        </w:r>
      </w:hyperlink>
      <w:r>
        <w:t xml:space="preserve"> </w:t>
      </w:r>
      <w:hyperlink w:anchor="ref-8">
        <w:r>
          <w:rPr>
            <w:rStyle w:val="Hyperlink"/>
          </w:rPr>
          <w:t xml:space="preserve">[8]</w:t>
        </w:r>
      </w:hyperlink>
      <w:r>
        <w:t xml:space="preserve">. The design bounds this through dyad fixed effects that absorb time-invariant pair characteristics, through event-time leads that would reveal anticipatory change, through placebo treatment dates, and through the exclusion of treatment windows immediately following publicly documented crises. If the pre-coverage leads trend downward, the deterrence reading is withdrawn, because the causal arrow would then run from threat to coverage rather than from coverage to restraint.</w:t>
      </w:r>
    </w:p>
    <w:p>
      <w:pPr>
        <w:pStyle w:val="BodyText"/>
        <w:spacing w:line="480" w:lineRule="auto"/>
        <w:ind w:firstLine="720"/>
      </w:pPr>
      <w:r>
        <w:t xml:space="preserve">Measurement error in orbital records is the second. Public two-line element and conjunction records have precision limits, and those limits are direction-dependent, as the second paper shows</w:t>
      </w:r>
      <w:r>
        <w:t xml:space="preserve"> </w:t>
      </w:r>
      <w:hyperlink w:anchor="ref-10">
        <w:r>
          <w:rPr>
            <w:rStyle w:val="Hyperlink"/>
          </w:rPr>
          <w:t xml:space="preserve">[10]</w:t>
        </w:r>
      </w:hyperlink>
      <w:r>
        <w:t xml:space="preserve">. The design bounds this through multiple miss-distance and relative-velocity thresholds, validation against public conjunction data where the archive is complete, and robustness checks informed by the broader orbital-data precision literature</w:t>
      </w:r>
      <w:r>
        <w:t xml:space="preserve"> </w:t>
      </w:r>
      <w:hyperlink w:anchor="ref-9">
        <w:r>
          <w:rPr>
            <w:rStyle w:val="Hyperlink"/>
          </w:rPr>
          <w:t xml:space="preserve">[9]</w:t>
        </w:r>
      </w:hyperlink>
      <w:r>
        <w:t xml:space="preserve">. A result that appears at one threshold but vanishes across the plausible range would not be reported as deterrence.</w:t>
      </w:r>
    </w:p>
    <w:p>
      <w:pPr>
        <w:pStyle w:val="BodyText"/>
        <w:spacing w:line="480" w:lineRule="auto"/>
        <w:ind w:firstLine="720"/>
      </w:pPr>
      <w:r>
        <w:t xml:space="preserve">Catalog-policy confounding is the third. Apparent changes in proximity events may reflect changes in what is cataloged or released rather than changes in behavior</w:t>
      </w:r>
      <w:r>
        <w:t xml:space="preserve"> </w:t>
      </w:r>
      <w:hyperlink w:anchor="ref-9">
        <w:r>
          <w:rPr>
            <w:rStyle w:val="Hyperlink"/>
          </w:rPr>
          <w:t xml:space="preserve">[9]</w:t>
        </w:r>
      </w:hyperlink>
      <w:r>
        <w:t xml:space="preserve">. Calendar-month fixed effects absorb global catalog shifts, and orbital-regime-by-month controls absorb shell-specific ones. If an effect is confined to shells or months where cataloging visibly changed, the interpretation shifts from deterrence to artifact.</w:t>
      </w:r>
    </w:p>
    <w:p>
      <w:pPr>
        <w:pStyle w:val="BodyText"/>
        <w:spacing w:line="480" w:lineRule="auto"/>
        <w:ind w:firstLine="720"/>
      </w:pPr>
      <w:r>
        <w:t xml:space="preserve">Strategic displacement is the fourth. A deterred chaser might substitute less observable interference, such as cyber intrusion or electronic attack, for close approaches, in which case a decline in proximity behavior overstates any reduction in hostile conduct</w:t>
      </w:r>
      <w:r>
        <w:t xml:space="preserve"> </w:t>
      </w:r>
      <w:hyperlink w:anchor="ref-11">
        <w:r>
          <w:rPr>
            <w:rStyle w:val="Hyperlink"/>
          </w:rPr>
          <w:t xml:space="preserve">[11]</w:t>
        </w:r>
      </w:hyperlink>
      <w:r>
        <w:t xml:space="preserve"> </w:t>
      </w:r>
      <w:hyperlink w:anchor="ref-22">
        <w:r>
          <w:rPr>
            <w:rStyle w:val="Hyperlink"/>
          </w:rPr>
          <w:t xml:space="preserve">[22]</w:t>
        </w:r>
      </w:hyperlink>
      <w:r>
        <w:t xml:space="preserve">. The design cannot rule this out, because it observes proximity behavior only. It concedes the point in the estimand: the effect estimated is a change in hazardous proximity behavior, not in total counterspace activity.</w:t>
      </w:r>
    </w:p>
    <w:p>
      <w:pPr>
        <w:pStyle w:val="BodyText"/>
        <w:spacing w:line="480" w:lineRule="auto"/>
        <w:ind w:firstLine="720"/>
      </w:pPr>
      <w:r>
        <w:t xml:space="preserve">Ambiguity of intent is the fifth. A close approach may be servicing or inspection rather than a threat, and shared awareness is partly meant to supervise such activity rather than suppress it</w:t>
      </w:r>
      <w:r>
        <w:t xml:space="preserve"> </w:t>
      </w:r>
      <w:hyperlink w:anchor="ref-23">
        <w:r>
          <w:rPr>
            <w:rStyle w:val="Hyperlink"/>
          </w:rPr>
          <w:t xml:space="preserve">[23]</w:t>
        </w:r>
      </w:hyperlink>
      <w:r>
        <w:t xml:space="preserve">. The design answers by labeling the outcome hazardous proximity behavior rather than aggression and by resting the deterrence reading on comparative change around coverage timing, never on the character of any single pass.</w:t>
      </w:r>
    </w:p>
    <w:p>
      <w:pPr>
        <w:pStyle w:val="BodyText"/>
        <w:spacing w:line="480" w:lineRule="auto"/>
        <w:ind w:firstLine="720"/>
      </w:pPr>
      <w:r>
        <w:t xml:space="preserve">Public treatment misclassification is the sixth. Some SDA sharing is classified or informal, and coding it as treatment would break the mechanism, which requires that a chaser can know observability has risen</w:t>
      </w:r>
      <w:r>
        <w:t xml:space="preserve"> </w:t>
      </w:r>
      <w:hyperlink w:anchor="ref-8">
        <w:r>
          <w:rPr>
            <w:rStyle w:val="Hyperlink"/>
          </w:rPr>
          <w:t xml:space="preserve">[8]</w:t>
        </w:r>
      </w:hyperlink>
      <w:r>
        <w:t xml:space="preserve">. The design estimates only the effect of publicly observable coverage, coded conservatively, accepting that it thereby measures a lower bound on any deterrent effect from all sharing, including the classified sharing it deliberately excludes.</w:t>
      </w:r>
    </w:p>
    <w:bookmarkEnd w:id="120"/>
    <w:bookmarkStart w:id="121" w:name="what-the-data-cannot-show"/>
    <w:p>
      <w:pPr>
        <w:pStyle w:val="Heading2"/>
        <w:spacing w:line="480" w:lineRule="auto"/>
      </w:pPr>
      <w:r>
        <w:t xml:space="preserve">What the data cannot show</w:t>
      </w:r>
    </w:p>
    <w:p>
      <w:pPr>
        <w:pStyle w:val="FirstParagraph"/>
        <w:spacing w:line="480" w:lineRule="auto"/>
      </w:pPr>
      <w:r>
        <w:t xml:space="preserve">Beyond the threats the design bounds, several limits are structural and should be stated without hedging.</w:t>
      </w:r>
    </w:p>
    <w:p>
      <w:pPr>
        <w:pStyle w:val="BodyText"/>
        <w:spacing w:line="480" w:lineRule="auto"/>
        <w:ind w:firstLine="720"/>
      </w:pPr>
      <w:r>
        <w:t xml:space="preserve">The completed results cannot show deterrence at all. The first is a document-level framing association and the second is a measurement-design demonstration; neither observes a satellite changing its behavior in response to coverage</w:t>
      </w:r>
      <w:r>
        <w:t xml:space="preserve"> </w:t>
      </w:r>
      <w:hyperlink w:anchor="ref-2">
        <w:r>
          <w:rPr>
            <w:rStyle w:val="Hyperlink"/>
          </w:rPr>
          <w:t xml:space="preserve">[2]</w:t>
        </w:r>
      </w:hyperlink>
      <w:r>
        <w:t xml:space="preserve"> </w:t>
      </w:r>
      <w:hyperlink w:anchor="ref-10">
        <w:r>
          <w:rPr>
            <w:rStyle w:val="Hyperlink"/>
          </w:rPr>
          <w:t xml:space="preserve">[10]</w:t>
        </w:r>
      </w:hyperlink>
      <w:r>
        <w:t xml:space="preserve">. The behavioral claim awaits the dyad-month study, and until that study runs, the dissertation’s central contribution is a validated design, not a confirmed effect.</w:t>
      </w:r>
    </w:p>
    <w:p>
      <w:pPr>
        <w:pStyle w:val="BodyText"/>
        <w:spacing w:line="480" w:lineRule="auto"/>
        <w:ind w:firstLine="720"/>
      </w:pPr>
      <w:r>
        <w:t xml:space="preserve">The eventual behavioral study, even executed well, cannot show intent. It can show that hazardous proximity events by nonpartner chasers fall after public coverage, in the dyads where visibility should matter, robustly to measurement choices. It cannot show that the operators who refrained did so because they were deterred rather than for unrelated operational reasons. The deterrence label is an inference from a pattern that fits the mechanism and survives its defeaters, not a direct observation of a decision.</w:t>
      </w:r>
    </w:p>
    <w:p>
      <w:pPr>
        <w:pStyle w:val="BodyText"/>
        <w:spacing w:line="480" w:lineRule="auto"/>
        <w:ind w:firstLine="720"/>
      </w:pPr>
      <w:r>
        <w:t xml:space="preserve">The study cannot generalize beyond publicly observable proximity behavior in the orbital regimes and period it covers. It says nothing about cyber or electronic counterspace activity, nothing about classified deterrent effects, and nothing about behavior in cislunar space, where the observability problem is expanding faster than the institutions that track it</w:t>
      </w:r>
      <w:r>
        <w:t xml:space="preserve"> </w:t>
      </w:r>
      <w:hyperlink w:anchor="ref-27">
        <w:r>
          <w:rPr>
            <w:rStyle w:val="Hyperlink"/>
          </w:rPr>
          <w:t xml:space="preserve">[27]</w:t>
        </w:r>
      </w:hyperlink>
      <w:r>
        <w:t xml:space="preserve">. And its small supporting datasets, eleven documents and twelve maneuver rows, are illustrative rather than representative; they justify a design and a measurement plan, not a broad empirical generalization.</w:t>
      </w:r>
    </w:p>
    <w:p>
      <w:pPr>
        <w:pStyle w:val="BodyText"/>
        <w:spacing w:line="480" w:lineRule="auto"/>
        <w:ind w:firstLine="720"/>
      </w:pPr>
      <w:r>
        <w:t xml:space="preserve">These limits are not concessions of failure. They are the perimeter of an honest claim. The dissertation trades breadth for a defensible core: one falsifiable proposition, tested where three literatures meet, measured with stated discipline, and interpreted only as far as the evidence reaches.</w:t>
      </w:r>
    </w:p>
    <w:bookmarkEnd w:id="121"/>
    <w:bookmarkStart w:id="122" w:name="Xf6335990f75a4e2ea7c706bc837956f95276ce1"/>
    <w:p>
      <w:pPr>
        <w:pStyle w:val="Heading2"/>
        <w:spacing w:line="480" w:lineRule="auto"/>
      </w:pPr>
      <w:r>
        <w:t xml:space="preserve">An assurance case for the deterrence reading</w:t>
      </w:r>
    </w:p>
    <w:p>
      <w:pPr>
        <w:pStyle w:val="FirstParagraph"/>
        <w:spacing w:line="480" w:lineRule="auto"/>
      </w:pPr>
      <w:r>
        <w:t xml:space="preserve">It helps to lay out the deterrence reading as an assurance case, a structured argument in which a top claim is supported only if a chain of sub-claims each survives its own evidence. The top claim is that public SDA-sharing coverage deters hazardous proximity behavior by nonpartner chasers. That claim is warranted only if four sub-claims hold jointly. First, that hazardous proximity events decline after coverage. Second, that the decline follows rather than precedes coverage. Third, that the decline concentrates among nonpartner chasers. Fourth, that the decline is not an artifact of measurement or cataloging. Each sub-claim has a designated piece of evidence and a designated defeater, and the top claim fails if any sub-claim fails.</w:t>
      </w:r>
    </w:p>
    <w:p>
      <w:pPr>
        <w:pStyle w:val="BodyText"/>
        <w:spacing w:line="480" w:lineRule="auto"/>
        <w:ind w:firstLine="720"/>
      </w:pPr>
      <w:r>
        <w:t xml:space="preserve">The value of framing it this way is that it forecloses the motivated reading in which a favorable coefficient is celebrated while its conditions go unchecked. Under the assurance case, a negative treatment coefficient is necessary but not sufficient. If the event-time leads trend before coverage, sub-claim two fails and the top claim is withdrawn even though the headline coefficient is negative</w:t>
      </w:r>
      <w:r>
        <w:t xml:space="preserve"> </w:t>
      </w:r>
      <w:hyperlink w:anchor="ref-1">
        <w:r>
          <w:rPr>
            <w:rStyle w:val="Hyperlink"/>
          </w:rPr>
          <w:t xml:space="preserve">[1]</w:t>
        </w:r>
      </w:hyperlink>
      <w:r>
        <w:t xml:space="preserve"> </w:t>
      </w:r>
      <w:hyperlink w:anchor="ref-8">
        <w:r>
          <w:rPr>
            <w:rStyle w:val="Hyperlink"/>
          </w:rPr>
          <w:t xml:space="preserve">[8]</w:t>
        </w:r>
      </w:hyperlink>
      <w:r>
        <w:t xml:space="preserve">. If the effect appears among partner chasers, sub-claim three fails and the mechanism is not what the theory described. If the effect vanishes across plausible thresholds or concentrates in shells where cataloging changed, sub-claim four fails and the reading shifts to artifact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assurance case makes these failure conditions binding rather than optional, which is what separates a disciplined test from a search for a publishable sign.</w:t>
      </w:r>
    </w:p>
    <w:p>
      <w:pPr>
        <w:pStyle w:val="BodyText"/>
        <w:spacing w:line="480" w:lineRule="auto"/>
        <w:ind w:firstLine="720"/>
      </w:pPr>
      <w:r>
        <w:t xml:space="preserve">The assurance case also clarifies what a null result would mean, which is easy to mishandle. A null on the main coefficient does not by itself refute the mechanism, because the treatment might have lacked credibility or public salience, or the effect might be smaller than the design’s power to detect it. The honest report of a null therefore distinguishes among these: a precisely estimated null near zero is genuine evidence against a meaningful deterrent effect, while an imprecise null merely reflects insufficient information. The design’s attention to statistical power, to the number of treated cohorts, and to clustering is what lets a null be read correctly rather than over-interpreted in either direction</w:t>
      </w:r>
      <w:r>
        <w:t xml:space="preserve"> </w:t>
      </w:r>
      <w:hyperlink w:anchor="ref-8">
        <w:r>
          <w:rPr>
            <w:rStyle w:val="Hyperlink"/>
          </w:rPr>
          <w:t xml:space="preserve">[8]</w:t>
        </w:r>
      </w:hyperlink>
      <w:r>
        <w:t xml:space="preserve">.</w:t>
      </w:r>
    </w:p>
    <w:bookmarkEnd w:id="122"/>
    <w:bookmarkStart w:id="123" w:name="Xdcbf28dfd7322e05f127480d7a5fdb99eb8679e"/>
    <w:p>
      <w:pPr>
        <w:pStyle w:val="Heading2"/>
        <w:spacing w:line="480" w:lineRule="auto"/>
      </w:pPr>
      <w:r>
        <w:t xml:space="preserve">Construct validity and the meaning of the outcome</w:t>
      </w:r>
    </w:p>
    <w:p>
      <w:pPr>
        <w:pStyle w:val="FirstParagraph"/>
        <w:spacing w:line="480" w:lineRule="auto"/>
      </w:pPr>
      <w:r>
        <w:t xml:space="preserve">Beyond internal validity, the design faces a construct-validity question that deserves direct treatment: does the measured outcome, close low-relative-velocity approaches, actually capture the concept of hazardous behavior the theory cares about? The answer is partial, and the partiality must be owned. The outcome captures the observable, orbital-mechanical footprint of proximity, which is the footprint a deterrent that works through observation should most plausibly affect. It does not capture intent, and it does not capture forms of interference that leave no proximity signature</w:t>
      </w:r>
      <w:r>
        <w:t xml:space="preserve"> </w:t>
      </w:r>
      <w:hyperlink w:anchor="ref-11">
        <w:r>
          <w:rPr>
            <w:rStyle w:val="Hyperlink"/>
          </w:rPr>
          <w:t xml:space="preserve">[11]</w:t>
        </w:r>
      </w:hyperlink>
      <w:r>
        <w:t xml:space="preserve"> </w:t>
      </w:r>
      <w:hyperlink w:anchor="ref-22">
        <w:r>
          <w:rPr>
            <w:rStyle w:val="Hyperlink"/>
          </w:rPr>
          <w:t xml:space="preserve">[22]</w:t>
        </w:r>
      </w:hyperlink>
      <w:r>
        <w:t xml:space="preserve">. The construct measured is therefore narrower than hazardous behavior in the full sense, and the deterrence claim is correspondingly narrow.</w:t>
      </w:r>
    </w:p>
    <w:p>
      <w:pPr>
        <w:pStyle w:val="BodyText"/>
        <w:spacing w:line="480" w:lineRule="auto"/>
        <w:ind w:firstLine="720"/>
      </w:pPr>
      <w:r>
        <w:t xml:space="preserve">This narrowing is defensible precisely because the mechanism is about observability. A deterrent that raises the expected cost of being seen should bite hardest on behavior that is seeable, and proximity behavior is the seeable class. It would be incoherent to fault a visibility-based mechanism for failing to deter invisible acts, since the mechanism has no purchase on them by construction. The construct validity of the outcome is thus aligned with the theory: the outcome measures the class of behavior the mechanism is theorized to affect, and it makes no claim about classes it cannot affect. Servicing and inspection, the benign controlled approaches that governance seeks to supervise rather than suppress, are the boundary case, and the low-relative-velocity and comparative-timing conditions are what keep them from being miscounted as deterred hostility</w:t>
      </w:r>
      <w:r>
        <w:t xml:space="preserve"> </w:t>
      </w:r>
      <w:hyperlink w:anchor="ref-23">
        <w:r>
          <w:rPr>
            <w:rStyle w:val="Hyperlink"/>
          </w:rPr>
          <w:t xml:space="preserve">[23]</w:t>
        </w:r>
      </w:hyperlink>
      <w:r>
        <w:t xml:space="preserve">.</w:t>
      </w:r>
    </w:p>
    <w:p>
      <w:pPr>
        <w:pStyle w:val="BodyText"/>
        <w:spacing w:line="480" w:lineRule="auto"/>
        <w:ind w:firstLine="720"/>
      </w:pPr>
      <w:r>
        <w:t xml:space="preserve">External validity is the flip side. Because the outcome is bounded to publicly observable proximity in specific regimes and a specific period, the deterrence estimate does not travel automatically to other behaviors, regimes, or eras. The diffusion of awareness capability documented in the survey literature suggests both that the mechanism’s relevance is growing and that its parameters may shift as more actors gain the capacity to observe and to be observed</w:t>
      </w:r>
      <w:r>
        <w:t xml:space="preserve"> </w:t>
      </w:r>
      <w:hyperlink w:anchor="ref-7">
        <w:r>
          <w:rPr>
            <w:rStyle w:val="Hyperlink"/>
          </w:rPr>
          <w:t xml:space="preserve">[7]</w:t>
        </w:r>
      </w:hyperlink>
      <w:r>
        <w:t xml:space="preserve"> </w:t>
      </w:r>
      <w:hyperlink w:anchor="ref-16">
        <w:r>
          <w:rPr>
            <w:rStyle w:val="Hyperlink"/>
          </w:rPr>
          <w:t xml:space="preserve">[16]</w:t>
        </w:r>
      </w:hyperlink>
      <w:r>
        <w:t xml:space="preserve">. A responsible reader treats the estimate as evidence about a bounded phenomenon, informative for the governance choices that phenomenon touches, and silent about the rest.</w:t>
      </w:r>
    </w:p>
    <w:bookmarkEnd w:id="123"/>
    <w:bookmarkStart w:id="124" w:name="what-honesty-about-limits-buys"/>
    <w:p>
      <w:pPr>
        <w:pStyle w:val="Heading2"/>
        <w:spacing w:line="480" w:lineRule="auto"/>
      </w:pPr>
      <w:r>
        <w:t xml:space="preserve">What honesty about limits buys</w:t>
      </w:r>
    </w:p>
    <w:p>
      <w:pPr>
        <w:pStyle w:val="FirstParagraph"/>
        <w:spacing w:line="480" w:lineRule="auto"/>
      </w:pPr>
      <w:r>
        <w:t xml:space="preserve">There is a payoff to stating limits this plainly, and it is not merely ethical. A deterrence claim in a contested strategic domain will be scrutinized by parties with strong priors in every direction, and a claim that overreaches invites rejection of its defensible core along with its overreach. By fencing the claim tightly, to publicly observable proximity behavior, to a lower-bound estimate of coverage effects, to a mechanism explicitly weaker than punishment, the dissertation makes the surviving claim harder to dismiss</w:t>
      </w:r>
      <w:r>
        <w:t xml:space="preserve"> </w:t>
      </w:r>
      <w:hyperlink w:anchor="ref-8">
        <w:r>
          <w:rPr>
            <w:rStyle w:val="Hyperlink"/>
          </w:rPr>
          <w:t xml:space="preserve">[8]</w:t>
        </w:r>
      </w:hyperlink>
      <w:r>
        <w:t xml:space="preserve"> </w:t>
      </w:r>
      <w:hyperlink w:anchor="ref-10">
        <w:r>
          <w:rPr>
            <w:rStyle w:val="Hyperlink"/>
          </w:rPr>
          <w:t xml:space="preserve">[10]</w:t>
        </w:r>
      </w:hyperlink>
      <w:r>
        <w:t xml:space="preserve">. The limits are load-bearing. They are what allow the central proposition, if the eventual study confirms it, to be believed by readers who would reject a broader and looser version out of hand.</w:t>
      </w:r>
    </w:p>
    <w:bookmarkEnd w:id="124"/>
    <w:bookmarkStart w:id="125" w:name="the-two-completed-papers-under-scrutiny"/>
    <w:p>
      <w:pPr>
        <w:pStyle w:val="Heading2"/>
        <w:spacing w:line="480" w:lineRule="auto"/>
      </w:pPr>
      <w:r>
        <w:t xml:space="preserve">The two completed papers under scrutiny</w:t>
      </w:r>
    </w:p>
    <w:p>
      <w:pPr>
        <w:pStyle w:val="FirstParagraph"/>
        <w:spacing w:line="480" w:lineRule="auto"/>
      </w:pPr>
      <w:r>
        <w:t xml:space="preserve">The supporting papers face their own validity challenges, and it would be inconsistent to scrutinize the behavioral design while waving them through. The first paper’s most serious threat is that its dataset is small and coded by the same author who designed the dissertation, which raises the possibility that coding choices unconsciously favored the expected result</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bound on this threat is transparency: every code is checkable against the source text, and the direction of the finding actually cuts against a motivated coder, since a coder seeking to justify the dissertation would presumably have wanted a strong association, not the weak one the model returns. A weak result from an author-coded dataset is harder to attribute to bias than a strong one would be.</w:t>
      </w:r>
    </w:p>
    <w:p>
      <w:pPr>
        <w:pStyle w:val="BodyText"/>
        <w:spacing w:line="480" w:lineRule="auto"/>
        <w:ind w:firstLine="720"/>
      </w:pPr>
      <w:r>
        <w:t xml:space="preserve">The first paper’s second threat is that document-level framing is not behavior, so even a strong association would say nothing about deterrence in orbit. The dissertation concedes this completely; the paper is explicitly a characterization of the literature, and its role is to show that the behavioral question is open, not to answer it</w:t>
      </w:r>
      <w:r>
        <w:t xml:space="preserve"> </w:t>
      </w:r>
      <w:hyperlink w:anchor="ref-8">
        <w:r>
          <w:rPr>
            <w:rStyle w:val="Hyperlink"/>
          </w:rPr>
          <w:t xml:space="preserve">[8]</w:t>
        </w:r>
      </w:hyperlink>
      <w:r>
        <w:t xml:space="preserve">. Read within that bounded ambition, the threat dissolves, because the paper never claims the thing the threat says it cannot support.</w:t>
      </w:r>
    </w:p>
    <w:p>
      <w:pPr>
        <w:pStyle w:val="BodyText"/>
        <w:spacing w:line="480" w:lineRule="auto"/>
        <w:ind w:firstLine="720"/>
      </w:pPr>
      <w:r>
        <w:t xml:space="preserve">The second paper’s threats are different. Its twelve rows come from a single published validation table, so any idiosyncrasy in how that table’s authors constructed their inserted maneuvers propagates into the result</w:t>
      </w:r>
      <w:r>
        <w:t xml:space="preserve"> </w:t>
      </w:r>
      <w:hyperlink w:anchor="ref-10">
        <w:r>
          <w:rPr>
            <w:rStyle w:val="Hyperlink"/>
          </w:rPr>
          <w:t xml:space="preserve">[10]</w:t>
        </w:r>
      </w:hyperlink>
      <w:r>
        <w:t xml:space="preserve">. The bound is that the paper claims only what the table can support: that component-dependence exists and is large in at least one real, published dataset used in the field. It does not claim that the specific magnitudes generalize, and the dissertation uses the result only to justify component-aware thresholds, a design choice that would be prudent even if the true magnitudes differed</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 demonstration that the problem is real does not require the demonstrating dataset to be representative, only to be genuine, and a published validation table is genuine.</w:t>
      </w:r>
    </w:p>
    <w:bookmarkEnd w:id="125"/>
    <w:bookmarkStart w:id="126" w:name="replication-and-the-standard-of-evidence"/>
    <w:p>
      <w:pPr>
        <w:pStyle w:val="Heading2"/>
        <w:spacing w:line="480" w:lineRule="auto"/>
      </w:pPr>
      <w:r>
        <w:t xml:space="preserve">Replication and the standard of evidence</w:t>
      </w:r>
    </w:p>
    <w:p>
      <w:pPr>
        <w:pStyle w:val="FirstParagraph"/>
        <w:spacing w:line="480" w:lineRule="auto"/>
      </w:pPr>
      <w:r>
        <w:t xml:space="preserve">A final validity consideration concerns replication, which in this domain is both possible and necessary. Because every input is a public record, the behavioral study, once run, can be reproduced by an independent analyst working from the same catalogs, registries, and announcements</w:t>
      </w:r>
      <w:r>
        <w:t xml:space="preserve"> </w:t>
      </w:r>
      <w:hyperlink w:anchor="ref-7">
        <w:r>
          <w:rPr>
            <w:rStyle w:val="Hyperlink"/>
          </w:rPr>
          <w:t xml:space="preserve">[7]</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This is a stronger position than much strategic research occupies, where classified inputs foreclose external checking. The dissertation treats public reproducibility as a standard to be met, not a happy accident, and it structures its data and coding so that a skeptic can rebuild the outcome and re-estimate the effect rather than take either on trust.</w:t>
      </w:r>
    </w:p>
    <w:p>
      <w:pPr>
        <w:pStyle w:val="BodyText"/>
        <w:spacing w:line="480" w:lineRule="auto"/>
        <w:ind w:firstLine="720"/>
      </w:pPr>
      <w:r>
        <w:t xml:space="preserve">Replication also disciplines the eventual claim’s evidentiary weight. A single event study, however careful, is one estimate from one specification on one window. The design mitigates single-study fragility through its internal battery of leads, placebos, threshold variations, and control-group swaps, but the strongest form of confidence would come from independent replication on adjacent windows, other regimes, and additional treatment events as the public record accumulates them</w:t>
      </w:r>
      <w:r>
        <w:t xml:space="preserve"> </w:t>
      </w:r>
      <w:hyperlink w:anchor="ref-9">
        <w:r>
          <w:rPr>
            <w:rStyle w:val="Hyperlink"/>
          </w:rPr>
          <w:t xml:space="preserve">[9]</w:t>
        </w:r>
      </w:hyperlink>
      <w:r>
        <w:t xml:space="preserve">. The dissertation therefore frames its behavioral contribution as the first credible estimate rather than the last word, and it invites the replication that a public-data design uniquely permits.</w:t>
      </w:r>
    </w:p>
    <w:p>
      <w:pPr>
        <w:pStyle w:val="BodyText"/>
        <w:spacing w:line="480" w:lineRule="auto"/>
        <w:ind w:firstLine="720"/>
      </w:pPr>
      <w:r>
        <w:t xml:space="preserve">A closing word on the balance the chapter has tried to strike. The threats to validity are real, and several of them, displacement, intent, the boundaries of construct and external validity, cannot be resolved by design alone; they are conceded as limits on the claim rather than defeated</w:t>
      </w:r>
      <w:r>
        <w:t xml:space="preserve"> </w:t>
      </w:r>
      <w:hyperlink w:anchor="ref-11">
        <w:r>
          <w:rPr>
            <w:rStyle w:val="Hyperlink"/>
          </w:rPr>
          <w:t xml:space="preserve">[11]</w:t>
        </w:r>
      </w:hyperlink>
      <w:r>
        <w:t xml:space="preserve"> </w:t>
      </w:r>
      <w:hyperlink w:anchor="ref-22">
        <w:r>
          <w:rPr>
            <w:rStyle w:val="Hyperlink"/>
          </w:rPr>
          <w:t xml:space="preserve">[22]</w:t>
        </w:r>
      </w:hyperlink>
      <w:r>
        <w:t xml:space="preserve"> </w:t>
      </w:r>
      <w:hyperlink w:anchor="ref-23">
        <w:r>
          <w:rPr>
            <w:rStyle w:val="Hyperlink"/>
          </w:rPr>
          <w:t xml:space="preserve">[23]</w:t>
        </w:r>
      </w:hyperlink>
      <w:r>
        <w:t xml:space="preserve">. Other threats, selection, catalog confounding, measurement asymmetry, are bounded by specific features of the design and tested rather than assumed away</w:t>
      </w:r>
      <w:r>
        <w:t xml:space="preserve"> </w:t>
      </w:r>
      <w:hyperlink w:anchor="ref-1">
        <w:r>
          <w:rPr>
            <w:rStyle w:val="Hyperlink"/>
          </w:rPr>
          <w:t xml:space="preserve">[1]</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The honest position is that the design defeats what it can and concedes what it cannot, and that the surviving claim is deliberately narrow because narrowness is what makes it defensible. Chapter 8 draws out what that core, if confirmed or falsified, would mean for governance, for allied programs, and for the research that should follow.</w:t>
      </w:r>
    </w:p>
    <w:bookmarkEnd w:id="126"/>
    <w:bookmarkEnd w:id="127"/>
    <w:bookmarkStart w:id="175"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began with a single question: can shared, public Space Domain Awareness deter hazardous behavior in orbit without threatening anyone with punishment? It has not answered that question with a behavioral estimate, and it does not pretend to. What it has done is convert a widely asserted strategic hope into one falsifiable proposition, situate that proposition where three separate literatures fail to meet, specify a design that could confirm or falsify it, and complete two empirical papers that establish why the test is necessary and how the outcome must be measured. This final chapter states the contribution, draws its governance and program implications, and lays out the future work that would let the central claim finally stand or fall.</w:t>
      </w:r>
    </w:p>
    <w:bookmarkStart w:id="128" w:name="the-contribution-restated"/>
    <w:p>
      <w:pPr>
        <w:pStyle w:val="Heading2"/>
        <w:spacing w:line="480" w:lineRule="auto"/>
      </w:pPr>
      <w:r>
        <w:t xml:space="preserve">The contribution restated</w:t>
      </w:r>
    </w:p>
    <w:p>
      <w:pPr>
        <w:pStyle w:val="FirstParagraph"/>
        <w:spacing w:line="480" w:lineRule="auto"/>
      </w:pPr>
      <w:r>
        <w:t xml:space="preserve">The contribution is a testable specification of deterrence without punishment in orbit. Stated as a single sentence: public coverage of a target satellite’s owner by an SDA-sharing arrangement reduces the subsequent rate of hazardous proximity events by nonpartner spacecraft, and that proposition is to be adjudicated by a staggered difference-in-differences event study at the chaser-target dyad-month level, with the reduction required to follow coverage, concentrate on nonpartners, and survive component-aware measurement thresholds.</w:t>
      </w:r>
    </w:p>
    <w:p>
      <w:pPr>
        <w:pStyle w:val="BodyText"/>
        <w:spacing w:line="480" w:lineRule="auto"/>
        <w:ind w:firstLine="720"/>
      </w:pPr>
      <w:r>
        <w:t xml:space="preserve">Three moves make that contribution more than a slogan. The first is the isolation of a mechanism, the expectation channel, through which shared observability raises a chaser’s expected cost by making detection, attribution, and coordinated response more likely rather than by threatening force</w:t>
      </w:r>
      <w:r>
        <w:t xml:space="preserve"> </w:t>
      </w:r>
      <w:hyperlink w:anchor="ref-8">
        <w:r>
          <w:rPr>
            <w:rStyle w:val="Hyperlink"/>
          </w:rPr>
          <w:t xml:space="preserve">[8]</w:t>
        </w:r>
      </w:hyperlink>
      <w:r>
        <w:t xml:space="preserve">. The second is the coding of treatment as public SDA-sharing coverage, drawn from the partnership literature’s real institutions, so that the treated condition is one a potential chaser could actually know about</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The third is the treatment of measurement as identification, so that the outcome is built with the orbital-data literature’s discipline rather than assumed into existence</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two completed papers earn this contribution. The first shows, with a logit coefficient of 0.375 at p equal to 0.335 over eleven documents, that the dissertation’s own corpus has not fused sharing and deterrence, which is why the behavioral test is not redundant</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second shows, with an in-track coefficient of -0.980 at p equal to 0.045 over twelve rows, that detection is direction-dependent, which is why the behavioral outcome must use plural, component-aware thresholds</w:t>
      </w:r>
      <w:r>
        <w:t xml:space="preserve"> </w:t>
      </w:r>
      <w:hyperlink w:anchor="ref-10">
        <w:r>
          <w:rPr>
            <w:rStyle w:val="Hyperlink"/>
          </w:rPr>
          <w:t xml:space="preserve">[10]</w:t>
        </w:r>
      </w:hyperlink>
      <w:r>
        <w:t xml:space="preserve">. Neither claims deterrence. Both make the eventual deterrence test defensible.</w:t>
      </w:r>
    </w:p>
    <w:bookmarkEnd w:id="128"/>
    <w:bookmarkStart w:id="129" w:name="governance-and-program-relevance"/>
    <w:p>
      <w:pPr>
        <w:pStyle w:val="Heading2"/>
        <w:spacing w:line="480" w:lineRule="auto"/>
      </w:pPr>
      <w:r>
        <w:t xml:space="preserve">Governance and program relevance</w:t>
      </w:r>
    </w:p>
    <w:p>
      <w:pPr>
        <w:pStyle w:val="FirstParagraph"/>
        <w:spacing w:line="480" w:lineRule="auto"/>
      </w:pPr>
      <w:r>
        <w:t xml:space="preserve">The findings speak to decisions that allied space organizations are making now. Coalition SDA is expanding through partnership architectures, hosted payloads, and data-sharing arrangements, and much of the case for that expansion rests on an implied deterrent payoff</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This dissertation offers a way to hold that case to account. If the behavioral study confirms a post-coverage reduction in hazardous proximity behavior, allied investment in shared awareness gains an evidence-based rationale beyond capability alone, and the deterrent value of publicity, of coverage a chaser can know about, becomes a design parameter rather than a rhetorical flourish. If the study finds no such reduction, the investment should be justified on its real merits, better safety, better attribution, better decision support, without leaning on a deterrent effect the data do not bear out.</w:t>
      </w:r>
    </w:p>
    <w:p>
      <w:pPr>
        <w:pStyle w:val="BodyText"/>
        <w:spacing w:line="480" w:lineRule="auto"/>
        <w:ind w:firstLine="720"/>
      </w:pPr>
      <w:r>
        <w:t xml:space="preserve">The publicity result carries a specific program implication. Because the mechanism runs through a chaser’s knowledge that observability has risen, the deterrent value of an arrangement depends partly on how visibly it is communicated. Classified coverage may still improve safety and attribution, but it cannot deter through expectation, since the expectation channel is closed to the actor whose behavior is at issue</w:t>
      </w:r>
      <w:r>
        <w:t xml:space="preserve"> </w:t>
      </w:r>
      <w:hyperlink w:anchor="ref-8">
        <w:r>
          <w:rPr>
            <w:rStyle w:val="Hyperlink"/>
          </w:rPr>
          <w:t xml:space="preserve">[8]</w:t>
        </w:r>
      </w:hyperlink>
      <w:r>
        <w:t xml:space="preserve"> </w:t>
      </w:r>
      <w:hyperlink w:anchor="ref-11">
        <w:r>
          <w:rPr>
            <w:rStyle w:val="Hyperlink"/>
          </w:rPr>
          <w:t xml:space="preserve">[11]</w:t>
        </w:r>
      </w:hyperlink>
      <w:r>
        <w:t xml:space="preserve">. Organizations that want a deterrent effect from shared awareness, as distinct from an operational one, have reason to make coverage legible to potential chasers, within the bounds security allows.</w:t>
      </w:r>
    </w:p>
    <w:p>
      <w:pPr>
        <w:pStyle w:val="BodyText"/>
        <w:spacing w:line="480" w:lineRule="auto"/>
        <w:ind w:firstLine="720"/>
      </w:pPr>
      <w:r>
        <w:t xml:space="preserve">The measurement result has governance relevance of its own. Continuing supervision of in-space activity, the direction governance is already taking, requires distinguishing benign proximity, such as servicing and inspection, from concerning proximity</w:t>
      </w:r>
      <w:r>
        <w:t xml:space="preserve"> </w:t>
      </w:r>
      <w:hyperlink w:anchor="ref-23">
        <w:r>
          <w:rPr>
            <w:rStyle w:val="Hyperlink"/>
          </w:rPr>
          <w:t xml:space="preserve">[23]</w:t>
        </w:r>
      </w:hyperlink>
      <w:r>
        <w:t xml:space="preserve">. The second paper’s demonstration that maneuver visibility is component-dependent is a caution for any supervision architecture: uniform detection thresholds will systematically under-observe in-track behavior and could misclassify concerning activity as absent</w:t>
      </w:r>
      <w:r>
        <w:t xml:space="preserve"> </w:t>
      </w:r>
      <w:hyperlink w:anchor="ref-10">
        <w:r>
          <w:rPr>
            <w:rStyle w:val="Hyperlink"/>
          </w:rPr>
          <w:t xml:space="preserve">[10]</w:t>
        </w:r>
      </w:hyperlink>
      <w:r>
        <w:t xml:space="preserve">. Decision-support systems built for supervision should encode component-aware detection from the start, not discover the asymmetry after deployment.</w:t>
      </w:r>
    </w:p>
    <w:bookmarkEnd w:id="129"/>
    <w:bookmarkStart w:id="130" w:name="implications-for-coalition-design"/>
    <w:p>
      <w:pPr>
        <w:pStyle w:val="Heading2"/>
        <w:spacing w:line="480" w:lineRule="auto"/>
      </w:pPr>
      <w:r>
        <w:t xml:space="preserve">Implications for coalition design</w:t>
      </w:r>
    </w:p>
    <w:p>
      <w:pPr>
        <w:pStyle w:val="FirstParagraph"/>
        <w:spacing w:line="480" w:lineRule="auto"/>
      </w:pPr>
      <w:r>
        <w:t xml:space="preserve">The mechanism, if it holds, changes how a coalition should think about the design of a sharing arrangement, not only whether to build one. Three design parameters follow directly from the theory. The first is publicity: because the deterrent runs through a chaser’s knowledge of coverage, an arrangement optimized for deterrence should make its coverage salient and common knowledge among potential chasers, within security limits, rather than treating publicity as an afterthought</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 The second is credibility of follow-through: an arrangement that announces coverage but never publicly attributes or raises a close approach will, over time, teach chasers that the threatened disclosure is empty, so the practices of attribution and diplomatic escalation are part of the deterrent, not administrative overhead</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third is breadth of the coalition’s field of view, since the mechanism strengthens as more of orbit is legibly watched, which is an argument for the partnering and burden-sharing posture the institutional literature already advocates on other grounds</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These implications are conditional on the behavioral study confirming the effect, and stating them now serves a purpose beyond anticipation. They make the study decision-relevant in advance: a coalition planner can read the design and know which levers the theory says matter, so that if the effect is confirmed, the path from evidence to program choice is already mapped, and if it is disconfirmed, the planner learns that these levers do not buy deterrence and can redirect investment toward the operational and safety benefits that shared awareness delivers regardless</w:t>
      </w:r>
      <w:r>
        <w:t xml:space="preserve"> </w:t>
      </w:r>
      <w:hyperlink w:anchor="ref-23">
        <w:r>
          <w:rPr>
            <w:rStyle w:val="Hyperlink"/>
          </w:rPr>
          <w:t xml:space="preserve">[23]</w:t>
        </w:r>
      </w:hyperlink>
      <w:r>
        <w:t xml:space="preserve">. Either outcome informs a real choice, which is the standard a policy-relevant dissertation should meet.</w:t>
      </w:r>
    </w:p>
    <w:bookmarkEnd w:id="130"/>
    <w:bookmarkStart w:id="131" w:name="Xbb74c3eb8e24e79ced8f46d9e3d72303bc5c228"/>
    <w:p>
      <w:pPr>
        <w:pStyle w:val="Heading2"/>
        <w:spacing w:line="480" w:lineRule="auto"/>
      </w:pPr>
      <w:r>
        <w:t xml:space="preserve">Implications for measurement institutions</w:t>
      </w:r>
    </w:p>
    <w:p>
      <w:pPr>
        <w:pStyle w:val="FirstParagraph"/>
        <w:spacing w:line="480" w:lineRule="auto"/>
      </w:pPr>
      <w:r>
        <w:t xml:space="preserve">The measurement finding has institutional implications independent of the deterrence question. Any organization building continuing-supervision capability for in-space activity inherits the component-dependence problem the second paper demonstrates: detection sensitivity that is uniform across maneuver directions will systematically under-observe in-track behavior, which can fall an order of magnitude below radial signatures in published validation data</w:t>
      </w:r>
      <w:r>
        <w:t xml:space="preserve"> </w:t>
      </w:r>
      <w:hyperlink w:anchor="ref-10">
        <w:r>
          <w:rPr>
            <w:rStyle w:val="Hyperlink"/>
          </w:rPr>
          <w:t xml:space="preserve">[10]</w:t>
        </w:r>
      </w:hyperlink>
      <w:r>
        <w:t xml:space="preserve">. A supervision architecture that encodes this asymmetry from the start, calibrating detection thresholds by component and propagating uncertainty rather than assuming it away, will classify concerning activity more accurately than one that discovers the blind spot after deployment</w:t>
      </w:r>
      <w:r>
        <w:t xml:space="preserve"> </w:t>
      </w:r>
      <w:hyperlink w:anchor="ref-9">
        <w:r>
          <w:rPr>
            <w:rStyle w:val="Hyperlink"/>
          </w:rPr>
          <w:t xml:space="preserve">[9]</w:t>
        </w:r>
      </w:hyperlink>
      <w:r>
        <w:t xml:space="preserve"> </w:t>
      </w:r>
      <w:hyperlink w:anchor="ref-23">
        <w:r>
          <w:rPr>
            <w:rStyle w:val="Hyperlink"/>
          </w:rPr>
          <w:t xml:space="preserve">[23]</w:t>
        </w:r>
      </w:hyperlink>
      <w:r>
        <w:t xml:space="preserve">.</w:t>
      </w:r>
    </w:p>
    <w:p>
      <w:pPr>
        <w:pStyle w:val="BodyText"/>
        <w:spacing w:line="480" w:lineRule="auto"/>
        <w:ind w:firstLine="720"/>
      </w:pPr>
      <w:r>
        <w:t xml:space="preserve">The measurement implication also reaches the emerging cislunar frontier. As activity extends beyond geosynchronous orbit into cislunar space, the traffic-management and awareness problems compound, because coverage is sparser, geometry is more complex, and the institutions that catalog objects are less mature there than in low Earth orbit</w:t>
      </w:r>
      <w:r>
        <w:t xml:space="preserve"> </w:t>
      </w:r>
      <w:hyperlink w:anchor="ref-27">
        <w:r>
          <w:rPr>
            <w:rStyle w:val="Hyperlink"/>
          </w:rPr>
          <w:t xml:space="preserve">[27]</w:t>
        </w:r>
      </w:hyperlink>
      <w:r>
        <w:t xml:space="preserve">. A supervision architecture designed only for the well-covered near-Earth regimes will be poorly matched to the regime where growth is fastest. The dissertation’s insistence that measurement be treated as a design condition rather than a background detail is, if anything, more important in cislunar space, where the temptation to assume clean detection is strongest and the reality of it is weakest</w:t>
      </w:r>
      <w:r>
        <w:t xml:space="preserve"> </w:t>
      </w:r>
      <w:hyperlink w:anchor="ref-9">
        <w:r>
          <w:rPr>
            <w:rStyle w:val="Hyperlink"/>
          </w:rPr>
          <w:t xml:space="preserve">[9]</w:t>
        </w:r>
      </w:hyperlink>
      <w:r>
        <w:t xml:space="preserve"> </w:t>
      </w:r>
      <w:hyperlink w:anchor="ref-27">
        <w:r>
          <w:rPr>
            <w:rStyle w:val="Hyperlink"/>
          </w:rPr>
          <w:t xml:space="preserve">[27]</w:t>
        </w:r>
      </w:hyperlink>
      <w:r>
        <w:t xml:space="preserve">.</w:t>
      </w:r>
    </w:p>
    <w:p>
      <w:pPr>
        <w:pStyle w:val="BodyText"/>
        <w:spacing w:line="480" w:lineRule="auto"/>
        <w:ind w:firstLine="720"/>
      </w:pPr>
      <w:r>
        <w:t xml:space="preserve">This connects the dissertation to the broader trajectory of orbital governance. As servicing, inspection, and other controlled-proximity operations proliferate, the community’s central measurement task is distinguishing benign from concerning proximity, and that task is exactly where component-dependent detectability bites</w:t>
      </w:r>
      <w:r>
        <w:t xml:space="preserve"> </w:t>
      </w:r>
      <w:hyperlink w:anchor="ref-23">
        <w:r>
          <w:rPr>
            <w:rStyle w:val="Hyperlink"/>
          </w:rPr>
          <w:t xml:space="preserve">[23]</w:t>
        </w:r>
      </w:hyperlink>
      <w:r>
        <w:t xml:space="preserve">. The dissertation’s contribution here is modest but concrete: it supplies, through a fully traceable example, quantitative evidence that the asymmetry is real and large enough to matter, which is a fact any supervision-system designer should build around whether or not they care about deterrence at all</w:t>
      </w:r>
      <w:r>
        <w:t xml:space="preserve"> </w:t>
      </w:r>
      <w:hyperlink w:anchor="ref-10">
        <w:r>
          <w:rPr>
            <w:rStyle w:val="Hyperlink"/>
          </w:rPr>
          <w:t xml:space="preserve">[10]</w:t>
        </w:r>
      </w:hyperlink>
      <w:r>
        <w:t xml:space="preserve">.</w:t>
      </w:r>
    </w:p>
    <w:bookmarkEnd w:id="131"/>
    <w:bookmarkStart w:id="132" w:name="X7e3ab5da01e05b32f66f5984ce1cd80c909bc1a"/>
    <w:p>
      <w:pPr>
        <w:pStyle w:val="Heading2"/>
        <w:spacing w:line="480" w:lineRule="auto"/>
      </w:pPr>
      <w:r>
        <w:t xml:space="preserve">Implications for allied program decisions</w:t>
      </w:r>
    </w:p>
    <w:p>
      <w:pPr>
        <w:pStyle w:val="FirstParagraph"/>
        <w:spacing w:line="480" w:lineRule="auto"/>
      </w:pPr>
      <w:r>
        <w:t xml:space="preserve">The dissertation’s relevance to allied program decisions is concrete enough to state as guidance for the choices organizations face now. Coalition awareness programs compete for finite budget against hardening, maneuvering reserves, and offensive counterspace options, and the deterrence rationale is one of the arguments that tips such competitions. This work offers a way to price that argument honestly. Until the behavioral study runs, program advocates should not count a deterrent benefit as established, because the corpus analysis shows the field has not settled that the benefit exists</w:t>
      </w:r>
      <w:r>
        <w:t xml:space="preserve"> </w:t>
      </w:r>
      <w:hyperlink w:anchor="ref-2">
        <w:r>
          <w:rPr>
            <w:rStyle w:val="Hyperlink"/>
          </w:rPr>
          <w:t xml:space="preserve">[2]</w:t>
        </w:r>
      </w:hyperlink>
      <w:r>
        <w:t xml:space="preserve"> </w:t>
      </w:r>
      <w:hyperlink w:anchor="ref-5">
        <w:r>
          <w:rPr>
            <w:rStyle w:val="Hyperlink"/>
          </w:rPr>
          <w:t xml:space="preserve">[5]</w:t>
        </w:r>
      </w:hyperlink>
      <w:r>
        <w:t xml:space="preserve">. After the study runs, the deterrent benefit becomes a measured quantity that can be weighed against alternatives rather than asserted alongside them</w:t>
      </w:r>
      <w:r>
        <w:t xml:space="preserve"> </w:t>
      </w:r>
      <w:hyperlink w:anchor="ref-8">
        <w:r>
          <w:rPr>
            <w:rStyle w:val="Hyperlink"/>
          </w:rPr>
          <w:t xml:space="preserve">[8]</w:t>
        </w:r>
      </w:hyperlink>
      <w:r>
        <w:t xml:space="preserve">.</w:t>
      </w:r>
    </w:p>
    <w:p>
      <w:pPr>
        <w:pStyle w:val="BodyText"/>
        <w:spacing w:line="480" w:lineRule="auto"/>
        <w:ind w:firstLine="720"/>
      </w:pPr>
      <w:r>
        <w:t xml:space="preserve">Even before the behavioral estimate, three program-relevant conclusions follow from the completed work. Coverage intended to deter should be communicated publicly, because the mechanism is closed to chasers who cannot know coverage rose, which argues against reflexive classification of every sharing arrangement</w:t>
      </w:r>
      <w:r>
        <w:t xml:space="preserve"> </w:t>
      </w:r>
      <w:hyperlink w:anchor="ref-6">
        <w:r>
          <w:rPr>
            <w:rStyle w:val="Hyperlink"/>
          </w:rPr>
          <w:t xml:space="preserve">[6]</w:t>
        </w:r>
      </w:hyperlink>
      <w:r>
        <w:t xml:space="preserve"> </w:t>
      </w:r>
      <w:hyperlink w:anchor="ref-8">
        <w:r>
          <w:rPr>
            <w:rStyle w:val="Hyperlink"/>
          </w:rPr>
          <w:t xml:space="preserve">[8]</w:t>
        </w:r>
      </w:hyperlink>
      <w:r>
        <w:t xml:space="preserve">. Supervision systems should encode component-aware detection, because uniform thresholds under-observe in-track maneuvers by roughly an order of magnitude in real validation data, a design error that is cheap to avoid at the start and expensive to correct after fielding</w:t>
      </w:r>
      <w:r>
        <w:t xml:space="preserve"> </w:t>
      </w:r>
      <w:hyperlink w:anchor="ref-10">
        <w:r>
          <w:rPr>
            <w:rStyle w:val="Hyperlink"/>
          </w:rPr>
          <w:t xml:space="preserve">[10]</w:t>
        </w:r>
      </w:hyperlink>
      <w:r>
        <w:t xml:space="preserve">. And investment in coalition breadth serves the mechanism as well as the operational mission, since a wider legibly-watched field of orbit strengthens whatever deterrent effect exists while also improving safety and attribution on their own terms</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These conclusions are useful precisely because they do not depend on the behavioral result. They follow from the mechanism’s logic and from the measurement finding, both of which stand regardless of whether the eventual event study confirms a behavioral effect. A program office can act on them today, adjusting how coverage is communicated and how detection is calibrated, and then update its assessment of the deterrent payoff once the behavioral study delivers a number</w:t>
      </w:r>
      <w:r>
        <w:t xml:space="preserve"> </w:t>
      </w:r>
      <w:hyperlink w:anchor="ref-10">
        <w:r>
          <w:rPr>
            <w:rStyle w:val="Hyperlink"/>
          </w:rPr>
          <w:t xml:space="preserve">[10]</w:t>
        </w:r>
      </w:hyperlink>
      <w:r>
        <w:t xml:space="preserve"> </w:t>
      </w:r>
      <w:hyperlink w:anchor="ref-23">
        <w:r>
          <w:rPr>
            <w:rStyle w:val="Hyperlink"/>
          </w:rPr>
          <w:t xml:space="preserve">[23]</w:t>
        </w:r>
      </w:hyperlink>
      <w:r>
        <w:t xml:space="preserve">. That staging, act on the robust conclusions now, price the contingent benefit when the evidence arrives, is the disciplined way to fold this research into a live budget rather than waiting for a single study to settle everything.</w:t>
      </w:r>
    </w:p>
    <w:bookmarkEnd w:id="132"/>
    <w:bookmarkStart w:id="133" w:name="X47c7a5d804eb04b537d1f7934f805f448446b75"/>
    <w:p>
      <w:pPr>
        <w:pStyle w:val="Heading2"/>
        <w:spacing w:line="480" w:lineRule="auto"/>
      </w:pPr>
      <w:r>
        <w:t xml:space="preserve">Implications for the theory of deterrence</w:t>
      </w:r>
    </w:p>
    <w:p>
      <w:pPr>
        <w:pStyle w:val="FirstParagraph"/>
        <w:spacing w:line="480" w:lineRule="auto"/>
      </w:pPr>
      <w:r>
        <w:t xml:space="preserve">The dissertation also speaks, cautiously, to deterrence theory beyond the space domain. If observation-based deterrence works in orbit, it would be a clean empirical instance of a mechanism that classical theory has long acknowledged but rarely isolated: deterrence through the near-certainty of exposure rather than through the threat of force. Orbit is an unusually good laboratory for this, because the behavior is legible in public records, the treatment is datable from public announcements, and punishment is so unattractive that the observation channel operates with less confounding from retaliatory threats than in most terrestrial settings</w:t>
      </w:r>
      <w:r>
        <w:t xml:space="preserve"> </w:t>
      </w:r>
      <w:hyperlink w:anchor="ref-1">
        <w:r>
          <w:rPr>
            <w:rStyle w:val="Hyperlink"/>
          </w:rPr>
          <w:t xml:space="preserve">[1]</w:t>
        </w:r>
      </w:hyperlink>
      <w:r>
        <w:t xml:space="preserve"> </w:t>
      </w:r>
      <w:hyperlink w:anchor="ref-8">
        <w:r>
          <w:rPr>
            <w:rStyle w:val="Hyperlink"/>
          </w:rPr>
          <w:t xml:space="preserve">[8]</w:t>
        </w:r>
      </w:hyperlink>
      <w:r>
        <w:t xml:space="preserve">. A confirmed effect would give deterrence theorists a rare, measurable case of exposure-based deterrence in the wild.</w:t>
      </w:r>
    </w:p>
    <w:p>
      <w:pPr>
        <w:pStyle w:val="BodyText"/>
        <w:spacing w:line="480" w:lineRule="auto"/>
        <w:ind w:firstLine="720"/>
      </w:pPr>
      <w:r>
        <w:t xml:space="preserve">A disconfirmed effect would be theoretically informative in a different way. It would suggest that visibility alone, absent a credible penalty attached to what is seen, does not restrain determined actors, which would sharpen the theoretical claim that deterrence requires not just detection and attribution but a consequence the target genuinely fears</w:t>
      </w:r>
      <w:r>
        <w:t xml:space="preserve"> </w:t>
      </w:r>
      <w:hyperlink w:anchor="ref-8">
        <w:r>
          <w:rPr>
            <w:rStyle w:val="Hyperlink"/>
          </w:rPr>
          <w:t xml:space="preserve">[8]</w:t>
        </w:r>
      </w:hyperlink>
      <w:r>
        <w:t xml:space="preserve"> </w:t>
      </w:r>
      <w:hyperlink w:anchor="ref-11">
        <w:r>
          <w:rPr>
            <w:rStyle w:val="Hyperlink"/>
          </w:rPr>
          <w:t xml:space="preserve">[11]</w:t>
        </w:r>
      </w:hyperlink>
      <w:r>
        <w:t xml:space="preserve">. Either result advances the theory, because either result pins down whether the observation channel, isolated as cleanly as the orbital setting allows, produces behavioral restraint on its own. The dissertation’s design is thus a contribution to deterrence theory’s empirical foundations, not only to space policy, and it earns that dual relevance precisely by being narrow and testable rather than broad and rhetorical.</w:t>
      </w:r>
    </w:p>
    <w:p>
      <w:pPr>
        <w:pStyle w:val="BodyText"/>
        <w:spacing w:line="480" w:lineRule="auto"/>
        <w:ind w:firstLine="720"/>
      </w:pPr>
      <w:r>
        <w:t xml:space="preserve">A boundary condition deserves statement for the theory. The mechanism presumes actors who care about disclosure, whose reputations and diplomatic standing carry cost. An actor wholly indifferent to being named, or one whose objectives make exposure irrelevant, lies outside the mechanism’s reach</w:t>
      </w:r>
      <w:r>
        <w:t xml:space="preserve"> </w:t>
      </w:r>
      <w:hyperlink w:anchor="ref-8">
        <w:r>
          <w:rPr>
            <w:rStyle w:val="Hyperlink"/>
          </w:rPr>
          <w:t xml:space="preserve">[8]</w:t>
        </w:r>
      </w:hyperlink>
      <w:r>
        <w:t xml:space="preserve">. A null result concentrated among such actors would not refute exposure-based deterrence generally; it would locate its boundary. The design’s heterogeneity analysis is what would let that boundary be read, distinguishing a mechanism that fails everywhere from one that works on disclosure-sensitive actors and not on others</w:t>
      </w:r>
      <w:r>
        <w:t xml:space="preserve"> </w:t>
      </w:r>
      <w:hyperlink w:anchor="ref-7">
        <w:r>
          <w:rPr>
            <w:rStyle w:val="Hyperlink"/>
          </w:rPr>
          <w:t xml:space="preserve">[7]</w:t>
        </w:r>
      </w:hyperlink>
      <w:r>
        <w:t xml:space="preserve">.</w:t>
      </w:r>
    </w:p>
    <w:bookmarkEnd w:id="133"/>
    <w:bookmarkStart w:id="134" w:name="future-work"/>
    <w:p>
      <w:pPr>
        <w:pStyle w:val="Heading2"/>
        <w:spacing w:line="480" w:lineRule="auto"/>
      </w:pPr>
      <w:r>
        <w:t xml:space="preserve">Future work</w:t>
      </w:r>
    </w:p>
    <w:p>
      <w:pPr>
        <w:pStyle w:val="FirstParagraph"/>
        <w:spacing w:line="480" w:lineRule="auto"/>
      </w:pPr>
      <w:r>
        <w:t xml:space="preserve">The obvious next step is to execute the dyad-month behavioral study the dissertation specifies. That work requires assembling the prospective orbital record described in Chapter 5, coding treatment conservatively from public partnership announcements, constructing hazardous-proximity outcomes under plural thresholds validated against public conjunction data, and running the staggered event study with its full battery of leads, placebos, and control-group sensitivity checks. The pre-registered predictions, effect after coverage, concentration on nonpartners, robustness to measurement, are the standard the estimate must meet before the deterrence label is applied.</w:t>
      </w:r>
    </w:p>
    <w:p>
      <w:pPr>
        <w:pStyle w:val="BodyText"/>
        <w:spacing w:line="480" w:lineRule="auto"/>
        <w:ind w:firstLine="720"/>
      </w:pPr>
      <w:r>
        <w:t xml:space="preserve">Three extensions would deepen the program. First, the mechanism should be tested for the publicity channel directly, by comparing arrangements that were announced prominently against those coded as low-visibility, to see whether deterrent effects scale with how knowable coverage was to potential chasers</w:t>
      </w:r>
      <w:r>
        <w:t xml:space="preserve"> </w:t>
      </w:r>
      <w:hyperlink w:anchor="ref-8">
        <w:r>
          <w:rPr>
            <w:rStyle w:val="Hyperlink"/>
          </w:rPr>
          <w:t xml:space="preserve">[8]</w:t>
        </w:r>
      </w:hyperlink>
      <w:r>
        <w:t xml:space="preserve">. Second, the displacement threat should be studied rather than merely conceded, by pairing the proximity outcome with indicators of other counterspace activity where public signatures exist, so that a decline in close approaches is not mistaken for a decline in hostile intent</w:t>
      </w:r>
      <w:r>
        <w:t xml:space="preserve"> </w:t>
      </w:r>
      <w:hyperlink w:anchor="ref-11">
        <w:r>
          <w:rPr>
            <w:rStyle w:val="Hyperlink"/>
          </w:rPr>
          <w:t xml:space="preserve">[11]</w:t>
        </w:r>
      </w:hyperlink>
      <w:r>
        <w:t xml:space="preserve"> </w:t>
      </w:r>
      <w:hyperlink w:anchor="ref-22">
        <w:r>
          <w:rPr>
            <w:rStyle w:val="Hyperlink"/>
          </w:rPr>
          <w:t xml:space="preserve">[22]</w:t>
        </w:r>
      </w:hyperlink>
      <w:r>
        <w:t xml:space="preserve">. Third, the design should be extended toward cislunar regimes as observability there matures, because the traffic-management and awareness problems are moving outward faster than the institutions built to handle them</w:t>
      </w:r>
      <w:r>
        <w:t xml:space="preserve"> </w:t>
      </w:r>
      <w:hyperlink w:anchor="ref-27">
        <w:r>
          <w:rPr>
            <w:rStyle w:val="Hyperlink"/>
          </w:rPr>
          <w:t xml:space="preserve">[27]</w:t>
        </w:r>
      </w:hyperlink>
      <w:r>
        <w:t xml:space="preserve">.</w:t>
      </w:r>
    </w:p>
    <w:p>
      <w:pPr>
        <w:pStyle w:val="BodyText"/>
        <w:spacing w:line="480" w:lineRule="auto"/>
        <w:ind w:firstLine="720"/>
      </w:pPr>
      <w:r>
        <w:t xml:space="preserve">Methodologically, future work should keep sharpening the outcome. The maneuver-detection and orbital-precision literatures are advancing quickly, and reinforcement-learning approaches to situational-awareness tasking suggest that detection itself will become more adaptive over time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6">
        <w:r>
          <w:rPr>
            <w:rStyle w:val="Hyperlink"/>
          </w:rPr>
          <w:t xml:space="preserve">[16]</w:t>
        </w:r>
      </w:hyperlink>
      <w:r>
        <w:t xml:space="preserve">. A behavioral estimate built on a fixed detection assumption risks obsolescence; the better path is to report the deterrence estimate across an explicit range of detection regimes and to update as measurement improves. A related methodological priority is power: the number of publicly coded treatment events bounds what any event study can detect, so early future work should map how many treated cohorts the public record actually supplies, since a design that is underpowered will produce imprecise nulls that answer nothing</w:t>
      </w:r>
      <w:r>
        <w:t xml:space="preserve"> </w:t>
      </w:r>
      <w:hyperlink w:anchor="ref-8">
        <w:r>
          <w:rPr>
            <w:rStyle w:val="Hyperlink"/>
          </w:rPr>
          <w:t xml:space="preserve">[8]</w:t>
        </w:r>
      </w:hyperlink>
      <w:r>
        <w:t xml:space="preserve">.</w:t>
      </w:r>
    </w:p>
    <w:p>
      <w:pPr>
        <w:pStyle w:val="BodyText"/>
        <w:spacing w:line="480" w:lineRule="auto"/>
        <w:ind w:firstLine="720"/>
      </w:pPr>
      <w:r>
        <w:t xml:space="preserve">A further methodological line concerns the outcome’s construction under adaptive detection. As detection methods themselves improve, the mapping from a maneuver to a detected signature shifts over time, which can induce spurious trends in the outcome if the improvement is not modeled</w:t>
      </w:r>
      <w:r>
        <w:t xml:space="preserve"> </w:t>
      </w:r>
      <w:hyperlink w:anchor="ref-9">
        <w:r>
          <w:rPr>
            <w:rStyle w:val="Hyperlink"/>
          </w:rPr>
          <w:t xml:space="preserve">[9]</w:t>
        </w:r>
      </w:hyperlink>
      <w:r>
        <w:t xml:space="preserve"> </w:t>
      </w:r>
      <w:hyperlink w:anchor="ref-10">
        <w:r>
          <w:rPr>
            <w:rStyle w:val="Hyperlink"/>
          </w:rPr>
          <w:t xml:space="preserve">[10]</w:t>
        </w:r>
      </w:hyperlink>
      <w:r>
        <w:t xml:space="preserve">. Future work should treat the detection method as a versioned input, holding it fixed within a specification and reporting how the estimate moves as the method is updated, so that a change in what the sensors and filters can see is never mistaken for a change in what operators do. This is the natural extension of the second empirical paper’s lesson, carried from static component-dependence into the dynamics of an improving detection stack</w:t>
      </w:r>
      <w:r>
        <w:t xml:space="preserve"> </w:t>
      </w:r>
      <w:hyperlink w:anchor="ref-16">
        <w:r>
          <w:rPr>
            <w:rStyle w:val="Hyperlink"/>
          </w:rPr>
          <w:t xml:space="preserve">[16]</w:t>
        </w:r>
      </w:hyperlink>
      <w:r>
        <w:t xml:space="preserve">.</w:t>
      </w:r>
    </w:p>
    <w:bookmarkEnd w:id="134"/>
    <w:bookmarkStart w:id="135" w:name="closing"/>
    <w:p>
      <w:pPr>
        <w:pStyle w:val="Heading2"/>
        <w:spacing w:line="480" w:lineRule="auto"/>
      </w:pPr>
      <w:r>
        <w:t xml:space="preserve">Closing</w:t>
      </w:r>
    </w:p>
    <w:p>
      <w:pPr>
        <w:pStyle w:val="FirstParagraph"/>
        <w:spacing w:line="480" w:lineRule="auto"/>
      </w:pPr>
      <w:r>
        <w:t xml:space="preserve">The value of this dissertation is disciplined restraint. It resists the temptation to declare that shared awareness deters, because the evidence for that declaration does not yet exist, and it resists the opposite temptation to dismiss the possibility, because the mechanism is coherent and the institutions are real. In their place it offers a single falsifiable claim, a design that could kill or confirm it, and two honest empirical papers that mark the path. The first paper, with its weak positive corpus association of 0.375 at p equal to 0.335, shows that the field has left the question open</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second, with its clear in-track asymmetry of -0.980 at p equal to 0.045, shows how the outcome must be measured</w:t>
      </w:r>
      <w:r>
        <w:t xml:space="preserve"> </w:t>
      </w:r>
      <w:hyperlink w:anchor="ref-10">
        <w:r>
          <w:rPr>
            <w:rStyle w:val="Hyperlink"/>
          </w:rPr>
          <w:t xml:space="preserve">[10]</w:t>
        </w:r>
      </w:hyperlink>
      <w:r>
        <w:t xml:space="preserve">.</w:t>
      </w:r>
    </w:p>
    <w:p>
      <w:pPr>
        <w:pStyle w:val="BodyText"/>
        <w:spacing w:line="480" w:lineRule="auto"/>
        <w:ind w:firstLine="720"/>
      </w:pPr>
      <w:r>
        <w:t xml:space="preserve">The larger point is that a strategic idea does not become knowledge by being repeated. Shared awareness has been described as a deterrent so often, across partnership studies and coalition declarations, that the description can start to feel like a finding</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It is not one. A finding requires a test, a test requires an observable outcome and a credible counterfactual, and neither has yet been brought to bear on this particular claim. The contribution of this dissertation is to supply the missing apparatus, the mechanism, the design, the measurement discipline, so that the next person to say shared awareness deters can be asked, reasonably, to show the coefficient. That demand, applied consistently, is what would move the field from assertion to evidence, and it is the standard the dissertation both proposes and, in its two completed papers, tries to meet</w:t>
      </w:r>
      <w:r>
        <w:t xml:space="preserve"> </w:t>
      </w:r>
      <w:hyperlink w:anchor="ref-8">
        <w:r>
          <w:rPr>
            <w:rStyle w:val="Hyperlink"/>
          </w:rPr>
          <w:t xml:space="preserve">[8]</w:t>
        </w:r>
      </w:hyperlink>
      <w:r>
        <w:t xml:space="preserve"> </w:t>
      </w:r>
      <w:hyperlink w:anchor="ref-10">
        <w:r>
          <w:rPr>
            <w:rStyle w:val="Hyperlink"/>
          </w:rPr>
          <w:t xml:space="preserve">[10]</w:t>
        </w:r>
      </w:hyperlink>
      <w:r>
        <w:t xml:space="preserve">. Deterrence without punishment may turn out to be one of the more useful ideas in space security, or it may turn out to be a story the field tells itself. The only way to know is to run the test this dissertation was built to make possible, and to read the result, whatever its sign, for exactly what it shows.</w:t>
      </w:r>
    </w:p>
    <w:bookmarkEnd w:id="135"/>
    <w:bookmarkStart w:id="174" w:name="references"/>
    <w:p>
      <w:pPr>
        <w:pStyle w:val="Heading2"/>
        <w:spacing w:line="480" w:lineRule="auto"/>
      </w:pPr>
      <w:r>
        <w:t xml:space="preserve">References</w:t>
      </w:r>
    </w:p>
    <w:p>
      <w:pPr>
        <w:pStyle w:val="FirstParagraph"/>
        <w:spacing w:line="480" w:lineRule="auto"/>
      </w:pPr>
      <w:bookmarkStart w:id="136" w:name="ref-1"/>
      <w:bookmarkEnd w:id="136"/>
      <w:r>
        <w:t xml:space="preserve">1. N. Hayden, K. Abel, M. Arrieta, and M. Stewart, “Artificial Intelligence and Autonomy in Space: Balancing Risks and Benefits for Deterrence and Escalation Control,” Sandia National Laboratories, AMOS, 2020.</w:t>
      </w:r>
    </w:p>
    <w:p>
      <w:pPr>
        <w:pStyle w:val="BodyText"/>
        <w:spacing w:line="480" w:lineRule="auto"/>
        <w:ind w:firstLine="720"/>
      </w:pPr>
      <w:bookmarkStart w:id="137" w:name="ref-2"/>
      <w:bookmarkEnd w:id="137"/>
      <w:r>
        <w:t xml:space="preserve">2. L. Hale, J. C. Last, J. Denamur-Paul, and R. Barber, “Partnering not Bossing: Better Leveraging of International Capabilities for Space Domain Awareness,” The Aerospace Corporation, AMOS, 2022.</w:t>
      </w:r>
    </w:p>
    <w:p>
      <w:pPr>
        <w:pStyle w:val="BodyText"/>
        <w:spacing w:line="480" w:lineRule="auto"/>
        <w:ind w:firstLine="720"/>
      </w:pPr>
      <w:bookmarkStart w:id="138" w:name="ref-3"/>
      <w:bookmarkEnd w:id="138"/>
      <w:r>
        <w:t xml:space="preserve">3. J. Moore and P. Havig, “Project UNITY: Cross Domain Visualization Collaboration,” Air Force Research Laboratory, AMOS, 2015.</w:t>
      </w:r>
    </w:p>
    <w:p>
      <w:pPr>
        <w:pStyle w:val="BodyText"/>
        <w:spacing w:line="480" w:lineRule="auto"/>
        <w:ind w:firstLine="720"/>
      </w:pPr>
      <w:bookmarkStart w:id="139" w:name="ref-4"/>
      <w:bookmarkEnd w:id="139"/>
      <w:r>
        <w:t xml:space="preserve">4. M. Davis, “Australia’s Emerging Space Policy: Defense Burden Sharing in Orbit and Space Situational Awareness,” Australian Strategic Policy Institute, AMOS, 2020.</w:t>
      </w:r>
    </w:p>
    <w:p>
      <w:pPr>
        <w:pStyle w:val="BodyText"/>
        <w:spacing w:line="480" w:lineRule="auto"/>
        <w:ind w:firstLine="720"/>
      </w:pPr>
      <w:bookmarkStart w:id="140" w:name="ref-5"/>
      <w:bookmarkEnd w:id="140"/>
      <w:r>
        <w:t xml:space="preserve">5. N. Dailey, B. McGrath, H. Reed, and J. Wotton, “Global Space Domain Awareness, Partnering to Win with AUKUS,” MITRE and Space Force Association, 2023, doi:</w:t>
      </w:r>
      <w:r>
        <w:t xml:space="preserve"> </w:t>
      </w:r>
      <w:hyperlink r:id="rId141">
        <w:r>
          <w:rPr>
            <w:rStyle w:val="Hyperlink"/>
          </w:rPr>
          <w:t xml:space="preserve">10.64861/FWBL2094</w:t>
        </w:r>
      </w:hyperlink>
    </w:p>
    <w:p>
      <w:pPr>
        <w:pStyle w:val="BodyText"/>
        <w:spacing w:line="480" w:lineRule="auto"/>
        <w:ind w:firstLine="720"/>
      </w:pPr>
      <w:bookmarkStart w:id="142" w:name="ref-6"/>
      <w:bookmarkEnd w:id="142"/>
      <w:r>
        <w:t xml:space="preserve">6. S. McCollum, B. Hammond, and B. Feighery, “Quasi-Zenith Satellite System Hosted Payload (QZSS-HP): Pathfinder to Space Domain Awareness (SDA) Partnerships,” USSF Space Systems Command, 2025, doi:</w:t>
      </w:r>
      <w:r>
        <w:t xml:space="preserve"> </w:t>
      </w:r>
      <w:hyperlink r:id="rId143">
        <w:r>
          <w:rPr>
            <w:rStyle w:val="Hyperlink"/>
          </w:rPr>
          <w:t xml:space="preserve">10.64861/DBWY9393</w:t>
        </w:r>
      </w:hyperlink>
    </w:p>
    <w:p>
      <w:pPr>
        <w:pStyle w:val="BodyText"/>
        <w:spacing w:line="480" w:lineRule="auto"/>
        <w:ind w:firstLine="720"/>
      </w:pPr>
      <w:bookmarkStart w:id="144" w:name="ref-7"/>
      <w:bookmarkEnd w:id="144"/>
      <w:r>
        <w:t xml:space="preserve">7. M. Young, “Trends in Global Space Situational Awareness,” Aerospace Security Project, AMOS, 2021.</w:t>
      </w:r>
    </w:p>
    <w:p>
      <w:pPr>
        <w:pStyle w:val="BodyText"/>
        <w:spacing w:line="480" w:lineRule="auto"/>
        <w:ind w:firstLine="720"/>
      </w:pPr>
      <w:bookmarkStart w:id="145" w:name="ref-8"/>
      <w:bookmarkEnd w:id="145"/>
      <w:r>
        <w:t xml:space="preserve">8. A. Chronopoulos, “Laying the groundwork for deterrence: A preliminary examination of general deterrence in space during peacetime, the role of strategic narratives, and US-China dynamics,” 2025, doi:</w:t>
      </w:r>
      <w:r>
        <w:t xml:space="preserve"> </w:t>
      </w:r>
      <w:hyperlink r:id="rId146">
        <w:r>
          <w:rPr>
            <w:rStyle w:val="Hyperlink"/>
          </w:rPr>
          <w:t xml:space="preserve">10.1016/j.actaastro.2025.10.042</w:t>
        </w:r>
      </w:hyperlink>
    </w:p>
    <w:p>
      <w:pPr>
        <w:pStyle w:val="BodyText"/>
        <w:spacing w:line="480" w:lineRule="auto"/>
        <w:ind w:firstLine="720"/>
      </w:pPr>
      <w:bookmarkStart w:id="147" w:name="ref-9"/>
      <w:bookmarkEnd w:id="147"/>
      <w:r>
        <w:t xml:space="preserve">9. J. C. Dolado-Perez, K. Nitta, T. Flohrer, M. Jah, V. Martinot, and A. Pastor, “Improvement of orbital data precision and accuracy,” 2025, doi:</w:t>
      </w:r>
      <w:r>
        <w:t xml:space="preserve"> </w:t>
      </w:r>
      <w:hyperlink r:id="rId148">
        <w:r>
          <w:rPr>
            <w:rStyle w:val="Hyperlink"/>
          </w:rPr>
          <w:t xml:space="preserve">10.1016/j.actaastro.2025.01.003</w:t>
        </w:r>
      </w:hyperlink>
    </w:p>
    <w:p>
      <w:pPr>
        <w:pStyle w:val="BodyText"/>
        <w:spacing w:line="480" w:lineRule="auto"/>
        <w:ind w:firstLine="720"/>
      </w:pPr>
      <w:bookmarkStart w:id="149" w:name="ref-10"/>
      <w:bookmarkEnd w:id="149"/>
      <w:r>
        <w:t xml:space="preserve">10. D. Shorten, M. Humphries, J. Maclean, Y. Yang, and M. Roughan, “Optimal proposal particle filters for detecting anomalies and manoeuvres from two line element data,” 2024, doi:</w:t>
      </w:r>
      <w:r>
        <w:t xml:space="preserve"> </w:t>
      </w:r>
      <w:hyperlink r:id="rId150">
        <w:r>
          <w:rPr>
            <w:rStyle w:val="Hyperlink"/>
          </w:rPr>
          <w:t xml:space="preserve">10.1016/j.actaastro.2024.11.033</w:t>
        </w:r>
      </w:hyperlink>
    </w:p>
    <w:p>
      <w:pPr>
        <w:pStyle w:val="BodyText"/>
        <w:spacing w:line="480" w:lineRule="auto"/>
        <w:ind w:firstLine="720"/>
      </w:pPr>
      <w:bookmarkStart w:id="151" w:name="ref-11"/>
      <w:bookmarkEnd w:id="151"/>
      <w:r>
        <w:t xml:space="preserve">11. C. Poirier,</w:t>
      </w:r>
      <w:r>
        <w:t xml:space="preserve"> </w:t>
      </w:r>
      <w:r>
        <w:t xml:space="preserve">“Establishing a governance for cyber operations in outer space: Exploring challenges faced by space and cyber commands,”</w:t>
      </w:r>
      <w:r>
        <w:t xml:space="preserve"> </w:t>
      </w:r>
      <w:r>
        <w:t xml:space="preserve">Acta Astronautica, 2025, doi:</w:t>
      </w:r>
      <w:r>
        <w:t xml:space="preserve"> </w:t>
      </w:r>
      <w:hyperlink r:id="rId152">
        <w:r>
          <w:rPr>
            <w:rStyle w:val="Hyperlink"/>
          </w:rPr>
          <w:t xml:space="preserve">10.1016/j.actaastro.2025.08.048</w:t>
        </w:r>
      </w:hyperlink>
    </w:p>
    <w:p>
      <w:pPr>
        <w:pStyle w:val="BodyText"/>
        <w:spacing w:line="480" w:lineRule="auto"/>
        <w:ind w:firstLine="720"/>
      </w:pPr>
      <w:bookmarkStart w:id="153" w:name="ref-12"/>
      <w:bookmarkEnd w:id="153"/>
      <w:r>
        <w:t xml:space="preserve">12. Nancy Hayden, Sandia National Laboratories; Kelsey Abel, Sandia National Laboratories; Marie Arrieta, Sandia National Laboratories; Mallory Stewart, Sandia National Laboratories. Artificial Intelligence and Autonomy in Space: Balancing Risks and Benefits for Deterrence and Escalation Control (2020).</w:t>
      </w:r>
    </w:p>
    <w:p>
      <w:pPr>
        <w:pStyle w:val="BodyText"/>
        <w:spacing w:line="480" w:lineRule="auto"/>
        <w:ind w:firstLine="720"/>
      </w:pPr>
      <w:bookmarkStart w:id="154" w:name="ref-13"/>
      <w:bookmarkEnd w:id="154"/>
      <w:r>
        <w:t xml:space="preserve">13. Lauren Hale, The Aerospace Corporation; Justin C. Last, The Aerospace Corporation; Jordan Denamur-Paul, The Aerospace Corporation; Richard Barber, The Aerospace Corporation. Partnering not Bossing: Better Leveraging of International Capabilities for Space Domain Awareness (2022).</w:t>
      </w:r>
    </w:p>
    <w:p>
      <w:pPr>
        <w:pStyle w:val="BodyText"/>
        <w:spacing w:line="480" w:lineRule="auto"/>
        <w:ind w:firstLine="720"/>
      </w:pPr>
      <w:bookmarkStart w:id="155" w:name="ref-14"/>
      <w:bookmarkEnd w:id="155"/>
      <w:r>
        <w:t xml:space="preserve">14. Jason Moore, Air Force Research Laboratory, Paul Havig, AFRL/RH. Project UNITY: Cross Domain Visualization Collaboration (2015).</w:t>
      </w:r>
    </w:p>
    <w:p>
      <w:pPr>
        <w:pStyle w:val="BodyText"/>
        <w:spacing w:line="480" w:lineRule="auto"/>
        <w:ind w:firstLine="720"/>
      </w:pPr>
      <w:bookmarkStart w:id="156" w:name="ref-15"/>
      <w:bookmarkEnd w:id="156"/>
      <w:r>
        <w:t xml:space="preserve">15. Malcolm Davis, The Australian Strategic Policy Institute. Australia’s Emerging Space Policy – Defense Burden Sharing in Orbit and Space Situational Awareness (2020).</w:t>
      </w:r>
    </w:p>
    <w:p>
      <w:pPr>
        <w:pStyle w:val="BodyText"/>
        <w:spacing w:line="480" w:lineRule="auto"/>
        <w:ind w:firstLine="720"/>
      </w:pPr>
      <w:bookmarkStart w:id="157" w:name="ref-16"/>
      <w:bookmarkEnd w:id="157"/>
      <w:r>
        <w:t xml:space="preserve">16. Benedict Oakes, University of Liverpool; Jason F. Ralph, University of Liverpool; Jordi Barr, Defence Science Technology Laboratory. Deep Reinforcement Learning Applications to Space Situational Awareness Scenarios (2024). doi:</w:t>
      </w:r>
      <w:r>
        <w:t xml:space="preserve"> </w:t>
      </w:r>
      <w:hyperlink r:id="rId158">
        <w:r>
          <w:rPr>
            <w:rStyle w:val="Hyperlink"/>
          </w:rPr>
          <w:t xml:space="preserve">10.64861/TWFE4121</w:t>
        </w:r>
      </w:hyperlink>
    </w:p>
    <w:p>
      <w:pPr>
        <w:pStyle w:val="BodyText"/>
        <w:spacing w:line="480" w:lineRule="auto"/>
        <w:ind w:firstLine="720"/>
      </w:pPr>
      <w:bookmarkStart w:id="159" w:name="ref-17"/>
      <w:bookmarkEnd w:id="159"/>
      <w:r>
        <w:t xml:space="preserve">17. Nathaniel Dailey, MITRE &amp; Space Force Association; Braden McGrath, MITRE Australia; Harvey Reed, MITRE; Jonathon Wotton, MITRE Australia. Global Space Domain Awareness, Partnering to Win with AUKUS (2023). doi:</w:t>
      </w:r>
      <w:r>
        <w:t xml:space="preserve"> </w:t>
      </w:r>
      <w:hyperlink r:id="rId141">
        <w:r>
          <w:rPr>
            <w:rStyle w:val="Hyperlink"/>
          </w:rPr>
          <w:t xml:space="preserve">10.64861/FWBL2094</w:t>
        </w:r>
      </w:hyperlink>
    </w:p>
    <w:p>
      <w:pPr>
        <w:pStyle w:val="BodyText"/>
        <w:spacing w:line="480" w:lineRule="auto"/>
        <w:ind w:firstLine="720"/>
      </w:pPr>
      <w:bookmarkStart w:id="160" w:name="ref-18"/>
      <w:bookmarkEnd w:id="160"/>
      <w:r>
        <w:t xml:space="preserve">18. Sophia McCollum, USSF Space Systems Command; Brandon Hammond, USSF Space Systems Command; Brynn Feighery, USSF Space Systems Command. Quasi-Zenith Satellite System Hosted Payload (QZSS-HP): Pathfinder to Space Domain Awareness (SDA) Partnerships (2025). doi:</w:t>
      </w:r>
      <w:r>
        <w:t xml:space="preserve"> </w:t>
      </w:r>
      <w:hyperlink r:id="rId143">
        <w:r>
          <w:rPr>
            <w:rStyle w:val="Hyperlink"/>
          </w:rPr>
          <w:t xml:space="preserve">10.64861/DBWY9393</w:t>
        </w:r>
      </w:hyperlink>
    </w:p>
    <w:p>
      <w:pPr>
        <w:pStyle w:val="BodyText"/>
        <w:spacing w:line="480" w:lineRule="auto"/>
        <w:ind w:firstLine="720"/>
      </w:pPr>
      <w:bookmarkStart w:id="161" w:name="ref-19"/>
      <w:bookmarkEnd w:id="161"/>
      <w:r>
        <w:t xml:space="preserve">19. Makena Young, Aerospace Security Project. Trends in Global Space Situational Awareness (2021).</w:t>
      </w:r>
    </w:p>
    <w:p>
      <w:pPr>
        <w:pStyle w:val="BodyText"/>
        <w:spacing w:line="480" w:lineRule="auto"/>
        <w:ind w:firstLine="720"/>
      </w:pPr>
      <w:bookmarkStart w:id="162" w:name="ref-20"/>
      <w:bookmarkEnd w:id="162"/>
      <w:r>
        <w:t xml:space="preserve">20. Alexandra Chronopoulos. Laying the groundwork for deterrence: A preliminary examination of general deterrence in space during peacetime, the role of strategic narratives, and US-China dynamics (2025). doi:</w:t>
      </w:r>
      <w:r>
        <w:t xml:space="preserve"> </w:t>
      </w:r>
      <w:hyperlink r:id="rId146">
        <w:r>
          <w:rPr>
            <w:rStyle w:val="Hyperlink"/>
          </w:rPr>
          <w:t xml:space="preserve">10.1016/j.actaastro.2025.10.042</w:t>
        </w:r>
      </w:hyperlink>
    </w:p>
    <w:p>
      <w:pPr>
        <w:pStyle w:val="BodyText"/>
        <w:spacing w:line="480" w:lineRule="auto"/>
        <w:ind w:firstLine="720"/>
      </w:pPr>
      <w:bookmarkStart w:id="163" w:name="ref-21"/>
      <w:bookmarkEnd w:id="163"/>
      <w:r>
        <w:t xml:space="preserve">21. Phyllis J. Johnson; Peter Suedfeld; Vadim Gushin. Being a father during the space career: Retired cosmonauts’ involvement (2018). doi:</w:t>
      </w:r>
      <w:r>
        <w:t xml:space="preserve"> </w:t>
      </w:r>
      <w:hyperlink r:id="rId164">
        <w:r>
          <w:rPr>
            <w:rStyle w:val="Hyperlink"/>
          </w:rPr>
          <w:t xml:space="preserve">10.1016/j.actaastro.2018.05.028</w:t>
        </w:r>
      </w:hyperlink>
    </w:p>
    <w:p>
      <w:pPr>
        <w:pStyle w:val="BodyText"/>
        <w:spacing w:line="480" w:lineRule="auto"/>
        <w:ind w:firstLine="720"/>
      </w:pPr>
      <w:bookmarkStart w:id="165" w:name="ref-22"/>
      <w:bookmarkEnd w:id="165"/>
      <w:r>
        <w:t xml:space="preserve">22. Clémence Poirier. Establishing a governance for cyber operations in outer space: Exploring challenges faced by space and cyber commands (2025). doi:</w:t>
      </w:r>
      <w:r>
        <w:t xml:space="preserve"> </w:t>
      </w:r>
      <w:hyperlink r:id="rId152">
        <w:r>
          <w:rPr>
            <w:rStyle w:val="Hyperlink"/>
          </w:rPr>
          <w:t xml:space="preserve">10.1016/j.actaastro.2025.08.048</w:t>
        </w:r>
      </w:hyperlink>
    </w:p>
    <w:p>
      <w:pPr>
        <w:pStyle w:val="BodyText"/>
        <w:spacing w:line="480" w:lineRule="auto"/>
        <w:ind w:firstLine="720"/>
      </w:pPr>
      <w:bookmarkStart w:id="166" w:name="ref-23"/>
      <w:bookmarkEnd w:id="166"/>
      <w:r>
        <w:t xml:space="preserve">23. Jacqueline H. Smith; Moriba Jah; Danielle Wood. Architecting a decision support system for continuing supervision of commercial in-space servicing (2025). doi:</w:t>
      </w:r>
      <w:r>
        <w:t xml:space="preserve"> </w:t>
      </w:r>
      <w:hyperlink r:id="rId167">
        <w:r>
          <w:rPr>
            <w:rStyle w:val="Hyperlink"/>
          </w:rPr>
          <w:t xml:space="preserve">10.1016/j.actaastro.2025.05.036</w:t>
        </w:r>
      </w:hyperlink>
    </w:p>
    <w:p>
      <w:pPr>
        <w:pStyle w:val="BodyText"/>
        <w:spacing w:line="480" w:lineRule="auto"/>
        <w:ind w:firstLine="720"/>
      </w:pPr>
      <w:bookmarkStart w:id="168" w:name="ref-24"/>
      <w:bookmarkEnd w:id="168"/>
      <w:r>
        <w:t xml:space="preserve">24. J.C. Dolado-Perez; Kumi Nitta; Tim Flohrer; Moriba Jah; V. Martinot; Alejandro Pastor. Improvement of orbital data precision and accuracy (2025). doi:</w:t>
      </w:r>
      <w:r>
        <w:t xml:space="preserve"> </w:t>
      </w:r>
      <w:hyperlink r:id="rId148">
        <w:r>
          <w:rPr>
            <w:rStyle w:val="Hyperlink"/>
          </w:rPr>
          <w:t xml:space="preserve">10.1016/j.actaastro.2025.01.003</w:t>
        </w:r>
      </w:hyperlink>
    </w:p>
    <w:p>
      <w:pPr>
        <w:pStyle w:val="BodyText"/>
        <w:spacing w:line="480" w:lineRule="auto"/>
        <w:ind w:firstLine="720"/>
      </w:pPr>
      <w:bookmarkStart w:id="169" w:name="ref-25"/>
      <w:bookmarkEnd w:id="169"/>
      <w:r>
        <w:t xml:space="preserve">25. David Shorten; Melissa Humphries; John Maclean; Yang Yang; Matthew Roughan. Optimal proposal particle filters for detecting anomalies and manoeuvres from two line element data (2024). doi:</w:t>
      </w:r>
      <w:r>
        <w:t xml:space="preserve"> </w:t>
      </w:r>
      <w:hyperlink r:id="rId150">
        <w:r>
          <w:rPr>
            <w:rStyle w:val="Hyperlink"/>
          </w:rPr>
          <w:t xml:space="preserve">10.1016/j.actaastro.2024.11.033</w:t>
        </w:r>
      </w:hyperlink>
    </w:p>
    <w:p>
      <w:pPr>
        <w:pStyle w:val="BodyText"/>
        <w:spacing w:line="480" w:lineRule="auto"/>
        <w:ind w:firstLine="720"/>
      </w:pPr>
      <w:bookmarkStart w:id="170" w:name="ref-26"/>
      <w:bookmarkEnd w:id="170"/>
      <w:r>
        <w:t xml:space="preserve">26. Trevor Lafleur. Charged aerodynamics: Ionospheric plasma drag on objects in low-Earth orbit (2023). doi:</w:t>
      </w:r>
      <w:r>
        <w:t xml:space="preserve"> </w:t>
      </w:r>
      <w:hyperlink r:id="rId171">
        <w:r>
          <w:rPr>
            <w:rStyle w:val="Hyperlink"/>
          </w:rPr>
          <w:t xml:space="preserve">10.1016/j.actaastro.2023.08.018</w:t>
        </w:r>
      </w:hyperlink>
    </w:p>
    <w:p>
      <w:pPr>
        <w:pStyle w:val="BodyText"/>
        <w:spacing w:line="480" w:lineRule="auto"/>
        <w:ind w:firstLine="720"/>
      </w:pPr>
      <w:bookmarkStart w:id="172" w:name="ref-27"/>
      <w:bookmarkEnd w:id="172"/>
      <w:r>
        <w:t xml:space="preserve">27. K. Anilkumar; Bulbul Mukherjee; Nicolas Bérend; Sanat K. Biswas; Luisa Buinhas; Nathaniel Dailey; B. H. Foing; Natalia Franco Rodriguez; Gabrielle Hedrick; Fatoumata Kebe; Yide Li; Aadu Ott; Alejandro Pastor; Zaid Rana; Javier Rodríguez; Marlon E. Sorge; Christian J. Unfried; Igone Urdampilleta. Moon to mars: Challenges and strategic frameworks for space traffic management in cislunar and cismartian environments (2025). doi:</w:t>
      </w:r>
      <w:r>
        <w:t xml:space="preserve"> </w:t>
      </w:r>
      <w:hyperlink r:id="rId173">
        <w:r>
          <w:rPr>
            <w:rStyle w:val="Hyperlink"/>
          </w:rPr>
          <w:t xml:space="preserve">10.1016/j.actaastro.2024.12.056</w:t>
        </w:r>
      </w:hyperlink>
    </w:p>
    <w:bookmarkEnd w:id="174"/>
    <w:bookmarkEnd w:id="175"/>
    <w:bookmarkStart w:id="192"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3" w:name="X8d9e505d4f36b834532141aaf7420e6747ea870"/>
    <w:p>
      <w:pPr>
        <w:pStyle w:val="Heading2"/>
        <w:spacing w:line="480" w:lineRule="auto"/>
      </w:pPr>
      <w:r>
        <w:t xml:space="preserve">A.1 Public SDA Sharing and Explicit Deterrence Framing in the Cited Corpus</w:t>
      </w:r>
    </w:p>
    <w:p>
      <w:pPr>
        <w:pStyle w:val="FirstParagraph"/>
        <w:spacing w:line="480" w:lineRule="auto"/>
      </w:pPr>
      <m:oMathPara>
        <m:oMathParaPr>
          <m:jc m:val="center"/>
        </m:oMathParaPr>
        <m:oMath>
          <m:r>
            <m:t>P</m:t>
          </m:r>
          <m:r>
            <m:t>r</m:t>
          </m:r>
          <m:r>
            <m:rPr>
              <m:sty m:val="p"/>
            </m:rPr>
            <m:t>(</m:t>
          </m:r>
          <m:r>
            <m:t>D</m:t>
          </m:r>
          <m:r>
            <m:t>e</m:t>
          </m:r>
          <m:r>
            <m:t>t</m:t>
          </m:r>
          <m:r>
            <m:t>e</m:t>
          </m:r>
          <m:r>
            <m:t>r</m:t>
          </m:r>
          <m:r>
            <m:t>r</m:t>
          </m:r>
          <m:r>
            <m:t>e</m:t>
          </m:r>
          <m:r>
            <m:t>n</m:t>
          </m:r>
          <m:r>
            <m:t>c</m:t>
          </m:r>
          <m:r>
            <m:t>e</m:t>
          </m:r>
          <m:r>
            <m:t>F</m:t>
          </m:r>
          <m:r>
            <m:t>r</m:t>
          </m:r>
          <m:r>
            <m:t>a</m:t>
          </m:r>
          <m:r>
            <m:t>m</m:t>
          </m:r>
          <m:sSub>
            <m:e>
              <m:r>
                <m:t>e</m:t>
              </m:r>
            </m:e>
            <m:sub>
              <m:r>
                <m:t>i</m:t>
              </m:r>
            </m:sub>
          </m:sSub>
          <m:r>
            <m:rPr>
              <m:sty m:val="p"/>
            </m:rPr>
            <m:t>=</m:t>
          </m:r>
          <m:r>
            <m:t>1</m:t>
          </m:r>
          <m:r>
            <m:rPr>
              <m:sty m:val="p"/>
            </m:rPr>
            <m:t>)</m:t>
          </m:r>
          <m:r>
            <m:rPr>
              <m:sty m:val="p"/>
            </m:rPr>
            <m:t>=</m:t>
          </m:r>
          <m:r>
            <m:t>l</m:t>
          </m:r>
          <m:r>
            <m:t>o</m:t>
          </m:r>
          <m:r>
            <m:t>g</m:t>
          </m:r>
          <m:r>
            <m:t>i</m:t>
          </m:r>
          <m:sSup>
            <m:e>
              <m:r>
                <m:t>t</m:t>
              </m:r>
            </m:e>
            <m:sup>
              <m:r>
                <m:rPr>
                  <m:sty m:val="p"/>
                </m:rPr>
                <m:t>−</m:t>
              </m:r>
              <m:r>
                <m:t>1</m:t>
              </m:r>
            </m:sup>
          </m:sSup>
          <m:r>
            <m:rPr>
              <m:sty m:val="p"/>
            </m:rPr>
            <m:t>(</m:t>
          </m:r>
          <m:r>
            <m:t>α</m:t>
          </m:r>
          <m:r>
            <m:rPr>
              <m:sty m:val="p"/>
            </m:rPr>
            <m:t>+</m:t>
          </m:r>
          <m:sSub>
            <m:e>
              <m:r>
                <m:t>β</m:t>
              </m:r>
            </m:e>
            <m:sub>
              <m:r>
                <m:t>1</m:t>
              </m:r>
            </m:sub>
          </m:sSub>
          <m:r>
            <m:t>S</m:t>
          </m:r>
          <m:r>
            <m:t>h</m:t>
          </m:r>
          <m:r>
            <m:t>a</m:t>
          </m:r>
          <m:r>
            <m:t>r</m:t>
          </m:r>
          <m:r>
            <m:t>i</m:t>
          </m:r>
          <m:r>
            <m:t>n</m:t>
          </m:r>
          <m:r>
            <m:t>g</m:t>
          </m:r>
          <m:r>
            <m:t>D</m:t>
          </m:r>
          <m:r>
            <m:t>e</m:t>
          </m:r>
          <m:r>
            <m:t>s</m:t>
          </m:r>
          <m:r>
            <m:t>i</m:t>
          </m:r>
          <m:r>
            <m:t>g</m:t>
          </m:r>
          <m:r>
            <m:t>n</m:t>
          </m:r>
          <m:r>
            <m:t>S</m:t>
          </m:r>
          <m:r>
            <m:t>c</m:t>
          </m:r>
          <m:r>
            <m:t>o</m:t>
          </m:r>
          <m:r>
            <m:t>r</m:t>
          </m:r>
          <m:sSub>
            <m:e>
              <m:r>
                <m:t>e</m:t>
              </m:r>
            </m:e>
            <m:sub>
              <m:r>
                <m:t>i</m:t>
              </m:r>
            </m:sub>
          </m:sSub>
          <m:r>
            <m:rPr>
              <m:sty m:val="p"/>
            </m:rPr>
            <m:t>)</m:t>
          </m:r>
        </m:oMath>
      </m:oMathPara>
    </w:p>
    <w:bookmarkStart w:id="176"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-1.575</w:t>
            </w:r>
          </w:p>
        </w:tc>
        <w:tc>
          <w:tcPr>
            <w:tcW w:w="0" w:type="auto"/>
          </w:tcPr>
          <w:p>
            <w:pPr>
              <w:spacing w:line="240" w:lineRule="auto" w:before="0" w:after="0"/>
              <w:pStyle w:val="Compact"/>
            </w:pPr>
            <w:r>
              <w:rPr>
                <w:sz w:val="20"/>
                <w:szCs w:val="20"/>
              </w:rPr>
              <w:t xml:space="preserve">1.2958</w:t>
            </w:r>
          </w:p>
        </w:tc>
        <w:tc>
          <w:tcPr>
            <w:tcW w:w="0" w:type="auto"/>
          </w:tcPr>
          <w:p>
            <w:pPr>
              <w:spacing w:line="240" w:lineRule="auto" w:before="0" w:after="0"/>
              <w:pStyle w:val="Compact"/>
            </w:pPr>
            <w:r>
              <w:rPr>
                <w:sz w:val="20"/>
                <w:szCs w:val="20"/>
              </w:rPr>
              <w:t xml:space="preserve">-1.2155</w:t>
            </w:r>
          </w:p>
        </w:tc>
        <w:tc>
          <w:tcPr>
            <w:tcW w:w="0" w:type="auto"/>
          </w:tcPr>
          <w:p>
            <w:pPr>
              <w:spacing w:line="240" w:lineRule="auto" w:before="0" w:after="0"/>
              <w:pStyle w:val="Compact"/>
            </w:pPr>
            <w:r>
              <w:rPr>
                <w:sz w:val="20"/>
                <w:szCs w:val="20"/>
              </w:rPr>
              <w:t xml:space="preserve">0.2242</w:t>
            </w:r>
          </w:p>
        </w:tc>
        <w:tc>
          <w:tcPr>
            <w:tcW w:w="0" w:type="auto"/>
          </w:tcPr>
          <w:p>
            <w:pPr>
              <w:spacing w:line="240" w:lineRule="auto" w:before="0" w:after="0"/>
              <w:pStyle w:val="Compact"/>
            </w:pPr>
            <w:r>
              <w:rPr>
                <w:sz w:val="20"/>
                <w:szCs w:val="20"/>
              </w:rPr>
              <w:t xml:space="preserve">[-4.1147, 0.9647]</w:t>
            </w:r>
          </w:p>
        </w:tc>
      </w:tr>
      <w:tr>
        <w:tc>
          <w:tcPr>
            <w:tcW w:w="0" w:type="auto"/>
          </w:tcPr>
          <w:p>
            <w:pPr>
              <w:spacing w:line="240" w:lineRule="auto" w:before="0" w:after="0"/>
              <w:pStyle w:val="Compact"/>
            </w:pPr>
            <w:r>
              <w:rPr>
                <w:sz w:val="20"/>
                <w:szCs w:val="20"/>
              </w:rPr>
              <w:t xml:space="preserve">public_sharing_design_score</w:t>
            </w:r>
          </w:p>
        </w:tc>
        <w:tc>
          <w:tcPr>
            <w:tcW w:w="0" w:type="auto"/>
          </w:tcPr>
          <w:p>
            <w:pPr>
              <w:spacing w:line="240" w:lineRule="auto" w:before="0" w:after="0"/>
              <w:pStyle w:val="Compact"/>
            </w:pPr>
            <w:r>
              <w:rPr>
                <w:sz w:val="20"/>
                <w:szCs w:val="20"/>
              </w:rPr>
              <w:t xml:space="preserve">0.3749</w:t>
            </w:r>
          </w:p>
        </w:tc>
        <w:tc>
          <w:tcPr>
            <w:tcW w:w="0" w:type="auto"/>
          </w:tcPr>
          <w:p>
            <w:pPr>
              <w:spacing w:line="240" w:lineRule="auto" w:before="0" w:after="0"/>
              <w:pStyle w:val="Compact"/>
            </w:pPr>
            <w:r>
              <w:rPr>
                <w:sz w:val="20"/>
                <w:szCs w:val="20"/>
              </w:rPr>
              <w:t xml:space="preserve">0.389</w:t>
            </w:r>
          </w:p>
        </w:tc>
        <w:tc>
          <w:tcPr>
            <w:tcW w:w="0" w:type="auto"/>
          </w:tcPr>
          <w:p>
            <w:pPr>
              <w:spacing w:line="240" w:lineRule="auto" w:before="0" w:after="0"/>
              <w:pStyle w:val="Compact"/>
            </w:pPr>
            <w:r>
              <w:rPr>
                <w:sz w:val="20"/>
                <w:szCs w:val="20"/>
              </w:rPr>
              <w:t xml:space="preserve">0.9638</w:t>
            </w:r>
          </w:p>
        </w:tc>
        <w:tc>
          <w:tcPr>
            <w:tcW w:w="0" w:type="auto"/>
          </w:tcPr>
          <w:p>
            <w:pPr>
              <w:spacing w:line="240" w:lineRule="auto" w:before="0" w:after="0"/>
              <w:pStyle w:val="Compact"/>
            </w:pPr>
            <w:r>
              <w:rPr>
                <w:sz w:val="20"/>
                <w:szCs w:val="20"/>
              </w:rPr>
              <w:t xml:space="preserve">0.3352</w:t>
            </w:r>
          </w:p>
        </w:tc>
        <w:tc>
          <w:tcPr>
            <w:tcW w:w="0" w:type="auto"/>
          </w:tcPr>
          <w:p>
            <w:pPr>
              <w:spacing w:line="240" w:lineRule="auto" w:before="0" w:after="0"/>
              <w:pStyle w:val="Compact"/>
            </w:pPr>
            <w:r>
              <w:rPr>
                <w:sz w:val="20"/>
                <w:szCs w:val="20"/>
              </w:rPr>
              <w:t xml:space="preserve">[-0.3875, 1.1373]</w:t>
            </w:r>
          </w:p>
        </w:tc>
      </w:tr>
    </w:tbl>
    <w:p>
      <w:pPr>
        <w:pStyle w:val="BodyText"/>
        <w:spacing w:line="480" w:lineRule="auto"/>
        <w:ind w:firstLine="720"/>
      </w:pPr>
      <w:r>
        <w:t xml:space="preserve">Fit: N = 11 pseudo_R2 = 0.0709 LL = -6.6992</w:t>
      </w:r>
    </w:p>
    <w:bookmarkEnd w:id="176"/>
    <w:bookmarkStart w:id="180"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Deterrence framing by coded public SDA-sharing design score." title="" id="178" name="Picture"/>
            <a:graphic>
              <a:graphicData uri="http://schemas.openxmlformats.org/drawingml/2006/picture">
                <pic:pic>
                  <pic:nvPicPr>
                    <pic:cNvPr descr="D:/Claude_Code/brain/collegium/candidates/dissertations/SECURITY_DETERRENCE_11/research_papers/p1/paper_fig1.png" id="179" name="Picture"/>
                    <pic:cNvPicPr>
                      <a:picLocks noChangeArrowheads="1" noChangeAspect="1"/>
                    </pic:cNvPicPr>
                  </pic:nvPicPr>
                  <pic:blipFill>
                    <a:blip r:embed="rId1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Deterrence framing by coded public SDA-sharing design score.</w:t>
      </w:r>
    </w:p>
    <w:bookmarkEnd w:id="180"/>
    <w:bookmarkStart w:id="181"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source_short</w:t>
            </w:r>
          </w:p>
        </w:tc>
        <w:tc>
          <w:tcPr>
            <w:tcW w:w="0" w:type="auto"/>
          </w:tcPr>
          <w:p>
            <w:pPr>
              <w:spacing w:line="240" w:lineRule="auto" w:before="0" w:after="0"/>
              <w:pStyle w:val="Compact"/>
            </w:pPr>
            <w:r>
              <w:rPr>
                <w:sz w:val="20"/>
                <w:szCs w:val="20"/>
              </w:rPr>
              <w:t xml:space="preserve">publication_year</w:t>
            </w:r>
          </w:p>
        </w:tc>
        <w:tc>
          <w:tcPr>
            <w:tcW w:w="0" w:type="auto"/>
          </w:tcPr>
          <w:p>
            <w:pPr>
              <w:spacing w:line="240" w:lineRule="auto" w:before="0" w:after="0"/>
              <w:pStyle w:val="Compact"/>
            </w:pPr>
            <w:r>
              <w:rPr>
                <w:sz w:val="20"/>
                <w:szCs w:val="20"/>
              </w:rPr>
              <w:t xml:space="preserve">publication_order</w:t>
            </w:r>
          </w:p>
        </w:tc>
        <w:tc>
          <w:tcPr>
            <w:tcW w:w="0" w:type="auto"/>
          </w:tcPr>
          <w:p>
            <w:pPr>
              <w:spacing w:line="240" w:lineRule="auto" w:before="0" w:after="0"/>
              <w:pStyle w:val="Compact"/>
            </w:pPr>
            <w:r>
              <w:rPr>
                <w:sz w:val="20"/>
                <w:szCs w:val="20"/>
              </w:rPr>
              <w:t xml:space="preserve">deterrence_frame</w:t>
            </w:r>
          </w:p>
        </w:tc>
        <w:tc>
          <w:tcPr>
            <w:tcW w:w="0" w:type="auto"/>
          </w:tcPr>
          <w:p>
            <w:pPr>
              <w:spacing w:line="240" w:lineRule="auto" w:before="0" w:after="0"/>
              <w:pStyle w:val="Compact"/>
            </w:pPr>
            <w:r>
              <w:rPr>
                <w:sz w:val="20"/>
                <w:szCs w:val="20"/>
              </w:rPr>
              <w:t xml:space="preserve">public_sharing_design_score</w:t>
            </w:r>
          </w:p>
        </w:tc>
        <w:tc>
          <w:tcPr>
            <w:tcW w:w="0" w:type="auto"/>
          </w:tcPr>
          <w:p>
            <w:pPr>
              <w:spacing w:line="240" w:lineRule="auto" w:before="0" w:after="0"/>
              <w:pStyle w:val="Compact"/>
            </w:pPr>
            <w:r>
              <w:rPr>
                <w:sz w:val="20"/>
                <w:szCs w:val="20"/>
              </w:rPr>
              <w:t xml:space="preserve">technical_measurement_score</w:t>
            </w:r>
          </w:p>
        </w:tc>
        <w:tc>
          <w:tcPr>
            <w:tcW w:w="0" w:type="auto"/>
          </w:tcPr>
          <w:p>
            <w:pPr>
              <w:spacing w:line="240" w:lineRule="auto" w:before="0" w:after="0"/>
              <w:pStyle w:val="Compact"/>
            </w:pPr>
            <w:r>
              <w:rPr>
                <w:sz w:val="20"/>
                <w:szCs w:val="20"/>
              </w:rPr>
              <w:t xml:space="preserve">institutional_partner_score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Project UNITY</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Moore and Havig 2015, AMOS</w:t>
            </w:r>
          </w:p>
        </w:tc>
      </w:tr>
      <w:tr>
        <w:tc>
          <w:tcPr>
            <w:tcW w:w="0" w:type="auto"/>
          </w:tcPr>
          <w:p>
            <w:pPr>
              <w:spacing w:line="240" w:lineRule="auto" w:before="0" w:after="0"/>
              <w:pStyle w:val="Compact"/>
            </w:pPr>
            <w:r>
              <w:rPr>
                <w:sz w:val="20"/>
                <w:szCs w:val="20"/>
              </w:rPr>
              <w:t xml:space="preserve">AI autonomy deterrence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Hayden et al. 2020, AMOS</w:t>
            </w:r>
          </w:p>
        </w:tc>
      </w:tr>
      <w:tr>
        <w:tc>
          <w:tcPr>
            <w:tcW w:w="0" w:type="auto"/>
          </w:tcPr>
          <w:p>
            <w:pPr>
              <w:spacing w:line="240" w:lineRule="auto" w:before="0" w:after="0"/>
              <w:pStyle w:val="Compact"/>
            </w:pPr>
            <w:r>
              <w:rPr>
                <w:sz w:val="20"/>
                <w:szCs w:val="20"/>
              </w:rPr>
              <w:t xml:space="preserve">Australia burden sharing</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Davis 2020, AMOS</w:t>
            </w:r>
          </w:p>
        </w:tc>
      </w:tr>
      <w:tr>
        <w:tc>
          <w:tcPr>
            <w:tcW w:w="0" w:type="auto"/>
          </w:tcPr>
          <w:p>
            <w:pPr>
              <w:spacing w:line="240" w:lineRule="auto" w:before="0" w:after="0"/>
              <w:pStyle w:val="Compact"/>
            </w:pPr>
            <w:r>
              <w:rPr>
                <w:sz w:val="20"/>
                <w:szCs w:val="20"/>
              </w:rPr>
              <w:t xml:space="preserve">Global SSA trends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Young 2021, AMOS</w:t>
            </w:r>
          </w:p>
        </w:tc>
      </w:tr>
      <w:tr>
        <w:tc>
          <w:tcPr>
            <w:tcW w:w="0" w:type="auto"/>
          </w:tcPr>
          <w:p>
            <w:pPr>
              <w:spacing w:line="240" w:lineRule="auto" w:before="0" w:after="0"/>
              <w:pStyle w:val="Compact"/>
            </w:pPr>
            <w:r>
              <w:rPr>
                <w:sz w:val="20"/>
                <w:szCs w:val="20"/>
              </w:rPr>
              <w:t xml:space="preserve">Partnering not Bossing</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Hale et al. 2022, AMOS</w:t>
            </w:r>
          </w:p>
        </w:tc>
      </w:tr>
      <w:tr>
        <w:tc>
          <w:tcPr>
            <w:tcW w:w="0" w:type="auto"/>
          </w:tcPr>
          <w:p>
            <w:pPr>
              <w:spacing w:line="240" w:lineRule="auto" w:before="0" w:after="0"/>
              <w:pStyle w:val="Compact"/>
            </w:pPr>
            <w:r>
              <w:rPr>
                <w:sz w:val="20"/>
                <w:szCs w:val="20"/>
              </w:rPr>
              <w:t xml:space="preserve">AUKUS GSDA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Dailey et al. 2023, AMOS</w:t>
            </w:r>
          </w:p>
        </w:tc>
      </w:tr>
      <w:tr>
        <w:tc>
          <w:tcPr>
            <w:tcW w:w="0" w:type="auto"/>
          </w:tcPr>
          <w:p>
            <w:pPr>
              <w:spacing w:line="240" w:lineRule="auto" w:before="0" w:after="0"/>
              <w:pStyle w:val="Compact"/>
            </w:pPr>
            <w:r>
              <w:rPr>
                <w:sz w:val="20"/>
                <w:szCs w:val="20"/>
              </w:rPr>
              <w:t xml:space="preserve">QZSS hosted payload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McCollum et al. 2025, AMOS</w:t>
            </w:r>
          </w:p>
        </w:tc>
      </w:tr>
      <w:tr>
        <w:tc>
          <w:tcPr>
            <w:tcW w:w="0" w:type="auto"/>
          </w:tcPr>
          <w:p>
            <w:pPr>
              <w:spacing w:line="240" w:lineRule="auto" w:before="0" w:after="0"/>
              <w:pStyle w:val="Compact"/>
            </w:pPr>
            <w:r>
              <w:rPr>
                <w:sz w:val="20"/>
                <w:szCs w:val="20"/>
              </w:rPr>
              <w:t xml:space="preserve">Chronopoulos narratives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Chronopoulos 2025, Acta Astronautica</w:t>
            </w:r>
          </w:p>
        </w:tc>
      </w:tr>
      <w:tr>
        <w:tc>
          <w:tcPr>
            <w:tcW w:w="0" w:type="auto"/>
          </w:tcPr>
          <w:p>
            <w:pPr>
              <w:spacing w:line="240" w:lineRule="auto" w:before="0" w:after="0"/>
              <w:pStyle w:val="Compact"/>
            </w:pPr>
            <w:r>
              <w:rPr>
                <w:sz w:val="20"/>
                <w:szCs w:val="20"/>
              </w:rPr>
              <w:t xml:space="preserve">Cyber operations governance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Poirier 2025, Acta Astronautica</w:t>
            </w:r>
          </w:p>
        </w:tc>
      </w:tr>
      <w:tr>
        <w:tc>
          <w:tcPr>
            <w:tcW w:w="0" w:type="auto"/>
          </w:tcPr>
          <w:p>
            <w:pPr>
              <w:spacing w:line="240" w:lineRule="auto" w:before="0" w:after="0"/>
              <w:pStyle w:val="Compact"/>
            </w:pPr>
            <w:r>
              <w:rPr>
                <w:sz w:val="20"/>
                <w:szCs w:val="20"/>
              </w:rPr>
              <w:t xml:space="preserve">Orbital precision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Dolado-Perez et al. 2025, Acta Astronautica</w:t>
            </w:r>
          </w:p>
        </w:tc>
      </w:tr>
      <w:tr>
        <w:tc>
          <w:tcPr>
            <w:tcW w:w="0" w:type="auto"/>
          </w:tcPr>
          <w:p>
            <w:pPr>
              <w:spacing w:line="240" w:lineRule="auto" w:before="0" w:after="0"/>
              <w:pStyle w:val="Compact"/>
            </w:pPr>
            <w:r>
              <w:rPr>
                <w:sz w:val="20"/>
                <w:szCs w:val="20"/>
              </w:rPr>
              <w:t xml:space="preserve">TLE anomaly filters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Shorten et al. 2024, Acta Astronautica</w:t>
            </w:r>
          </w:p>
        </w:tc>
      </w:tr>
    </w:tbl>
    <w:bookmarkEnd w:id="181"/>
    <w:bookmarkStart w:id="182"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deterrence_frame</w:t>
            </w:r>
          </w:p>
        </w:tc>
        <w:tc>
          <w:tcPr>
            <w:tcW w:w="0" w:type="auto"/>
          </w:tcPr>
          <w:p>
            <w:pPr>
              <w:spacing w:line="240" w:lineRule="auto" w:before="0" w:after="0"/>
              <w:pStyle w:val="Compact"/>
            </w:pPr>
            <w:r>
              <w:rPr>
                <w:sz w:val="20"/>
                <w:szCs w:val="20"/>
              </w:rPr>
              <w:t xml:space="preserve">Binary indicator equal to one when the source explicitly frames deterrence, escalation control, integrated deterrence, or peacetime deterrence.</w:t>
            </w:r>
          </w:p>
        </w:tc>
        <w:tc>
          <w:tcPr>
            <w:tcW w:w="0" w:type="auto"/>
          </w:tcPr>
          <w:p>
            <w:pPr>
              <w:spacing w:line="240" w:lineRule="auto" w:before="0" w:after="0"/>
              <w:pStyle w:val="Compact"/>
            </w:pPr>
            <w:r>
              <w:rPr>
                <w:sz w:val="20"/>
                <w:szCs w:val="20"/>
              </w:rPr>
              <w:t xml:space="preserve">Manual source coding from cited abstract or full text.</w:t>
            </w:r>
          </w:p>
        </w:tc>
      </w:tr>
      <w:tr>
        <w:tc>
          <w:tcPr>
            <w:tcW w:w="0" w:type="auto"/>
          </w:tcPr>
          <w:p>
            <w:pPr>
              <w:spacing w:line="240" w:lineRule="auto" w:before="0" w:after="0"/>
              <w:pStyle w:val="Compact"/>
            </w:pPr>
            <w:r>
              <w:rPr>
                <w:sz w:val="20"/>
                <w:szCs w:val="20"/>
              </w:rPr>
              <w:t xml:space="preserve">public_sharing_design_score</w:t>
            </w:r>
          </w:p>
        </w:tc>
        <w:tc>
          <w:tcPr>
            <w:tcW w:w="0" w:type="auto"/>
          </w:tcPr>
          <w:p>
            <w:pPr>
              <w:spacing w:line="240" w:lineRule="auto" w:before="0" w:after="0"/>
              <w:pStyle w:val="Compact"/>
            </w:pPr>
            <w:r>
              <w:rPr>
                <w:sz w:val="20"/>
                <w:szCs w:val="20"/>
              </w:rPr>
              <w:t xml:space="preserve">Count from zero to five of public-sharing design elements: named partners, data-sharing mechanism, operational collaboration, public coverage signal, and alliance or coalition architecture.</w:t>
            </w:r>
          </w:p>
        </w:tc>
        <w:tc>
          <w:tcPr>
            <w:tcW w:w="0" w:type="auto"/>
          </w:tcPr>
          <w:p>
            <w:pPr>
              <w:spacing w:line="240" w:lineRule="auto" w:before="0" w:after="0"/>
              <w:pStyle w:val="Compact"/>
            </w:pPr>
            <w:r>
              <w:rPr>
                <w:sz w:val="20"/>
                <w:szCs w:val="20"/>
              </w:rPr>
              <w:t xml:space="preserve">Manual source coding from cited abstract or full text.</w:t>
            </w:r>
          </w:p>
        </w:tc>
      </w:tr>
      <w:tr>
        <w:tc>
          <w:tcPr>
            <w:tcW w:w="0" w:type="auto"/>
          </w:tcPr>
          <w:p>
            <w:pPr>
              <w:spacing w:line="240" w:lineRule="auto" w:before="0" w:after="0"/>
              <w:pStyle w:val="Compact"/>
            </w:pPr>
            <w:r>
              <w:rPr>
                <w:sz w:val="20"/>
                <w:szCs w:val="20"/>
              </w:rPr>
              <w:t xml:space="preserve">technical_measurement_score</w:t>
            </w:r>
          </w:p>
        </w:tc>
        <w:tc>
          <w:tcPr>
            <w:tcW w:w="0" w:type="auto"/>
          </w:tcPr>
          <w:p>
            <w:pPr>
              <w:spacing w:line="240" w:lineRule="auto" w:before="0" w:after="0"/>
              <w:pStyle w:val="Compact"/>
            </w:pPr>
            <w:r>
              <w:rPr>
                <w:sz w:val="20"/>
                <w:szCs w:val="20"/>
              </w:rPr>
              <w:t xml:space="preserve">Count from zero to five of technical-measurement elements: sensors, orbital data, visualization, cataloging, uncertainty or anomaly detection.</w:t>
            </w:r>
          </w:p>
        </w:tc>
        <w:tc>
          <w:tcPr>
            <w:tcW w:w="0" w:type="auto"/>
          </w:tcPr>
          <w:p>
            <w:pPr>
              <w:spacing w:line="240" w:lineRule="auto" w:before="0" w:after="0"/>
              <w:pStyle w:val="Compact"/>
            </w:pPr>
            <w:r>
              <w:rPr>
                <w:sz w:val="20"/>
                <w:szCs w:val="20"/>
              </w:rPr>
              <w:t xml:space="preserve">Manual source coding from cited abstract or full text.</w:t>
            </w:r>
          </w:p>
        </w:tc>
      </w:tr>
      <w:tr>
        <w:tc>
          <w:tcPr>
            <w:tcW w:w="0" w:type="auto"/>
          </w:tcPr>
          <w:p>
            <w:pPr>
              <w:spacing w:line="240" w:lineRule="auto" w:before="0" w:after="0"/>
              <w:pStyle w:val="Compact"/>
            </w:pPr>
            <w:r>
              <w:rPr>
                <w:sz w:val="20"/>
                <w:szCs w:val="20"/>
              </w:rPr>
              <w:t xml:space="preserve">institutional_partner_score</w:t>
            </w:r>
          </w:p>
        </w:tc>
        <w:tc>
          <w:tcPr>
            <w:tcW w:w="0" w:type="auto"/>
          </w:tcPr>
          <w:p>
            <w:pPr>
              <w:spacing w:line="240" w:lineRule="auto" w:before="0" w:after="0"/>
              <w:pStyle w:val="Compact"/>
            </w:pPr>
            <w:r>
              <w:rPr>
                <w:sz w:val="20"/>
                <w:szCs w:val="20"/>
              </w:rPr>
              <w:t xml:space="preserve">Count from zero to four of institutional-partner elements: formal partner, alliance, hosted payload, cooperative agreement.</w:t>
            </w:r>
          </w:p>
        </w:tc>
        <w:tc>
          <w:tcPr>
            <w:tcW w:w="0" w:type="auto"/>
          </w:tcPr>
          <w:p>
            <w:pPr>
              <w:spacing w:line="240" w:lineRule="auto" w:before="0" w:after="0"/>
              <w:pStyle w:val="Compact"/>
            </w:pPr>
            <w:r>
              <w:rPr>
                <w:sz w:val="20"/>
                <w:szCs w:val="20"/>
              </w:rPr>
              <w:t xml:space="preserve">Manual source coding from cited abstract or full text.</w:t>
            </w:r>
          </w:p>
        </w:tc>
      </w:tr>
      <w:tr>
        <w:tc>
          <w:tcPr>
            <w:tcW w:w="0" w:type="auto"/>
          </w:tcPr>
          <w:p>
            <w:pPr>
              <w:spacing w:line="240" w:lineRule="auto" w:before="0" w:after="0"/>
              <w:pStyle w:val="Compact"/>
            </w:pPr>
            <w:r>
              <w:rPr>
                <w:sz w:val="20"/>
                <w:szCs w:val="20"/>
              </w:rPr>
              <w:t xml:space="preserve">publication_order</w:t>
            </w:r>
          </w:p>
        </w:tc>
        <w:tc>
          <w:tcPr>
            <w:tcW w:w="0" w:type="auto"/>
          </w:tcPr>
          <w:p>
            <w:pPr>
              <w:spacing w:line="240" w:lineRule="auto" w:before="0" w:after="0"/>
              <w:pStyle w:val="Compact"/>
            </w:pPr>
            <w:r>
              <w:rPr>
                <w:sz w:val="20"/>
                <w:szCs w:val="20"/>
              </w:rPr>
              <w:t xml:space="preserve">Ordinal source order after sorting by publication year and dissertation source sequence.</w:t>
            </w:r>
          </w:p>
        </w:tc>
        <w:tc>
          <w:tcPr>
            <w:tcW w:w="0" w:type="auto"/>
          </w:tcPr>
          <w:p>
            <w:pPr>
              <w:spacing w:line="240" w:lineRule="auto" w:before="0" w:after="0"/>
              <w:pStyle w:val="Compact"/>
            </w:pPr>
            <w:r>
              <w:rPr>
                <w:sz w:val="20"/>
                <w:szCs w:val="20"/>
              </w:rPr>
              <w:t xml:space="preserve">Constructed from source metadata.</w:t>
            </w:r>
          </w:p>
        </w:tc>
      </w:tr>
    </w:tbl>
    <w:bookmarkEnd w:id="182"/>
    <w:bookmarkEnd w:id="183"/>
    <w:bookmarkStart w:id="191" w:name="X40a96e5d2673e91063283d5efd0a3e7e12e6b8e"/>
    <w:p>
      <w:pPr>
        <w:pStyle w:val="Heading2"/>
        <w:spacing w:line="480" w:lineRule="auto"/>
      </w:pPr>
      <w:r>
        <w:t xml:space="preserve">A.2 Component-Dependent Maneuver Magnitudes in TLE Anomaly-Detection Test Data</w:t>
      </w:r>
    </w:p>
    <w:p>
      <w:pPr>
        <w:pStyle w:val="FirstParagraph"/>
        <w:spacing w:line="480" w:lineRule="auto"/>
      </w:pPr>
      <m:oMathPara>
        <m:oMathParaPr>
          <m:jc m:val="center"/>
        </m:oMathParaPr>
        <m:oMath>
          <m:sSub>
            <m:e>
              <m:r>
                <m:rPr>
                  <m:sty m:val="p"/>
                </m:rPr>
                <m:t>log</m:t>
              </m:r>
            </m:e>
            <m:sub>
              <m:r>
                <m:t>10</m:t>
              </m:r>
            </m:sub>
          </m:sSub>
          <m:r>
            <m:rPr>
              <m:sty m:val="p"/>
            </m:rPr>
            <m:t>(</m:t>
          </m:r>
          <m:r>
            <m:rPr>
              <m:sty m:val="p"/>
            </m:rPr>
            <m:t>Δ</m:t>
          </m:r>
          <m:sSub>
            <m:e>
              <m:r>
                <m:t>v</m:t>
              </m:r>
            </m:e>
            <m:sub>
              <m:r>
                <m:t>i</m:t>
              </m:r>
            </m:sub>
          </m:sSub>
          <m:r>
            <m:rPr>
              <m:sty m:val="p"/>
            </m:rPr>
            <m:t>)</m:t>
          </m:r>
          <m:r>
            <m:rPr>
              <m:sty m:val="p"/>
            </m:rPr>
            <m:t>=</m:t>
          </m:r>
          <m:r>
            <m:t>α</m:t>
          </m:r>
          <m:r>
            <m:rPr>
              <m:sty m:val="p"/>
            </m:rPr>
            <m:t>+</m:t>
          </m:r>
          <m:sSub>
            <m:e>
              <m:r>
                <m:t>β</m:t>
              </m:r>
            </m:e>
            <m:sub>
              <m:r>
                <m:t>1</m:t>
              </m:r>
            </m:sub>
          </m:sSub>
          <m:r>
            <m:t>C</m:t>
          </m:r>
          <m:r>
            <m:t>r</m:t>
          </m:r>
          <m:r>
            <m:t>o</m:t>
          </m:r>
          <m:r>
            <m:t>s</m:t>
          </m:r>
          <m:r>
            <m:t>s</m:t>
          </m:r>
          <m:r>
            <m:t>T</m:t>
          </m:r>
          <m:r>
            <m:t>r</m:t>
          </m:r>
          <m:r>
            <m:t>a</m:t>
          </m:r>
          <m:r>
            <m:t>c</m:t>
          </m:r>
          <m:sSub>
            <m:e>
              <m:r>
                <m:t>k</m:t>
              </m:r>
            </m:e>
            <m:sub>
              <m:r>
                <m:t>i</m:t>
              </m:r>
            </m:sub>
          </m:sSub>
          <m:r>
            <m:rPr>
              <m:sty m:val="p"/>
            </m:rPr>
            <m:t>+</m:t>
          </m:r>
          <m:sSub>
            <m:e>
              <m:r>
                <m:t>β</m:t>
              </m:r>
            </m:e>
            <m:sub>
              <m:r>
                <m:t>2</m:t>
              </m:r>
            </m:sub>
          </m:sSub>
          <m:r>
            <m:t>I</m:t>
          </m:r>
          <m:r>
            <m:t>n</m:t>
          </m:r>
          <m:r>
            <m:t>T</m:t>
          </m:r>
          <m:r>
            <m:t>r</m:t>
          </m:r>
          <m:r>
            <m:t>a</m:t>
          </m:r>
          <m:r>
            <m:t>c</m:t>
          </m:r>
          <m:sSub>
            <m:e>
              <m:r>
                <m:t>k</m:t>
              </m:r>
            </m:e>
            <m:sub>
              <m:r>
                <m:t>i</m:t>
              </m:r>
            </m:sub>
          </m:sSub>
          <m:r>
            <m:rPr>
              <m:sty m:val="p"/>
            </m:rPr>
            <m:t>+</m:t>
          </m:r>
          <m:sSub>
            <m:e>
              <m:r>
                <m:t>ε</m:t>
              </m:r>
            </m:e>
            <m:sub>
              <m:r>
                <m:t>i</m:t>
              </m:r>
            </m:sub>
          </m:sSub>
        </m:oMath>
      </m:oMathPara>
    </w:p>
    <w:bookmarkStart w:id="184"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2.56e-12</w:t>
            </w:r>
          </w:p>
        </w:tc>
        <w:tc>
          <w:tcPr>
            <w:tcW w:w="0" w:type="auto"/>
          </w:tcPr>
          <w:p>
            <w:pPr>
              <w:spacing w:line="240" w:lineRule="auto" w:before="0" w:after="0"/>
              <w:pStyle w:val="Compact"/>
            </w:pPr>
            <w:r>
              <w:rPr>
                <w:sz w:val="20"/>
                <w:szCs w:val="20"/>
              </w:rPr>
              <w:t xml:space="preserve">[-2.24, -1.26]</w:t>
            </w:r>
          </w:p>
        </w:tc>
      </w:tr>
      <w:tr>
        <w:tc>
          <w:tcPr>
            <w:tcW w:w="0" w:type="auto"/>
          </w:tcPr>
          <w:p>
            <w:pPr>
              <w:spacing w:line="240" w:lineRule="auto" w:before="0" w:after="0"/>
              <w:pStyle w:val="Compact"/>
            </w:pPr>
            <w:r>
              <w:rPr>
                <w:sz w:val="20"/>
                <w:szCs w:val="20"/>
              </w:rPr>
              <w:t xml:space="preserve">cross_track_component</w:t>
            </w:r>
          </w:p>
        </w:tc>
        <w:tc>
          <w:tcPr>
            <w:tcW w:w="0" w:type="auto"/>
          </w:tcPr>
          <w:p>
            <w:pPr>
              <w:spacing w:line="240" w:lineRule="auto" w:before="0" w:after="0"/>
              <w:pStyle w:val="Compact"/>
            </w:pPr>
            <w:r>
              <w:rPr>
                <w:sz w:val="20"/>
                <w:szCs w:val="20"/>
              </w:rPr>
              <w:t xml:space="preserve">0.3253</w:t>
            </w:r>
          </w:p>
        </w:tc>
        <w:tc>
          <w:tcPr>
            <w:tcW w:w="0" w:type="auto"/>
          </w:tcPr>
          <w:p>
            <w:pPr>
              <w:spacing w:line="240" w:lineRule="auto" w:before="0" w:after="0"/>
              <w:pStyle w:val="Compact"/>
            </w:pPr>
            <w:r>
              <w:rPr>
                <w:sz w:val="20"/>
                <w:szCs w:val="20"/>
              </w:rPr>
              <w:t xml:space="preserve">0.3762</w:t>
            </w:r>
          </w:p>
        </w:tc>
        <w:tc>
          <w:tcPr>
            <w:tcW w:w="0" w:type="auto"/>
          </w:tcPr>
          <w:p>
            <w:pPr>
              <w:spacing w:line="240" w:lineRule="auto" w:before="0" w:after="0"/>
              <w:pStyle w:val="Compact"/>
            </w:pPr>
            <w:r>
              <w:rPr>
                <w:sz w:val="20"/>
                <w:szCs w:val="20"/>
              </w:rPr>
              <w:t xml:space="preserve">0.8646</w:t>
            </w:r>
          </w:p>
        </w:tc>
        <w:tc>
          <w:tcPr>
            <w:tcW w:w="0" w:type="auto"/>
          </w:tcPr>
          <w:p>
            <w:pPr>
              <w:spacing w:line="240" w:lineRule="auto" w:before="0" w:after="0"/>
              <w:pStyle w:val="Compact"/>
            </w:pPr>
            <w:r>
              <w:rPr>
                <w:sz w:val="20"/>
                <w:szCs w:val="20"/>
              </w:rPr>
              <w:t xml:space="preserve">0.3872</w:t>
            </w:r>
          </w:p>
        </w:tc>
        <w:tc>
          <w:tcPr>
            <w:tcW w:w="0" w:type="auto"/>
          </w:tcPr>
          <w:p>
            <w:pPr>
              <w:spacing w:line="240" w:lineRule="auto" w:before="0" w:after="0"/>
              <w:pStyle w:val="Compact"/>
            </w:pPr>
            <w:r>
              <w:rPr>
                <w:sz w:val="20"/>
                <w:szCs w:val="20"/>
              </w:rPr>
              <w:t xml:space="preserve">[-0.412, 1.0626]</w:t>
            </w:r>
          </w:p>
        </w:tc>
      </w:tr>
      <w:tr>
        <w:tc>
          <w:tcPr>
            <w:tcW w:w="0" w:type="auto"/>
          </w:tcPr>
          <w:p>
            <w:pPr>
              <w:spacing w:line="240" w:lineRule="auto" w:before="0" w:after="0"/>
              <w:pStyle w:val="Compact"/>
            </w:pPr>
            <w:r>
              <w:rPr>
                <w:sz w:val="20"/>
                <w:szCs w:val="20"/>
              </w:rPr>
              <w:t xml:space="preserve">in_track_component</w:t>
            </w:r>
          </w:p>
        </w:tc>
        <w:tc>
          <w:tcPr>
            <w:tcW w:w="0" w:type="auto"/>
          </w:tcPr>
          <w:p>
            <w:pPr>
              <w:spacing w:line="240" w:lineRule="auto" w:before="0" w:after="0"/>
              <w:pStyle w:val="Compact"/>
            </w:pPr>
            <w:r>
              <w:rPr>
                <w:sz w:val="20"/>
                <w:szCs w:val="20"/>
              </w:rPr>
              <w:t xml:space="preserve">-0.9802</w:t>
            </w:r>
          </w:p>
        </w:tc>
        <w:tc>
          <w:tcPr>
            <w:tcW w:w="0" w:type="auto"/>
          </w:tcPr>
          <w:p>
            <w:pPr>
              <w:spacing w:line="240" w:lineRule="auto" w:before="0" w:after="0"/>
              <w:pStyle w:val="Compact"/>
            </w:pPr>
            <w:r>
              <w:rPr>
                <w:sz w:val="20"/>
                <w:szCs w:val="20"/>
              </w:rPr>
              <w:t xml:space="preserve">0.4889</w:t>
            </w:r>
          </w:p>
        </w:tc>
        <w:tc>
          <w:tcPr>
            <w:tcW w:w="0" w:type="auto"/>
          </w:tcPr>
          <w:p>
            <w:pPr>
              <w:spacing w:line="240" w:lineRule="auto" w:before="0" w:after="0"/>
              <w:pStyle w:val="Compact"/>
            </w:pPr>
            <w:r>
              <w:rPr>
                <w:sz w:val="20"/>
                <w:szCs w:val="20"/>
              </w:rPr>
              <w:t xml:space="preserve">-2.0051</w:t>
            </w:r>
          </w:p>
        </w:tc>
        <w:tc>
          <w:tcPr>
            <w:tcW w:w="0" w:type="auto"/>
          </w:tcPr>
          <w:p>
            <w:pPr>
              <w:spacing w:line="240" w:lineRule="auto" w:before="0" w:after="0"/>
              <w:pStyle w:val="Compact"/>
            </w:pPr>
            <w:r>
              <w:rPr>
                <w:sz w:val="20"/>
                <w:szCs w:val="20"/>
              </w:rPr>
              <w:t xml:space="preserve">0.045</w:t>
            </w:r>
          </w:p>
        </w:tc>
        <w:tc>
          <w:tcPr>
            <w:tcW w:w="0" w:type="auto"/>
          </w:tcPr>
          <w:p>
            <w:pPr>
              <w:spacing w:line="240" w:lineRule="auto" w:before="0" w:after="0"/>
              <w:pStyle w:val="Compact"/>
            </w:pPr>
            <w:r>
              <w:rPr>
                <w:sz w:val="20"/>
                <w:szCs w:val="20"/>
              </w:rPr>
              <w:t xml:space="preserve">[-1.9383, -0.0221]</w:t>
            </w:r>
          </w:p>
        </w:tc>
      </w:tr>
    </w:tbl>
    <w:p>
      <w:pPr>
        <w:pStyle w:val="BodyText"/>
        <w:spacing w:line="480" w:lineRule="auto"/>
        <w:ind w:firstLine="720"/>
      </w:pPr>
      <w:r>
        <w:t xml:space="preserve">Fit: N = 12 R2 = 0.4919 R2_adj = 0.379 F = 3.3615 F_p = 0.0812</w:t>
      </w:r>
    </w:p>
    <w:bookmarkEnd w:id="184"/>
    <w:bookmarkStart w:id="188"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Log10 maneuver magnitude by in-track component indicator in Shorten et al. Table 3." title="" id="186" name="Picture"/>
            <a:graphic>
              <a:graphicData uri="http://schemas.openxmlformats.org/drawingml/2006/picture">
                <pic:pic>
                  <pic:nvPicPr>
                    <pic:cNvPr descr="D:/Claude_Code/brain/collegium/candidates/dissertations/SECURITY_DETERRENCE_11/research_papers/p2/paper_fig1.png" id="187" name="Picture"/>
                    <pic:cNvPicPr>
                      <a:picLocks noChangeArrowheads="1" noChangeAspect="1"/>
                    </pic:cNvPicPr>
                  </pic:nvPicPr>
                  <pic:blipFill>
                    <a:blip r:embed="rId18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Log10 maneuver magnitude by in-track component indicator in Shorten et al. Table 3.</w:t>
      </w:r>
    </w:p>
    <w:bookmarkEnd w:id="188"/>
    <w:bookmarkStart w:id="189"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satellite</w:t>
            </w:r>
          </w:p>
        </w:tc>
        <w:tc>
          <w:tcPr>
            <w:tcW w:w="0" w:type="auto"/>
          </w:tcPr>
          <w:p>
            <w:pPr>
              <w:spacing w:line="240" w:lineRule="auto" w:before="0" w:after="0"/>
              <w:pStyle w:val="Compact"/>
            </w:pPr>
            <w:r>
              <w:rPr>
                <w:sz w:val="20"/>
                <w:szCs w:val="20"/>
              </w:rPr>
              <w:t xml:space="preserve">component</w:t>
            </w:r>
          </w:p>
        </w:tc>
        <w:tc>
          <w:tcPr>
            <w:tcW w:w="0" w:type="auto"/>
          </w:tcPr>
          <w:p>
            <w:pPr>
              <w:spacing w:line="240" w:lineRule="auto" w:before="0" w:after="0"/>
              <w:pStyle w:val="Compact"/>
            </w:pPr>
            <w:r>
              <w:rPr>
                <w:sz w:val="20"/>
                <w:szCs w:val="20"/>
              </w:rPr>
              <w:t xml:space="preserve">maneuver_magnitude_m_s</w:t>
            </w:r>
          </w:p>
        </w:tc>
        <w:tc>
          <w:tcPr>
            <w:tcW w:w="0" w:type="auto"/>
          </w:tcPr>
          <w:p>
            <w:pPr>
              <w:spacing w:line="240" w:lineRule="auto" w:before="0" w:after="0"/>
              <w:pStyle w:val="Compact"/>
            </w:pPr>
            <w:r>
              <w:rPr>
                <w:sz w:val="20"/>
                <w:szCs w:val="20"/>
              </w:rPr>
              <w:t xml:space="preserve">log10_maneuver_m_s</w:t>
            </w:r>
          </w:p>
        </w:tc>
        <w:tc>
          <w:tcPr>
            <w:tcW w:w="0" w:type="auto"/>
          </w:tcPr>
          <w:p>
            <w:pPr>
              <w:spacing w:line="240" w:lineRule="auto" w:before="0" w:after="0"/>
              <w:pStyle w:val="Compact"/>
            </w:pPr>
            <w:r>
              <w:rPr>
                <w:sz w:val="20"/>
                <w:szCs w:val="20"/>
              </w:rPr>
              <w:t xml:space="preserve">cross_track_component</w:t>
            </w:r>
          </w:p>
        </w:tc>
        <w:tc>
          <w:tcPr>
            <w:tcW w:w="0" w:type="auto"/>
          </w:tcPr>
          <w:p>
            <w:pPr>
              <w:spacing w:line="240" w:lineRule="auto" w:before="0" w:after="0"/>
              <w:pStyle w:val="Compact"/>
            </w:pPr>
            <w:r>
              <w:rPr>
                <w:sz w:val="20"/>
                <w:szCs w:val="20"/>
              </w:rPr>
              <w:t xml:space="preserve">in_track_component</w:t>
            </w:r>
          </w:p>
        </w:tc>
        <w:tc>
          <w:tcPr>
            <w:tcW w:w="0" w:type="auto"/>
          </w:tcPr>
          <w:p>
            <w:pPr>
              <w:spacing w:line="240" w:lineRule="auto" w:before="0" w:after="0"/>
              <w:pStyle w:val="Compact"/>
            </w:pPr>
            <w:r>
              <w:rPr>
                <w:sz w:val="20"/>
                <w:szCs w:val="20"/>
              </w:rPr>
              <w:t xml:space="preserve">radial_component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Gosat-2</w:t>
            </w:r>
          </w:p>
        </w:tc>
        <w:tc>
          <w:tcPr>
            <w:tcW w:w="0" w:type="auto"/>
          </w:tcPr>
          <w:p>
            <w:pPr>
              <w:spacing w:line="240" w:lineRule="auto" w:before="0" w:after="0"/>
              <w:pStyle w:val="Compact"/>
            </w:pPr>
            <w:r>
              <w:rPr>
                <w:sz w:val="20"/>
                <w:szCs w:val="20"/>
              </w:rPr>
              <w:t xml:space="preserve">radial</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Shorten et al. 2024, Table 3</w:t>
            </w:r>
          </w:p>
        </w:tc>
      </w:tr>
      <w:tr>
        <w:tc>
          <w:tcPr>
            <w:tcW w:w="0" w:type="auto"/>
          </w:tcPr>
          <w:p>
            <w:pPr>
              <w:spacing w:line="240" w:lineRule="auto" w:before="0" w:after="0"/>
              <w:pStyle w:val="Compact"/>
            </w:pPr>
            <w:r>
              <w:rPr>
                <w:sz w:val="20"/>
                <w:szCs w:val="20"/>
              </w:rPr>
              <w:t xml:space="preserve">Gosat-2</w:t>
            </w:r>
          </w:p>
        </w:tc>
        <w:tc>
          <w:tcPr>
            <w:tcW w:w="0" w:type="auto"/>
          </w:tcPr>
          <w:p>
            <w:pPr>
              <w:spacing w:line="240" w:lineRule="auto" w:before="0" w:after="0"/>
              <w:pStyle w:val="Compact"/>
            </w:pPr>
            <w:r>
              <w:rPr>
                <w:sz w:val="20"/>
                <w:szCs w:val="20"/>
              </w:rPr>
              <w:t xml:space="preserve">in_track</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Shorten et al. 2024, Table 3</w:t>
            </w:r>
          </w:p>
        </w:tc>
      </w:tr>
      <w:tr>
        <w:tc>
          <w:tcPr>
            <w:tcW w:w="0" w:type="auto"/>
          </w:tcPr>
          <w:p>
            <w:pPr>
              <w:spacing w:line="240" w:lineRule="auto" w:before="0" w:after="0"/>
              <w:pStyle w:val="Compact"/>
            </w:pPr>
            <w:r>
              <w:rPr>
                <w:sz w:val="20"/>
                <w:szCs w:val="20"/>
              </w:rPr>
              <w:t xml:space="preserve">Gosat-2</w:t>
            </w:r>
          </w:p>
        </w:tc>
        <w:tc>
          <w:tcPr>
            <w:tcW w:w="0" w:type="auto"/>
          </w:tcPr>
          <w:p>
            <w:pPr>
              <w:spacing w:line="240" w:lineRule="auto" w:before="0" w:after="0"/>
              <w:pStyle w:val="Compact"/>
            </w:pPr>
            <w:r>
              <w:rPr>
                <w:sz w:val="20"/>
                <w:szCs w:val="20"/>
              </w:rPr>
              <w:t xml:space="preserve">cross_track</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-1.699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Shorten et al. 2024, Table 3</w:t>
            </w:r>
          </w:p>
        </w:tc>
      </w:tr>
      <w:tr>
        <w:tc>
          <w:tcPr>
            <w:tcW w:w="0" w:type="auto"/>
          </w:tcPr>
          <w:p>
            <w:pPr>
              <w:spacing w:line="240" w:lineRule="auto" w:before="0" w:after="0"/>
              <w:pStyle w:val="Compact"/>
            </w:pPr>
            <w:r>
              <w:rPr>
                <w:sz w:val="20"/>
                <w:szCs w:val="20"/>
              </w:rPr>
              <w:t xml:space="preserve">Skysat-C19</w:t>
            </w:r>
          </w:p>
        </w:tc>
        <w:tc>
          <w:tcPr>
            <w:tcW w:w="0" w:type="auto"/>
          </w:tcPr>
          <w:p>
            <w:pPr>
              <w:spacing w:line="240" w:lineRule="auto" w:before="0" w:after="0"/>
              <w:pStyle w:val="Compact"/>
            </w:pPr>
            <w:r>
              <w:rPr>
                <w:sz w:val="20"/>
                <w:szCs w:val="20"/>
              </w:rPr>
              <w:t xml:space="preserve">radial</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Shorten et al. 2024, Table 3</w:t>
            </w:r>
          </w:p>
        </w:tc>
      </w:tr>
      <w:tr>
        <w:tc>
          <w:tcPr>
            <w:tcW w:w="0" w:type="auto"/>
          </w:tcPr>
          <w:p>
            <w:pPr>
              <w:spacing w:line="240" w:lineRule="auto" w:before="0" w:after="0"/>
              <w:pStyle w:val="Compact"/>
            </w:pPr>
            <w:r>
              <w:rPr>
                <w:sz w:val="20"/>
                <w:szCs w:val="20"/>
              </w:rPr>
              <w:t xml:space="preserve">Skysat-C19</w:t>
            </w:r>
          </w:p>
        </w:tc>
        <w:tc>
          <w:tcPr>
            <w:tcW w:w="0" w:type="auto"/>
          </w:tcPr>
          <w:p>
            <w:pPr>
              <w:spacing w:line="240" w:lineRule="auto" w:before="0" w:after="0"/>
              <w:pStyle w:val="Compact"/>
            </w:pPr>
            <w:r>
              <w:rPr>
                <w:sz w:val="20"/>
                <w:szCs w:val="20"/>
              </w:rPr>
              <w:t xml:space="preserve">in_track</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-1.699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Shorten et al. 2024, Table 3</w:t>
            </w:r>
          </w:p>
        </w:tc>
      </w:tr>
      <w:tr>
        <w:tc>
          <w:tcPr>
            <w:tcW w:w="0" w:type="auto"/>
          </w:tcPr>
          <w:p>
            <w:pPr>
              <w:spacing w:line="240" w:lineRule="auto" w:before="0" w:after="0"/>
              <w:pStyle w:val="Compact"/>
            </w:pPr>
            <w:r>
              <w:rPr>
                <w:sz w:val="20"/>
                <w:szCs w:val="20"/>
              </w:rPr>
              <w:t xml:space="preserve">Skysat-C19</w:t>
            </w:r>
          </w:p>
        </w:tc>
        <w:tc>
          <w:tcPr>
            <w:tcW w:w="0" w:type="auto"/>
          </w:tcPr>
          <w:p>
            <w:pPr>
              <w:spacing w:line="240" w:lineRule="auto" w:before="0" w:after="0"/>
              <w:pStyle w:val="Compact"/>
            </w:pPr>
            <w:r>
              <w:rPr>
                <w:sz w:val="20"/>
                <w:szCs w:val="20"/>
              </w:rPr>
              <w:t xml:space="preserve">cross_track</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-0.699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Shorten et al. 2024, Table 3</w:t>
            </w:r>
          </w:p>
        </w:tc>
      </w:tr>
      <w:tr>
        <w:tc>
          <w:tcPr>
            <w:tcW w:w="0" w:type="auto"/>
          </w:tcPr>
          <w:p>
            <w:pPr>
              <w:spacing w:line="240" w:lineRule="auto" w:before="0" w:after="0"/>
              <w:pStyle w:val="Compact"/>
            </w:pPr>
            <w:r>
              <w:rPr>
                <w:sz w:val="20"/>
                <w:szCs w:val="20"/>
              </w:rPr>
              <w:t xml:space="preserve">Blacksky-1</w:t>
            </w:r>
          </w:p>
        </w:tc>
        <w:tc>
          <w:tcPr>
            <w:tcW w:w="0" w:type="auto"/>
          </w:tcPr>
          <w:p>
            <w:pPr>
              <w:spacing w:line="240" w:lineRule="auto" w:before="0" w:after="0"/>
              <w:pStyle w:val="Compact"/>
            </w:pPr>
            <w:r>
              <w:rPr>
                <w:sz w:val="20"/>
                <w:szCs w:val="20"/>
              </w:rPr>
              <w:t xml:space="preserve">radial</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Shorten et al. 2024, Table 3</w:t>
            </w:r>
          </w:p>
        </w:tc>
      </w:tr>
      <w:tr>
        <w:tc>
          <w:tcPr>
            <w:tcW w:w="0" w:type="auto"/>
          </w:tcPr>
          <w:p>
            <w:pPr>
              <w:spacing w:line="240" w:lineRule="auto" w:before="0" w:after="0"/>
              <w:pStyle w:val="Compact"/>
            </w:pPr>
            <w:r>
              <w:rPr>
                <w:sz w:val="20"/>
                <w:szCs w:val="20"/>
              </w:rPr>
              <w:t xml:space="preserve">Blacksky-1</w:t>
            </w:r>
          </w:p>
        </w:tc>
        <w:tc>
          <w:tcPr>
            <w:tcW w:w="0" w:type="auto"/>
          </w:tcPr>
          <w:p>
            <w:pPr>
              <w:spacing w:line="240" w:lineRule="auto" w:before="0" w:after="0"/>
              <w:pStyle w:val="Compact"/>
            </w:pPr>
            <w:r>
              <w:rPr>
                <w:sz w:val="20"/>
                <w:szCs w:val="20"/>
              </w:rPr>
              <w:t xml:space="preserve">in_track</w:t>
            </w:r>
          </w:p>
        </w:tc>
        <w:tc>
          <w:tcPr>
            <w:tcW w:w="0" w:type="auto"/>
          </w:tcPr>
          <w:p>
            <w:pPr>
              <w:spacing w:line="240" w:lineRule="auto" w:before="0" w:after="0"/>
              <w:pStyle w:val="Compact"/>
            </w:pPr>
            <w:r>
              <w:rPr>
                <w:sz w:val="20"/>
                <w:szCs w:val="20"/>
              </w:rPr>
              <w:t xml:space="preserve">0.0002</w:t>
            </w:r>
          </w:p>
        </w:tc>
        <w:tc>
          <w:tcPr>
            <w:tcW w:w="0" w:type="auto"/>
          </w:tcPr>
          <w:p>
            <w:pPr>
              <w:spacing w:line="240" w:lineRule="auto" w:before="0" w:after="0"/>
              <w:pStyle w:val="Compact"/>
            </w:pPr>
            <w:r>
              <w:rPr>
                <w:sz w:val="20"/>
                <w:szCs w:val="20"/>
              </w:rPr>
              <w:t xml:space="preserve">-3.699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Shorten et al. 2024, Table 3</w:t>
            </w:r>
          </w:p>
        </w:tc>
      </w:tr>
      <w:tr>
        <w:tc>
          <w:tcPr>
            <w:tcW w:w="0" w:type="auto"/>
          </w:tcPr>
          <w:p>
            <w:pPr>
              <w:spacing w:line="240" w:lineRule="auto" w:before="0" w:after="0"/>
              <w:pStyle w:val="Compact"/>
            </w:pPr>
            <w:r>
              <w:rPr>
                <w:sz w:val="20"/>
                <w:szCs w:val="20"/>
              </w:rPr>
              <w:t xml:space="preserve">Blacksky-1</w:t>
            </w:r>
          </w:p>
        </w:tc>
        <w:tc>
          <w:tcPr>
            <w:tcW w:w="0" w:type="auto"/>
          </w:tcPr>
          <w:p>
            <w:pPr>
              <w:spacing w:line="240" w:lineRule="auto" w:before="0" w:after="0"/>
              <w:pStyle w:val="Compact"/>
            </w:pPr>
            <w:r>
              <w:rPr>
                <w:sz w:val="20"/>
                <w:szCs w:val="20"/>
              </w:rPr>
              <w:t xml:space="preserve">cross_track</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Shorten et al. 2024, Table 3</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radial</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Shorten et al. 2024, Table 3</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in_track</w:t>
            </w:r>
          </w:p>
        </w:tc>
        <w:tc>
          <w:tcPr>
            <w:tcW w:w="0" w:type="auto"/>
          </w:tcPr>
          <w:p>
            <w:pPr>
              <w:spacing w:line="240" w:lineRule="auto" w:before="0" w:after="0"/>
              <w:pStyle w:val="Compact"/>
            </w:pPr>
            <w:r>
              <w:rPr>
                <w:sz w:val="20"/>
                <w:szCs w:val="20"/>
              </w:rPr>
              <w:t xml:space="preserve">0.003</w:t>
            </w:r>
          </w:p>
        </w:tc>
        <w:tc>
          <w:tcPr>
            <w:tcW w:w="0" w:type="auto"/>
          </w:tcPr>
          <w:p>
            <w:pPr>
              <w:spacing w:line="240" w:lineRule="auto" w:before="0" w:after="0"/>
              <w:pStyle w:val="Compact"/>
            </w:pPr>
            <w:r>
              <w:rPr>
                <w:sz w:val="20"/>
                <w:szCs w:val="20"/>
              </w:rPr>
              <w:t xml:space="preserve">-2.5229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Shorten et al. 2024, Table 3</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cross_track</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Shorten et al. 2024, Table 3</w:t>
            </w:r>
          </w:p>
        </w:tc>
      </w:tr>
    </w:tbl>
    <w:bookmarkEnd w:id="189"/>
    <w:bookmarkStart w:id="190"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log10_maneuver_m_s</w:t>
            </w:r>
          </w:p>
        </w:tc>
        <w:tc>
          <w:tcPr>
            <w:tcW w:w="0" w:type="auto"/>
          </w:tcPr>
          <w:p>
            <w:pPr>
              <w:spacing w:line="240" w:lineRule="auto" w:before="0" w:after="0"/>
              <w:pStyle w:val="Compact"/>
            </w:pPr>
            <w:r>
              <w:rPr>
                <w:sz w:val="20"/>
                <w:szCs w:val="20"/>
              </w:rPr>
              <w:t xml:space="preserve">Base-10 logarithm of inserted maneuver magnitude in metres per second.</w:t>
            </w:r>
          </w:p>
        </w:tc>
        <w:tc>
          <w:tcPr>
            <w:tcW w:w="0" w:type="auto"/>
          </w:tcPr>
          <w:p>
            <w:pPr>
              <w:spacing w:line="240" w:lineRule="auto" w:before="0" w:after="0"/>
              <w:pStyle w:val="Compact"/>
            </w:pPr>
            <w:r>
              <w:rPr>
                <w:sz w:val="20"/>
                <w:szCs w:val="20"/>
              </w:rPr>
              <w:t xml:space="preserve">Computed from Shorten et al. 2024 Table 3 values.</w:t>
            </w:r>
          </w:p>
        </w:tc>
      </w:tr>
      <w:tr>
        <w:tc>
          <w:tcPr>
            <w:tcW w:w="0" w:type="auto"/>
          </w:tcPr>
          <w:p>
            <w:pPr>
              <w:spacing w:line="240" w:lineRule="auto" w:before="0" w:after="0"/>
              <w:pStyle w:val="Compact"/>
            </w:pPr>
            <w:r>
              <w:rPr>
                <w:sz w:val="20"/>
                <w:szCs w:val="20"/>
              </w:rPr>
              <w:t xml:space="preserve">maneuver_magnitude_m_s</w:t>
            </w:r>
          </w:p>
        </w:tc>
        <w:tc>
          <w:tcPr>
            <w:tcW w:w="0" w:type="auto"/>
          </w:tcPr>
          <w:p>
            <w:pPr>
              <w:spacing w:line="240" w:lineRule="auto" w:before="0" w:after="0"/>
              <w:pStyle w:val="Compact"/>
            </w:pPr>
            <w:r>
              <w:rPr>
                <w:sz w:val="20"/>
                <w:szCs w:val="20"/>
              </w:rPr>
              <w:t xml:space="preserve">Inserted maneuver magnitude in metres per second.</w:t>
            </w:r>
          </w:p>
        </w:tc>
        <w:tc>
          <w:tcPr>
            <w:tcW w:w="0" w:type="auto"/>
          </w:tcPr>
          <w:p>
            <w:pPr>
              <w:spacing w:line="240" w:lineRule="auto" w:before="0" w:after="0"/>
              <w:pStyle w:val="Compact"/>
            </w:pPr>
            <w:r>
              <w:rPr>
                <w:sz w:val="20"/>
                <w:szCs w:val="20"/>
              </w:rPr>
              <w:t xml:space="preserve">Read from Shorten et al. 2024 Table 3.</w:t>
            </w:r>
          </w:p>
        </w:tc>
      </w:tr>
      <w:tr>
        <w:tc>
          <w:tcPr>
            <w:tcW w:w="0" w:type="auto"/>
          </w:tcPr>
          <w:p>
            <w:pPr>
              <w:spacing w:line="240" w:lineRule="auto" w:before="0" w:after="0"/>
              <w:pStyle w:val="Compact"/>
            </w:pPr>
            <w:r>
              <w:rPr>
                <w:sz w:val="20"/>
                <w:szCs w:val="20"/>
              </w:rPr>
              <w:t xml:space="preserve">cross_track_component</w:t>
            </w:r>
          </w:p>
        </w:tc>
        <w:tc>
          <w:tcPr>
            <w:tcW w:w="0" w:type="auto"/>
          </w:tcPr>
          <w:p>
            <w:pPr>
              <w:spacing w:line="240" w:lineRule="auto" w:before="0" w:after="0"/>
              <w:pStyle w:val="Compact"/>
            </w:pPr>
            <w:r>
              <w:rPr>
                <w:sz w:val="20"/>
                <w:szCs w:val="20"/>
              </w:rPr>
              <w:t xml:space="preserve">Indicator equal to one for cross-track rows.</w:t>
            </w:r>
          </w:p>
        </w:tc>
        <w:tc>
          <w:tcPr>
            <w:tcW w:w="0" w:type="auto"/>
          </w:tcPr>
          <w:p>
            <w:pPr>
              <w:spacing w:line="240" w:lineRule="auto" w:before="0" w:after="0"/>
              <w:pStyle w:val="Compact"/>
            </w:pPr>
            <w:r>
              <w:rPr>
                <w:sz w:val="20"/>
                <w:szCs w:val="20"/>
              </w:rPr>
              <w:t xml:space="preserve">Constructed from Table 3 component labels.</w:t>
            </w:r>
          </w:p>
        </w:tc>
      </w:tr>
      <w:tr>
        <w:tc>
          <w:tcPr>
            <w:tcW w:w="0" w:type="auto"/>
          </w:tcPr>
          <w:p>
            <w:pPr>
              <w:spacing w:line="240" w:lineRule="auto" w:before="0" w:after="0"/>
              <w:pStyle w:val="Compact"/>
            </w:pPr>
            <w:r>
              <w:rPr>
                <w:sz w:val="20"/>
                <w:szCs w:val="20"/>
              </w:rPr>
              <w:t xml:space="preserve">in_track_component</w:t>
            </w:r>
          </w:p>
        </w:tc>
        <w:tc>
          <w:tcPr>
            <w:tcW w:w="0" w:type="auto"/>
          </w:tcPr>
          <w:p>
            <w:pPr>
              <w:spacing w:line="240" w:lineRule="auto" w:before="0" w:after="0"/>
              <w:pStyle w:val="Compact"/>
            </w:pPr>
            <w:r>
              <w:rPr>
                <w:sz w:val="20"/>
                <w:szCs w:val="20"/>
              </w:rPr>
              <w:t xml:space="preserve">Indicator equal to one for in-track rows.</w:t>
            </w:r>
          </w:p>
        </w:tc>
        <w:tc>
          <w:tcPr>
            <w:tcW w:w="0" w:type="auto"/>
          </w:tcPr>
          <w:p>
            <w:pPr>
              <w:spacing w:line="240" w:lineRule="auto" w:before="0" w:after="0"/>
              <w:pStyle w:val="Compact"/>
            </w:pPr>
            <w:r>
              <w:rPr>
                <w:sz w:val="20"/>
                <w:szCs w:val="20"/>
              </w:rPr>
              <w:t xml:space="preserve">Constructed from Table 3 component labels.</w:t>
            </w:r>
          </w:p>
        </w:tc>
      </w:tr>
      <w:tr>
        <w:tc>
          <w:tcPr>
            <w:tcW w:w="0" w:type="auto"/>
          </w:tcPr>
          <w:p>
            <w:pPr>
              <w:spacing w:line="240" w:lineRule="auto" w:before="0" w:after="0"/>
              <w:pStyle w:val="Compact"/>
            </w:pPr>
            <w:r>
              <w:rPr>
                <w:sz w:val="20"/>
                <w:szCs w:val="20"/>
              </w:rPr>
              <w:t xml:space="preserve">radial_component</w:t>
            </w:r>
          </w:p>
        </w:tc>
        <w:tc>
          <w:tcPr>
            <w:tcW w:w="0" w:type="auto"/>
          </w:tcPr>
          <w:p>
            <w:pPr>
              <w:spacing w:line="240" w:lineRule="auto" w:before="0" w:after="0"/>
              <w:pStyle w:val="Compact"/>
            </w:pPr>
            <w:r>
              <w:rPr>
                <w:sz w:val="20"/>
                <w:szCs w:val="20"/>
              </w:rPr>
              <w:t xml:space="preserve">Indicator equal to one for radial rows, the omitted baseline in the regression.</w:t>
            </w:r>
          </w:p>
        </w:tc>
        <w:tc>
          <w:tcPr>
            <w:tcW w:w="0" w:type="auto"/>
          </w:tcPr>
          <w:p>
            <w:pPr>
              <w:spacing w:line="240" w:lineRule="auto" w:before="0" w:after="0"/>
              <w:pStyle w:val="Compact"/>
            </w:pPr>
            <w:r>
              <w:rPr>
                <w:sz w:val="20"/>
                <w:szCs w:val="20"/>
              </w:rPr>
              <w:t xml:space="preserve">Constructed from Table 3 component labels.</w:t>
            </w:r>
          </w:p>
        </w:tc>
      </w:tr>
    </w:tbl>
    <w:bookmarkEnd w:id="190"/>
    <w:bookmarkEnd w:id="191"/>
    <w:bookmarkEnd w:id="1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7" Type="http://schemas.openxmlformats.org/officeDocument/2006/relationships/image" Target="media/rId177.png"/><Relationship Id="rId185" Type="http://schemas.openxmlformats.org/officeDocument/2006/relationships/image" Target="media/rId185.png"/><Relationship Id="rId164" Type="http://schemas.openxmlformats.org/officeDocument/2006/relationships/hyperlink" Target="https://doi.org/10.1016/j.actaastro.2018.05.028" TargetMode="External"/><Relationship Id="rId171" Type="http://schemas.openxmlformats.org/officeDocument/2006/relationships/hyperlink" Target="https://doi.org/10.1016/j.actaastro.2023.08.018" TargetMode="External"/><Relationship Id="rId150" Type="http://schemas.openxmlformats.org/officeDocument/2006/relationships/hyperlink" Target="https://doi.org/10.1016/j.actaastro.2024.11.033" TargetMode="External"/><Relationship Id="rId173" Type="http://schemas.openxmlformats.org/officeDocument/2006/relationships/hyperlink" Target="https://doi.org/10.1016/j.actaastro.2024.12.056" TargetMode="External"/><Relationship Id="rId148" Type="http://schemas.openxmlformats.org/officeDocument/2006/relationships/hyperlink" Target="https://doi.org/10.1016/j.actaastro.2025.01.003" TargetMode="External"/><Relationship Id="rId167" Type="http://schemas.openxmlformats.org/officeDocument/2006/relationships/hyperlink" Target="https://doi.org/10.1016/j.actaastro.2025.05.036" TargetMode="External"/><Relationship Id="rId152" Type="http://schemas.openxmlformats.org/officeDocument/2006/relationships/hyperlink" Target="https://doi.org/10.1016/j.actaastro.2025.08.048" TargetMode="External"/><Relationship Id="rId146" Type="http://schemas.openxmlformats.org/officeDocument/2006/relationships/hyperlink" Target="https://doi.org/10.1016/j.actaastro.2025.10.042" TargetMode="External"/><Relationship Id="rId143" Type="http://schemas.openxmlformats.org/officeDocument/2006/relationships/hyperlink" Target="https://doi.org/10.64861/DBWY9393" TargetMode="External"/><Relationship Id="rId141" Type="http://schemas.openxmlformats.org/officeDocument/2006/relationships/hyperlink" Target="https://doi.org/10.64861/FWBL2094" TargetMode="External"/><Relationship Id="rId158" Type="http://schemas.openxmlformats.org/officeDocument/2006/relationships/hyperlink" Target="https://doi.org/10.64861/TWFE4121" TargetMode="External"/></Relationships>
</file>

<file path=word/_rels/footnotes.xml.rels><?xml version='1.0' encoding='UTF-8' standalone='yes'?>
<Relationships xmlns="http://schemas.openxmlformats.org/package/2006/relationships"><Relationship Id="rId164" Type="http://schemas.openxmlformats.org/officeDocument/2006/relationships/hyperlink" Target="https://doi.org/10.1016/j.actaastro.2018.05.028" TargetMode="External"/><Relationship Id="rId171" Type="http://schemas.openxmlformats.org/officeDocument/2006/relationships/hyperlink" Target="https://doi.org/10.1016/j.actaastro.2023.08.018" TargetMode="External"/><Relationship Id="rId150" Type="http://schemas.openxmlformats.org/officeDocument/2006/relationships/hyperlink" Target="https://doi.org/10.1016/j.actaastro.2024.11.033" TargetMode="External"/><Relationship Id="rId173" Type="http://schemas.openxmlformats.org/officeDocument/2006/relationships/hyperlink" Target="https://doi.org/10.1016/j.actaastro.2024.12.056" TargetMode="External"/><Relationship Id="rId148" Type="http://schemas.openxmlformats.org/officeDocument/2006/relationships/hyperlink" Target="https://doi.org/10.1016/j.actaastro.2025.01.003" TargetMode="External"/><Relationship Id="rId167" Type="http://schemas.openxmlformats.org/officeDocument/2006/relationships/hyperlink" Target="https://doi.org/10.1016/j.actaastro.2025.05.036" TargetMode="External"/><Relationship Id="rId152" Type="http://schemas.openxmlformats.org/officeDocument/2006/relationships/hyperlink" Target="https://doi.org/10.1016/j.actaastro.2025.08.048" TargetMode="External"/><Relationship Id="rId146" Type="http://schemas.openxmlformats.org/officeDocument/2006/relationships/hyperlink" Target="https://doi.org/10.1016/j.actaastro.2025.10.042" TargetMode="External"/><Relationship Id="rId143" Type="http://schemas.openxmlformats.org/officeDocument/2006/relationships/hyperlink" Target="https://doi.org/10.64861/DBWY9393" TargetMode="External"/><Relationship Id="rId141" Type="http://schemas.openxmlformats.org/officeDocument/2006/relationships/hyperlink" Target="https://doi.org/10.64861/FWBL2094" TargetMode="External"/><Relationship Id="rId158" Type="http://schemas.openxmlformats.org/officeDocument/2006/relationships/hyperlink" Target="https://doi.org/10.64861/TWFE41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Deterrence Without Punishment: Can Space Domain Awareness Sharing Function as a</dc:title>
  <dc:creator>Annika Castellano (1B-SEC-153)</dc:creator>
  <cp:keywords/>
  <dcterms:created xsi:type="dcterms:W3CDTF">2026-07-02T22:19:35Z</dcterms:created>
  <dcterms:modified xsi:type="dcterms:W3CDTF">2026-07-02T22:19:35Z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