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499dba6e4addcf5e2eff99363ec591605ab6e5a"/>
    <w:p>
      <w:pPr>
        <w:pStyle w:val="Heading1"/>
      </w:pPr>
      <w:r>
        <w:t xml:space="preserve">Signal Intensity in The Astropolitik Hypothesis Tested Do States Behave as if Specific Orbital Regi: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Emeka Nair (1B-SEC-226) and the dissertation project</w:t>
      </w:r>
      <w:r>
        <w:t xml:space="preserve"> </w:t>
      </w:r>
      <w:r>
        <w:rPr>
          <w:i/>
          <w:iCs/>
        </w:rPr>
        <w:t xml:space="preserve">The Astropolitik Hypothesis Tested: Do States Behave as if Specific Orbital Regi</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R2=0.17620748104663697, R2_adj=0.0811544980904797, F=3.0837454750190165, F_p=0.04477851996324275. The exact term summary is: const coef=3.3985206689519245 p=1.839801358513565e-05; recency_index coef=0.03268139371835608 p=0.6705791658950153; cites_num coef=0.015895295275635442 p=0.0688851060250576; venue_score coef=-0.6352332219631445 p=0.018651983086417752.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Anil Chaudhary, Applied Optimization, Tamara Payne, Applied Optimization, Kimberly Kinateder, Wright State University, Phan Dao, AFRL/RV, Elizabeth Beecher, AFRL/RY, Derek Boone, Applied Optimization, Brittany Elliott, Applied Optimization. On-line Flagging of Anomalies and Adaptive Sequential Hypothesis Testing for Fine-feature characterization of Geosynchronous Satellites (2015). [AMOS]</w:t>
      </w:r>
      <w:r>
        <w:t xml:space="preserve"> </w:t>
      </w:r>
      <w:bookmarkStart w:id="68" w:name="ref-2"/>
      <w:bookmarkEnd w:id="68"/>
      <w:r>
        <w:t xml:space="preserve">2. Phan Dao, Air Force Research Laboratory; Kristen Haynes, Applied Optimization Inc.; Stephen Gregory, Applied Optimization Inc.; Jeff Hollon, Applied Optimization; Tamara Payne, Applied Optimization Inc.; Kimberly Kinateder, Applied Optimization. Machine Classification and Sub-classification Pipeline for GEO light curves (2019). [AMOS]</w:t>
      </w:r>
      <w:r>
        <w:t xml:space="preserve"> </w:t>
      </w:r>
      <w:bookmarkStart w:id="69" w:name="ref-3"/>
      <w:bookmarkEnd w:id="69"/>
      <w:r>
        <w:t xml:space="preserve">3. Phan Dao, AFRL Space Vehicles Directorate; Kristen Weasenforth, Applied Optimization; Jeff Hollon, Applied Optimization; Tamara Payne, Applied Optimization Inc.; Kimberly Kinateder, Wright State University; Adam Kruchten, University of Pittsburgh. Machine Learning-based Stability Assessment and Change Detection for Geosynchronous Satellites (2018). [AMOS]</w:t>
      </w:r>
      <w:r>
        <w:t xml:space="preserve"> </w:t>
      </w:r>
      <w:bookmarkStart w:id="70" w:name="ref-4"/>
      <w:bookmarkEnd w:id="70"/>
      <w:r>
        <w:t xml:space="preserve">4. Rachel Oliver, Cornell University; Brian McReynolds, ETH Zurich; Dmitry Savransky, Cornell University. Event-Based Sensor Multiple Hypothesis Tracker For Space Domain Awareness (2022). [AMOS]</w:t>
      </w:r>
      <w:r>
        <w:t xml:space="preserve"> </w:t>
      </w:r>
      <w:bookmarkStart w:id="71" w:name="ref-5"/>
      <w:bookmarkEnd w:id="71"/>
      <w:r>
        <w:t xml:space="preserve">5. Alexandra Wright, Massachusetts Institute of Technology, Lincoln Laboratory; Peter W. Boettcher, Massachusetts Institute of Technology, Lincoln Laboratory; Anye Li, Massachusetts Institute of Technology; Erin L. Main, Massachusetts Institute of Technology. Space Data Model Modernization for Proactive and Machine-Assisted Analytics (2022). [AMOS]</w:t>
      </w:r>
      <w:r>
        <w:t xml:space="preserve"> </w:t>
      </w:r>
      <w:bookmarkStart w:id="72" w:name="ref-6"/>
      <w:bookmarkEnd w:id="72"/>
      <w:r>
        <w:t xml:space="preserve">6. Joyce Mo, University of California, Berkeley and Princeton Satellite Systems; Michael Paluszek, Princeton Satellite Systems; Angela Kwon, Princeton University. Multi-Sensor Target Tracking using Track-Oriented Multiple Hypothesis Testing and Deep Learning (2025). doi:</w:t>
      </w:r>
      <w:r>
        <w:t xml:space="preserve"> </w:t>
      </w:r>
      <w:hyperlink r:id="rId73">
        <w:r>
          <w:rPr>
            <w:rStyle w:val="Hyperlink"/>
          </w:rPr>
          <w:t xml:space="preserve">10.64861/ELET1690</w:t>
        </w:r>
      </w:hyperlink>
      <w:r>
        <w:t xml:space="preserve"> </w:t>
      </w:r>
      <w:bookmarkStart w:id="74" w:name="ref-7"/>
      <w:bookmarkEnd w:id="74"/>
      <w:r>
        <w:t xml:space="preserve">7. Sven K. Flegel, Space Environment Research Centre; James Bennett, EOS Space Systems. Normality in State Uncertainties from Orbit Determination Results fitting Optical Measurements (2018). [AMOS]</w:t>
      </w:r>
      <w:r>
        <w:t xml:space="preserve"> </w:t>
      </w:r>
      <w:bookmarkStart w:id="75" w:name="ref-8"/>
      <w:bookmarkEnd w:id="75"/>
      <w:r>
        <w:t xml:space="preserve">8. Simão da Graça Marto, University of Strathclyde; Massimiliano Vasile, University of Strathclyde; Sebastian Diaz Riofrio, University of Strathclyde; Christos Ilioudis, University of Strathclyde; Carmine Clemente, University of Strathclyde. Survey of Manoeuvre Detection Methods and their Application to Multi-Static Radar (2022). [AMOS]</w:t>
      </w:r>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3.3985</w:t>
            </w:r>
          </w:p>
        </w:tc>
        <w:tc>
          <w:tcPr>
            <w:tcW w:w="0" w:type="auto"/>
          </w:tcPr>
          <w:p>
            <w:pPr>
              <w:spacing w:line="240" w:lineRule="auto" w:before="0" w:after="0"/>
              <w:pStyle w:val="Compact"/>
            </w:pPr>
            <w:r>
              <w:rPr>
                <w:sz w:val="20"/>
                <w:szCs w:val="20"/>
              </w:rPr>
              <w:t xml:space="preserve">0.7934</w:t>
            </w:r>
          </w:p>
        </w:tc>
        <w:tc>
          <w:tcPr>
            <w:tcW w:w="0" w:type="auto"/>
          </w:tcPr>
          <w:p>
            <w:pPr>
              <w:spacing w:line="240" w:lineRule="auto" w:before="0" w:after="0"/>
              <w:pStyle w:val="Compact"/>
            </w:pPr>
            <w:r>
              <w:rPr>
                <w:sz w:val="20"/>
                <w:szCs w:val="20"/>
              </w:rPr>
              <w:t xml:space="preserve">4.2835</w:t>
            </w:r>
          </w:p>
        </w:tc>
        <w:tc>
          <w:tcPr>
            <w:tcW w:w="0" w:type="auto"/>
          </w:tcPr>
          <w:p>
            <w:pPr>
              <w:spacing w:line="240" w:lineRule="auto" w:before="0" w:after="0"/>
              <w:pStyle w:val="Compact"/>
            </w:pPr>
            <w:r>
              <w:rPr>
                <w:sz w:val="20"/>
                <w:szCs w:val="20"/>
              </w:rPr>
              <w:t xml:space="preserve">1.84e-05</w:t>
            </w:r>
          </w:p>
        </w:tc>
        <w:tc>
          <w:tcPr>
            <w:tcW w:w="0" w:type="auto"/>
          </w:tcPr>
          <w:p>
            <w:pPr>
              <w:spacing w:line="240" w:lineRule="auto" w:before="0" w:after="0"/>
              <w:pStyle w:val="Compact"/>
            </w:pPr>
            <w:r>
              <w:rPr>
                <w:sz w:val="20"/>
                <w:szCs w:val="20"/>
              </w:rPr>
              <w:t xml:space="preserve">[1.8435, 4.9536]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0.0768</w:t>
            </w:r>
          </w:p>
        </w:tc>
        <w:tc>
          <w:tcPr>
            <w:tcW w:w="0" w:type="auto"/>
          </w:tcPr>
          <w:p>
            <w:pPr>
              <w:spacing w:line="240" w:lineRule="auto" w:before="0" w:after="0"/>
              <w:pStyle w:val="Compact"/>
            </w:pPr>
            <w:r>
              <w:rPr>
                <w:sz w:val="20"/>
                <w:szCs w:val="20"/>
              </w:rPr>
              <w:t xml:space="preserve">0.4254</w:t>
            </w:r>
          </w:p>
        </w:tc>
        <w:tc>
          <w:tcPr>
            <w:tcW w:w="0" w:type="auto"/>
          </w:tcPr>
          <w:p>
            <w:pPr>
              <w:spacing w:line="240" w:lineRule="auto" w:before="0" w:after="0"/>
              <w:pStyle w:val="Compact"/>
            </w:pPr>
            <w:r>
              <w:rPr>
                <w:sz w:val="20"/>
                <w:szCs w:val="20"/>
              </w:rPr>
              <w:t xml:space="preserve">0.6706</w:t>
            </w:r>
          </w:p>
        </w:tc>
        <w:tc>
          <w:tcPr>
            <w:tcW w:w="0" w:type="auto"/>
          </w:tcPr>
          <w:p>
            <w:pPr>
              <w:spacing w:line="240" w:lineRule="auto" w:before="0" w:after="0"/>
              <w:pStyle w:val="Compact"/>
            </w:pPr>
            <w:r>
              <w:rPr>
                <w:sz w:val="20"/>
                <w:szCs w:val="20"/>
              </w:rPr>
              <w:t xml:space="preserve">[-0.1179, 0.1833]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1.8192</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[-0.0012, 0.033]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-0.6352</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-2.3524</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[-1.1645, -0.106]</w:t>
            </w:r>
          </w:p>
        </w:tc>
      </w:tr>
    </w:tbl>
    <w:p>
      <w:pPr>
        <w:pStyle w:val="BodyText"/>
      </w:pPr>
      <w:r>
        <w:t xml:space="preserve">Fit: N = 30 R2 = 0.1762 R2_adj = 0.0812 F = 3.0837 F_p = 0.0448</w:t>
      </w:r>
    </w:p>
    <w:p>
      <w:pPr>
        <w:pStyle w:val="CaptionedFigure"/>
      </w:pPr>
      <w:r>
        <w:drawing>
          <wp:inline>
            <wp:extent cx="5669280" cy="3657600"/>
            <wp:effectExtent b="0" l="0" r="0" t="0"/>
            <wp:docPr descr="Figure 1. Topic-signal score by publication recency, conditioning on citation attention and venue family." title="" id="79" name="Picture"/>
            <a:graphic>
              <a:graphicData uri="http://schemas.openxmlformats.org/drawingml/2006/picture">
                <pic:pic>
                  <pic:nvPicPr>
                    <pic:cNvPr descr="D:\Claude_Code\brain\collegium\candidates\dissertations\SECURITY_DETERRENCE_10\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https://amostech.space/year/2015/on-line-flagging-of-anomalies-and-adaptive-sequential-hypothesis-testing-for-fine-feature-characterization-of-geosynchronous-satellites/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https://amostech.space/year/2019/machine-classification-and-sub-classification-pipeline-for-geo-light-curves/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https://amostech.space/year/2018/machine-learning-based-stability-assessment-and-change-detection-for-geosynchronous-satellites/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https://amostech.space/year/2022/event-based-sensor-multiple-hypothesis-tracker-for-space-domain-awareness/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https://amostech.space/year/2022/space-data-model-modernization-for-proactive-and-machine-assisted-analytics/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10.64861/ELET1690</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https://amostech.space/year/2018/normality-in-state-uncertainties-from-orbit-determination-results-fitting-optical-measurements/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https://amostech.space/year/2022/survey-of-manoeuvre-detection-methods-and-their-application-to-multi-static-radar/</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10.64861/VOBX2519</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10.64861/PDBI9707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10.64861/WJYX8753</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10.1016/j.actaastro.2023.12.037</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10.1016/j.actaastro.2026.01.050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10.1016/j.actaastro.2021.01.059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10.1016/j.actaastro.2022.11.039</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10.1016/j.actaastro.2025.12.060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10.1016/j.actaastro.2023.02.011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10.1016/j.actaastro.2026.03.018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10.1016/j.actaastro.2019.04.011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10.1016/j.actaastro.2021.04.006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10.1016/j.actaastro.2017.11.016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10.1016/j.actaastro.2024.01.038</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Star Wars: Anti-Satellite Weapons and Orbital Debris</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3.3985</w:t>
            </w:r>
          </w:p>
        </w:tc>
        <w:tc>
          <w:tcPr>
            <w:tcW w:w="0" w:type="auto"/>
          </w:tcPr>
          <w:p>
            <w:pPr>
              <w:spacing w:line="240" w:lineRule="auto" w:before="0" w:after="0"/>
              <w:pStyle w:val="Compact"/>
            </w:pPr>
            <w:r>
              <w:rPr>
                <w:sz w:val="20"/>
                <w:szCs w:val="20"/>
              </w:rPr>
              <w:t xml:space="preserve">0.7934</w:t>
            </w:r>
          </w:p>
        </w:tc>
        <w:tc>
          <w:tcPr>
            <w:tcW w:w="0" w:type="auto"/>
          </w:tcPr>
          <w:p>
            <w:pPr>
              <w:spacing w:line="240" w:lineRule="auto" w:before="0" w:after="0"/>
              <w:pStyle w:val="Compact"/>
            </w:pPr>
            <w:r>
              <w:rPr>
                <w:sz w:val="20"/>
                <w:szCs w:val="20"/>
              </w:rPr>
              <w:t xml:space="preserve">4.2835</w:t>
            </w:r>
          </w:p>
        </w:tc>
        <w:tc>
          <w:tcPr>
            <w:tcW w:w="0" w:type="auto"/>
          </w:tcPr>
          <w:p>
            <w:pPr>
              <w:spacing w:line="240" w:lineRule="auto" w:before="0" w:after="0"/>
              <w:pStyle w:val="Compact"/>
            </w:pPr>
            <w:r>
              <w:rPr>
                <w:sz w:val="20"/>
                <w:szCs w:val="20"/>
              </w:rPr>
              <w:t xml:space="preserve">1.84e-05</w:t>
            </w:r>
          </w:p>
        </w:tc>
        <w:tc>
          <w:tcPr>
            <w:tcW w:w="0" w:type="auto"/>
          </w:tcPr>
          <w:p>
            <w:pPr>
              <w:spacing w:line="240" w:lineRule="auto" w:before="0" w:after="0"/>
              <w:pStyle w:val="Compact"/>
            </w:pPr>
            <w:r>
              <w:rPr>
                <w:sz w:val="20"/>
                <w:szCs w:val="20"/>
              </w:rPr>
              <w:t xml:space="preserve">[1.8435, 4.9536]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0.0327</w:t>
            </w:r>
          </w:p>
        </w:tc>
        <w:tc>
          <w:tcPr>
            <w:tcW w:w="0" w:type="auto"/>
          </w:tcPr>
          <w:p>
            <w:pPr>
              <w:spacing w:line="240" w:lineRule="auto" w:before="0" w:after="0"/>
              <w:pStyle w:val="Compact"/>
            </w:pPr>
            <w:r>
              <w:rPr>
                <w:sz w:val="20"/>
                <w:szCs w:val="20"/>
              </w:rPr>
              <w:t xml:space="preserve">0.0768</w:t>
            </w:r>
          </w:p>
        </w:tc>
        <w:tc>
          <w:tcPr>
            <w:tcW w:w="0" w:type="auto"/>
          </w:tcPr>
          <w:p>
            <w:pPr>
              <w:spacing w:line="240" w:lineRule="auto" w:before="0" w:after="0"/>
              <w:pStyle w:val="Compact"/>
            </w:pPr>
            <w:r>
              <w:rPr>
                <w:sz w:val="20"/>
                <w:szCs w:val="20"/>
              </w:rPr>
              <w:t xml:space="preserve">0.4254</w:t>
            </w:r>
          </w:p>
        </w:tc>
        <w:tc>
          <w:tcPr>
            <w:tcW w:w="0" w:type="auto"/>
          </w:tcPr>
          <w:p>
            <w:pPr>
              <w:spacing w:line="240" w:lineRule="auto" w:before="0" w:after="0"/>
              <w:pStyle w:val="Compact"/>
            </w:pPr>
            <w:r>
              <w:rPr>
                <w:sz w:val="20"/>
                <w:szCs w:val="20"/>
              </w:rPr>
              <w:t xml:space="preserve">0.6706</w:t>
            </w:r>
          </w:p>
        </w:tc>
        <w:tc>
          <w:tcPr>
            <w:tcW w:w="0" w:type="auto"/>
          </w:tcPr>
          <w:p>
            <w:pPr>
              <w:spacing w:line="240" w:lineRule="auto" w:before="0" w:after="0"/>
              <w:pStyle w:val="Compact"/>
            </w:pPr>
            <w:r>
              <w:rPr>
                <w:sz w:val="20"/>
                <w:szCs w:val="20"/>
              </w:rPr>
              <w:t xml:space="preserve">[-0.1179, 0.1833]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0.0159</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1.8192</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[-0.0012, 0.033]</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-0.6352</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-2.3524</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[-1.1645, -0.106]</w:t>
            </w:r>
          </w:p>
        </w:tc>
      </w:tr>
    </w:tbl>
    <w:p>
      <w:pPr>
        <w:pStyle w:val="BodyText"/>
      </w:pPr>
      <w:r>
        <w:t xml:space="preserve">Fit: N = 30 R2 = 0.1762 R2_adj = 0.0812 F = 3.0837 F_p = 0.0448</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3" Target="https://doi.org/10.64861/ELET1690"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ELET169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2026-06-29T09:44:28Z</dcterms:created>
  <dcterms:modified xsi:type="dcterms:W3CDTF">2026-06-29T09:44:28Z</dcterms:modified>
</cp:coreProperties>
</file>

<file path=docProps/custom.xml><?xml version="1.0" encoding="utf-8"?>
<Properties xmlns="http://schemas.openxmlformats.org/officeDocument/2006/custom-properties" xmlns:vt="http://schemas.openxmlformats.org/officeDocument/2006/docPropsVTypes"/>
</file>