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ASTROPOLITIK HYPOTHESIS TESTED: DO STATES BEHAVE AS IF SPECIFIC ORBITAL REGI</w:t>
      </w:r>
    </w:p>
    <w:p>
      <w:pPr>
        <w:jc w:val="center"/>
      </w:pPr>
    </w:p>
    <w:p>
      <w:pPr>
        <w:jc w:val="center"/>
      </w:pPr>
      <w:r>
        <w:rPr>
          <w:rFonts w:ascii="Times New Roman" w:hAnsi="Times New Roman"/>
          <w:sz w:val="24"/>
        </w:rPr>
        <w:t>by</w:t>
      </w:r>
    </w:p>
    <w:p>
      <w:pPr>
        <w:jc w:val="center"/>
      </w:pPr>
      <w:r>
        <w:rPr>
          <w:rFonts w:ascii="Times New Roman" w:hAnsi="Times New Roman"/>
          <w:b/>
          <w:sz w:val="28"/>
        </w:rPr>
        <w:t>Emeka Nair</w:t>
      </w:r>
    </w:p>
    <w:p>
      <w:pPr>
        <w:jc w:val="center"/>
      </w:pPr>
      <w:r>
        <w:rPr>
          <w:rFonts w:ascii="Times New Roman" w:hAnsi="Times New Roman"/>
          <w:sz w:val="24"/>
        </w:rPr>
        <w:t>1B-SEC-226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Consider the stakes. Space governance arrives late. A capability appears on orbit, an operator maneuvers a satellite in a way no rule anticipated, and the institutions that might have regulated the behavior are still debating whether the behavior counts as a problem. The gap between what states can do in specific orbital regimes and what any binding rule requires of them is the practical setting for this dissertation. The astropolitik hypothesis, in the strong form associated with classical geopolitics carried up into orbit, holds that states treat particular orbital bands as terrain to be held, contested, and denied, and that they behave as if the value of that terrain were fixed by physics rather than negotiated by diplomats. That is a large claim. This dissertation does not try to confirm or refute it at the level of grand strategy. It asks a smaller, sharper question that can actually be answered with evidence a reader can inspect: when the astropolitik claim leaves a documentary trace, is that trace structured, and structured in the direction the theory predicts?</w:t>
      </w:r>
    </w:p>
    <w:p>
      <w:pPr>
        <w:pStyle w:val="BodyText"/>
        <w:spacing w:line="480" w:lineRule="auto"/>
        <w:ind w:firstLine="720"/>
      </w:pPr>
      <w:r>
        <w:t xml:space="preserve">Narrowness is the point. The distinction between the grand claim and the tractable one is the entire point of the design. A dissertation that promised to prove or disprove astropolitik as a theory of state motive would be promising more than any single corpus can deliver. Motive is not visible in a citation index. What is visible is attention: which topics accumulate technical and scholarly notice, how quickly that notice arrives, and where in the publication ecology the notice concentrates. If states and the research enterprises that serve them are behaving as astropolitik expects, then the topic of orbital regime control should register in the documentary record as a rising, attention-drawing, venue-structured signal. If the topic is merely one policy intuition among many, the record should look flat and noisy. That contrast is testable. It is the contrast this dissertation builds its instruments around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Precision matters here. Consider what an operator in geosynchronous orbit can now do that a rule-writer did not foresee. Fine-feature characterization of a resident space object, once the province of a few national sensors, is now a published technique with an audit trail in the open literature</w:t>
      </w:r>
      <w:r>
        <w:t xml:space="preserve"> </w:t>
      </w:r>
      <w:hyperlink w:anchor="ref-1">
        <w:r>
          <w:rPr>
            <w:rStyle w:val="Hyperlink"/>
          </w:rPr>
          <w:t xml:space="preserve">[1]</w:t>
        </w:r>
      </w:hyperlink>
      <w:r>
        <w:t xml:space="preserve">. Machine classification of geosynchronous light curves has moved from demonstration to pipeline</w:t>
      </w:r>
      <w:r>
        <w:t xml:space="preserve"> </w:t>
      </w:r>
      <w:hyperlink w:anchor="ref-2">
        <w:r>
          <w:rPr>
            <w:rStyle w:val="Hyperlink"/>
          </w:rPr>
          <w:t xml:space="preserve">[2]</w:t>
        </w:r>
      </w:hyperlink>
      <w:r>
        <w:t xml:space="preserve">. Change-detection methods flag when a satellite’s behavior departs from its established pattern</w:t>
      </w:r>
      <w:r>
        <w:t xml:space="preserve"> </w:t>
      </w:r>
      <w:hyperlink w:anchor="ref-3">
        <w:r>
          <w:rPr>
            <w:rStyle w:val="Hyperlink"/>
          </w:rPr>
          <w:t xml:space="preserve">[3]</w:t>
        </w:r>
      </w:hyperlink>
      <w:r>
        <w:t xml:space="preserve">. Each of these capabilities lowers the cost of watching, and being watched, in a specific orbital band. Each of them is, in the astropolitik reading, an instrument of terrain control. The question of whether the surrounding governance discourse treats that terrain as contested is not academic. It shapes whether norms harden or stay permissive, whether deterrence language migrates into orbital policy, and whether the operators building these capabilities expect to be constrained.</w:t>
      </w:r>
    </w:p>
    <w:p>
      <w:pPr>
        <w:pStyle w:val="BodyText"/>
        <w:spacing w:line="480" w:lineRule="auto"/>
        <w:ind w:firstLine="720"/>
      </w:pPr>
      <w:r>
        <w:t xml:space="preserve">Weigh the evidence. The stakes are governance stakes, and they are near-term. Anti-satellite demonstrations generate debris that persists for decades and imposes costs on every operator sharing the regime, which is exactly the kind of externality that hardens rules when it becomes salient and leaves them soft when it does not. If the astropolitik framing is gaining documentary purchase, that is early warning that the permissive-use consensus is fraying. If it is not, then the alarm in some policy commentary is running ahead of the evidence. Either finding is worth having. Neither can be had by assertion.</w:t>
      </w:r>
    </w:p>
    <w:p>
      <w:pPr>
        <w:pStyle w:val="BodyText"/>
        <w:spacing w:line="480" w:lineRule="auto"/>
        <w:ind w:firstLine="720"/>
      </w:pPr>
      <w:r>
        <w:t xml:space="preserve">Clarity comes first. There is a second reason the problem matters, and it is methodological. Space policy debate is unusually prone to reasoning from vivid anecdote. One dramatic maneuver, one demonstration, one leaked doctrine document, and the commentary declares a new era. Vivid anecdotes are not evidence of structure. A test that asks whether the documentary record is systematically ordered, rather than whether a striking case can be found, is a discipline the field needs. This dissertation is a small instance of that discipline applied to one charged claim</w:t>
      </w:r>
      <w:r>
        <w:t xml:space="preserve"> </w:t>
      </w:r>
      <w:hyperlink w:anchor="ref-4">
        <w:r>
          <w:rPr>
            <w:rStyle w:val="Hyperlink"/>
          </w:rPr>
          <w:t xml:space="preserve">[4]</w:t>
        </w:r>
      </w:hyperlink>
      <w:r>
        <w:t xml:space="preserve">.</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Detail earns trust. This dissertation makes one contribution and states it as a hypothesis a reader could overturn with the same data. The topic-signal of orbital-regime control, measured as a deterministic count of theme terms across a retrieved corpus of technical, policy, and economic sources, is systematically related to publication recency, citation attention, and venue family. The null is that it is unrelated to all three. That is the falsifiable core. It is deliberately narrow, and its narrowness is a feature: a narrow claim that survives inspection is worth more to a governance reader than a broad claim that cannot be checked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Nothing is hidden. Two empirical instruments carry the test. The first is an ordinary least squares model that regresses the topic-signal score on a recency index, a citation count, and an ordinal venue-family score across thirty retrieved source records. The second is a log-log learning-curve model that asks whether citation accumulation in the same corpus follows a measurable curve keyed to article age. The models are not asked to prove astropolitik. They are asked to discipline the evidence: to show which parts of the astropolitik signal are visible in metadata structure and which parts dissolve into noise when a coefficient is estimated with honest standard errors. A signal that shows up as a precise, correctly signed coefficient is structure. A signal that shows up as a large standard error is a caution against overreading</w:t>
      </w:r>
      <w:r>
        <w:t xml:space="preserve"> </w:t>
      </w:r>
      <w:hyperlink w:anchor="ref-6">
        <w:r>
          <w:rPr>
            <w:rStyle w:val="Hyperlink"/>
          </w:rPr>
          <w:t xml:space="preserve">[6]</w:t>
        </w:r>
      </w:hyperlink>
      <w:r>
        <w:t xml:space="preserve">.</w:t>
      </w:r>
    </w:p>
    <w:bookmarkEnd w:id="62"/>
    <w:bookmarkStart w:id="63" w:name="what-the-instruments-can-and-cannot-show"/>
    <w:p>
      <w:pPr>
        <w:pStyle w:val="Heading2"/>
        <w:spacing w:line="480" w:lineRule="auto"/>
      </w:pPr>
      <w:r>
        <w:t xml:space="preserve">1.3 What the instruments can and cannot show</w:t>
      </w:r>
    </w:p>
    <w:p>
      <w:pPr>
        <w:pStyle w:val="FirstParagraph"/>
        <w:spacing w:line="480" w:lineRule="auto"/>
      </w:pPr>
      <w:r>
        <w:t xml:space="preserve">Bounds hold throughout. Honesty about scope is not modesty for its own sake. It is the condition under which the finding means anything. The corpus is a retrieved set of records, not a census of everything ever written about orbital competition. Citation counts are drawn from a local index rather than a universal one, so they measure attention as this index records it, not attention in the abstract. Venue family is coded ordinally, and ordinal codes carry ordering but not distance, so a jump from one venue tier to the next is not a metric quantity. The design tests corpus structure. It does not test the final causal proposition that any given state chose a policy because it valued a specific orbit. A reader who wants that causal claim will need a document-coding design layered on top of this one, and pointing to where that design would attach is itself part of the contribution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it carefully. The temptation in a topic this charged is to let the theory do the work the data cannot. The design resists that temptation structurally. Every observation preserves a source column, so any coefficient can be traced back to the records that produced it. Every number reported in the results chapter is the deterministic output of a workbook a reader can re-run. When a coefficient is imprecise, the dissertation says so and treats the imprecision as evidence against the strong claim, not as a nuisance to be explained away</w:t>
      </w:r>
      <w:r>
        <w:t xml:space="preserve"> </w:t>
      </w:r>
      <w:hyperlink w:anchor="ref-3">
        <w:r>
          <w:rPr>
            <w:rStyle w:val="Hyperlink"/>
          </w:rPr>
          <w:t xml:space="preserve">[3]</w:t>
        </w:r>
      </w:hyperlink>
      <w:r>
        <w:t xml:space="preserve">.</w:t>
      </w:r>
    </w:p>
    <w:bookmarkEnd w:id="63"/>
    <w:bookmarkStart w:id="64" w:name="roadmap"/>
    <w:p>
      <w:pPr>
        <w:pStyle w:val="Heading2"/>
        <w:spacing w:line="480" w:lineRule="auto"/>
      </w:pPr>
      <w:r>
        <w:t xml:space="preserve">1.4 Roadmap</w:t>
      </w:r>
    </w:p>
    <w:p>
      <w:pPr>
        <w:pStyle w:val="FirstParagraph"/>
        <w:spacing w:line="480" w:lineRule="auto"/>
      </w:pPr>
      <w:r>
        <w:t xml:space="preserve">Logic holds here. The chapters proceed from framing to evidence to interpretation. Chapter 2 situates the argument against the technical and governance literature, drawing on the retrieved corpus to show where astropolitik reasoning has and has not left a mark. Chapter 3 states the mechanism and the testable predictions, converting the astropolitik intuition into propositions about recency, attention, and venue. Chapter 4 sets out the two estimators and defends why they identify structure rather than merely describe it. Chapter 5 documents the dataset, the variable construction, the sources, and the sample size. Chapter 6 reports the estimator output exactly as the workbooks produce it, coefficient by coefficient, and interprets the signs and magnitudes. Chapter 7 turns to what the findings mean and to the threats that bound them. Chapter 8 draws the contribution together, connects it to governance and program decisions, and specifies the follow-on design that would carry the argument from corpus structure toward causal claim.</w:t>
      </w:r>
    </w:p>
    <w:p>
      <w:pPr>
        <w:pStyle w:val="BodyText"/>
        <w:spacing w:line="480" w:lineRule="auto"/>
        <w:ind w:firstLine="720"/>
      </w:pPr>
      <w:r>
        <w:t xml:space="preserve">Structure is the target. A reader should finish able to trace one continuous path: from the astropolitik question, to the retrieved sources, to the variables, to the estimator output, to a bounded interpretation. That traceable path is the deliverable. It is worth more than a confident narrative, because a governance decision that rests on a claim no one can check is a decision waiting to be embarrassed by the first serious challenge. The chapters that follow build the path one segment at a time, and each segment is meant to bear weight on its own before the next is laid down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64"/>
    <w:bookmarkStart w:id="65" w:name="the-intellectual-lineage-of-astropolitik"/>
    <w:p>
      <w:pPr>
        <w:pStyle w:val="Heading2"/>
        <w:spacing w:line="480" w:lineRule="auto"/>
      </w:pPr>
      <w:r>
        <w:t xml:space="preserve">1.5 The intellectual lineage of astropolitik</w:t>
      </w:r>
    </w:p>
    <w:p>
      <w:pPr>
        <w:pStyle w:val="FirstParagraph"/>
        <w:spacing w:line="480" w:lineRule="auto"/>
      </w:pPr>
      <w:r>
        <w:t xml:space="preserve">Unevenness marks the record. The term astropolitik does not appear from nowhere. It is the deliberate transplant of a terrestrial geopolitical tradition, the one that reads maps as fields of leverage and chokepoints as sources of power, into the orbital domain. On the ground, that tradition taught that whoever controlled certain sea lanes, certain land bridges, certain resource corridors, held a structural advantage that no diplomacy could easily undo. Carried to orbit, the tradition claims that certain bands are the chokepoints of the space age: the geosynchronous belt where communications and early-warning assets sit, the sun-synchronous lanes where imaging satellites live, the emerging cislunar corridors that a future economy might traverse. The claim is that these bands are terrain in the fullest sense, that their value is fixed by orbital mechanics rather than by anyone’s preference, and that states will therefore compete for position in them as inevitably as they once competed for straits and passes.</w:t>
      </w:r>
    </w:p>
    <w:p>
      <w:pPr>
        <w:pStyle w:val="BodyText"/>
        <w:spacing w:line="480" w:lineRule="auto"/>
        <w:ind w:firstLine="720"/>
      </w:pPr>
      <w:r>
        <w:t xml:space="preserve">A real gap opens. The strength of the transplant is also its vulnerability as a testable proposition. On the ground, a chokepoint’s strategic value can be inferred from the fortifications built around it, the treaties written to govern it, and the wars fought over it. Orbit offers thinner evidence. No fleet visibly occupies the geosynchronous belt. The competition, if it exists, is conducted through sensors, software, and maneuver, and its documentary trace is correspondingly indirect. This is why a bibliometric approach is not a lazy substitute for a better method but a reasonable first response to a genuinely hard evidentiary situation. Where the direct signs of terrain control are hidden, the indirect signs, the accumulation of technical attention on watching a specific band, may be the most honest evidence available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65"/>
    <w:bookmarkStart w:id="66" w:name="why-a-design-stage-dissertation"/>
    <w:p>
      <w:pPr>
        <w:pStyle w:val="Heading2"/>
        <w:spacing w:line="480" w:lineRule="auto"/>
      </w:pPr>
      <w:r>
        <w:t xml:space="preserve">1.6 Why a design-stage dissertation</w:t>
      </w:r>
    </w:p>
    <w:p>
      <w:pPr>
        <w:pStyle w:val="FirstParagraph"/>
        <w:spacing w:line="480" w:lineRule="auto"/>
      </w:pPr>
      <w:r>
        <w:t xml:space="preserve">Method decides this. This dissertation describes itself as design-stage, and the label is a commitment rather than an apology. A design-stage dissertation proves that a question can be operationalized and tested on obtainable evidence, and it reports the results of that test, without claiming to have delivered the final word the fully matured research program would produce. The value of the stage is that it converts a large, arguable claim into a specific, checkable one, and in doing so it shows the field exactly where the next, more expensive study should aim. A great deal of space-policy writing never reaches even this stage, remaining at the level of assertion illustrated by anecdote. Reaching the design stage, with an auditable estimator output and a stated null, is itself a contribution to a literature that has too little of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Faint signals demand care. The design-stage posture also disciplines the ambition of every subsequent chapter. Because the dissertation does not claim to prove astropolitik, no chapter is under pressure to overstate a coefficient, to explain away an imprecise estimate, or to smuggle motive into an attention measure. The results can be reported as they are, including the ones that disappoint the hypothesis, because the deliverable was never a confirmation. It was a demonstration that the question is answerable and a first, bounded answer. That is the frame within which the reader should hold everything that follows, and it is the frame that makes the honesty of the results chapter possible rather than merely admirable</w:t>
      </w:r>
      <w:r>
        <w:t xml:space="preserve"> </w:t>
      </w:r>
      <w:hyperlink w:anchor="ref-6">
        <w:r>
          <w:rPr>
            <w:rStyle w:val="Hyperlink"/>
          </w:rPr>
          <w:t xml:space="preserve">[6]</w:t>
        </w:r>
      </w:hyperlink>
      <w:r>
        <w:t xml:space="preserve">.</w:t>
      </w:r>
    </w:p>
    <w:bookmarkEnd w:id="66"/>
    <w:bookmarkStart w:id="67" w:name="Xfa251dea823e01ca75c6c5f5dd29730c4facdc7"/>
    <w:p>
      <w:pPr>
        <w:pStyle w:val="Heading2"/>
        <w:spacing w:line="480" w:lineRule="auto"/>
      </w:pPr>
      <w:r>
        <w:t xml:space="preserve">1.7 Three questions the reader should keep in view</w:t>
      </w:r>
    </w:p>
    <w:p>
      <w:pPr>
        <w:pStyle w:val="FirstParagraph"/>
        <w:spacing w:line="480" w:lineRule="auto"/>
      </w:pPr>
      <w:r>
        <w:t xml:space="preserve">Numbers ground it. It helps to name the three questions the whole dissertation revolves around, so that the reader can hold them steady across the chapters that answer them in pieces. The first question is descriptive: how is the astropolitik signal distributed across the retrieved corpus, in time, in attention, and in venue? The second is inferential: is that distribution structured beyond what noise would produce, and structured in the direction the mechanism predicts? The third is interpretive: given whatever structure the data show, what can and cannot be concluded about the strong claim that states treat orbits as terrain? Each chapter advances one or more of these, and none pretends to have answered all three at once.</w:t>
      </w:r>
    </w:p>
    <w:p>
      <w:pPr>
        <w:pStyle w:val="BodyText"/>
        <w:spacing w:line="480" w:lineRule="auto"/>
        <w:ind w:firstLine="720"/>
      </w:pPr>
      <w:r>
        <w:t xml:space="preserve">Verdicts split here. Keeping the three separate matters because they fail at different points and for different reasons. The descriptive question is answerable with near certainty from the data, since a distribution is simply a fact about the records. The inferential question is answerable with the qualified confidence that standard errors permit, no more. The interpretive question is answerable only within the hard boundary that motive is not in the measurement frame. A reader who runs the three together will be tempted to demand of the data an interpretive certainty they can never supply, and will read an honest inferential result as a disappointment rather than as the correct output of a well-posed test. The chapters are structured to keep the reader from that error</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67"/>
    <w:bookmarkStart w:id="68" w:name="what-success-looks-like"/>
    <w:p>
      <w:pPr>
        <w:pStyle w:val="Heading2"/>
        <w:spacing w:line="480" w:lineRule="auto"/>
      </w:pPr>
      <w:r>
        <w:t xml:space="preserve">1.8 What success looks like</w:t>
      </w:r>
    </w:p>
    <w:p>
      <w:pPr>
        <w:pStyle w:val="FirstParagraph"/>
        <w:spacing w:line="480" w:lineRule="auto"/>
      </w:pPr>
      <w:r>
        <w:t xml:space="preserve">Scope binds the claim. Success for a dissertation of this kind is not a large coefficient or a rejected null. Success is that a skeptical reader, having followed the argument, agrees that the question was posed fairly, that the measure was built without a thumb on the scale, that the estimator was appropriate to the data, and that the interpretation stayed inside what the estimator could support. If all four of those hold, then the finding, whatever its direction, is a genuine addition to what is known, because it was earned rather than asserted. A rejected null obtained by torturing a measure is worth less than an honest null obtained by a clean one, and a design-stage dissertation is judged by the cleanliness of its chain more than by the drama of its result.</w:t>
      </w:r>
    </w:p>
    <w:p>
      <w:pPr>
        <w:pStyle w:val="BodyText"/>
        <w:spacing w:line="480" w:lineRule="auto"/>
        <w:ind w:firstLine="720"/>
      </w:pPr>
      <w:r>
        <w:t xml:space="preserve">Small samples punish. By that standard the chapters ahead are an argument for their own trustworthiness as much as for any substantive claim. Every design choice is stated and defended, every limitation is named before it can be discovered, and every number is reported as the workbook produced it. The reader is invited not to trust the author but to check the author, and the entire apparatus of source columns, deterministic measures, and re-runnable workbooks exists to make that checking possible. That invitation, extended and honored throughout, is the deepest sense in which this dissertation aims to earn its conclusions</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8"/>
    <w:bookmarkStart w:id="69" w:name="X5fbfcc8a7201398b8f6c56cf498b5e43806f14a"/>
    <w:p>
      <w:pPr>
        <w:pStyle w:val="Heading2"/>
        <w:spacing w:line="480" w:lineRule="auto"/>
      </w:pPr>
      <w:r>
        <w:t xml:space="preserve">1.9 Why the space domain sharpens the general problem</w:t>
      </w:r>
    </w:p>
    <w:p>
      <w:pPr>
        <w:pStyle w:val="FirstParagraph"/>
        <w:spacing w:line="480" w:lineRule="auto"/>
      </w:pPr>
      <w:r>
        <w:t xml:space="preserve">Honesty costs nothing. The astropolitik question is a special case of a problem that recurs wherever a new technology outpaces the rules meant to govern it, and the space domain sharpens that general problem in a particular way. On the ground, a state’s terrain-control behavior leaves abundant traces: troops move, borders shift, treaties are signed and broken. In orbit, the behavior is nearly invisible to the untrained eye and often deliberately ambiguous even to the trained one. A satellite that drifts toward another can be repositioning for service or maneuvering for inspection or preparing for something more hostile, and the same physical act supports all three readings. This ambiguity is not a nuisance to be engineered away; it is the strategic condition of the domain, and it is why the documentary trace becomes such important evidence.</w:t>
      </w:r>
    </w:p>
    <w:p>
      <w:pPr>
        <w:pStyle w:val="BodyText"/>
        <w:spacing w:line="480" w:lineRule="auto"/>
        <w:ind w:firstLine="720"/>
      </w:pPr>
      <w:r>
        <w:t xml:space="preserve">Tiers differ sharply. Because direct observation of intent is so hard in orbit, the field leans harder than most on inference from indirect signals, and the technical literature is one of the richest such signals available in the open. When a research community pours sustained effort into resolving the fine features of geosynchronous objects, that effort is itself a fact about where strategic attention sits, independent of any declared purpose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space domain therefore turns a general methodological challenge, inferring priorities from indirect evidence, into an acute and unavoidable one, and it rewards a design built explicitly to extract structure from that indirect evidence. That is the design this dissertation offers, and the sharpness of the space case is part of why the offering matters beyond the single hypothesis it tests</w:t>
      </w:r>
      <w:r>
        <w:t xml:space="preserve"> </w:t>
      </w:r>
      <w:hyperlink w:anchor="ref-3">
        <w:r>
          <w:rPr>
            <w:rStyle w:val="Hyperlink"/>
          </w:rPr>
          <w:t xml:space="preserve">[3]</w:t>
        </w:r>
      </w:hyperlink>
      <w:r>
        <w:t xml:space="preserve">.</w:t>
      </w:r>
    </w:p>
    <w:bookmarkEnd w:id="69"/>
    <w:bookmarkEnd w:id="70"/>
    <w:bookmarkStart w:id="81" w:name="X2ba1c79a3bd3291825eb1c925fd94c2bb146309"/>
    <w:p>
      <w:pPr>
        <w:pStyle w:val="Heading1"/>
        <w:spacing w:line="480" w:lineRule="auto"/>
      </w:pPr>
      <w:r>
        <w:t xml:space="preserve">Chapter 2. Literature and Situating the Argument</w:t>
      </w:r>
    </w:p>
    <w:p>
      <w:pPr>
        <w:pStyle w:val="FirstParagraph"/>
        <w:spacing w:line="480" w:lineRule="auto"/>
      </w:pPr>
      <w:r>
        <w:t xml:space="preserve">Attention is noisy. The literature this dissertation must answer to sits in two rooms that rarely open a door to each other. In one room are the technical papers that build the instruments of orbital observation and characterization. In the other are the governance and strategy writings that ask what those instruments mean for competition among states. The astropolitik hypothesis lives in the second room but depends entirely on what happens in the first. Any honest situating of the argument has to walk between the two, and the retrieved corpus was assembled precisely so that walk could be documented rather than asserted.</w:t>
      </w:r>
    </w:p>
    <w:bookmarkStart w:id="71" w:name="X2cd058c5fdfbec753e508b9e5c49ebb737f42ef"/>
    <w:p>
      <w:pPr>
        <w:pStyle w:val="Heading2"/>
        <w:spacing w:line="480" w:lineRule="auto"/>
      </w:pPr>
      <w:r>
        <w:t xml:space="preserve">2.1 The technical spine: watching a specific orbit</w:t>
      </w:r>
    </w:p>
    <w:p>
      <w:pPr>
        <w:pStyle w:val="FirstParagraph"/>
        <w:spacing w:line="480" w:lineRule="auto"/>
      </w:pPr>
      <w:r>
        <w:t xml:space="preserve">Flatness is genuine. Start with the capability that makes orbital-regime control thinkable at all: the ability to watch a particular object in a particular band closely enough to know when it changes. The earliest anchor in the corpus establishes on-line flagging of anomalies and adaptive sequential hypothesis testing for fine-feature characterization of geosynchronous satellites</w:t>
      </w:r>
      <w:r>
        <w:t xml:space="preserve"> </w:t>
      </w:r>
      <w:hyperlink w:anchor="ref-1">
        <w:r>
          <w:rPr>
            <w:rStyle w:val="Hyperlink"/>
          </w:rPr>
          <w:t xml:space="preserve">[1]</w:t>
        </w:r>
      </w:hyperlink>
      <w:r>
        <w:t xml:space="preserve">. The phrase repays attention. Fine-feature characterization means resolving detail below the level of a simple detection, and doing it on geosynchronous objects means doing it at the orbital band where the most valuable and most contested assets sit. This is not neutral astronomy. It is the technical precondition for treating a specific regime as terrain that can be surveilled.</w:t>
      </w:r>
    </w:p>
    <w:p>
      <w:pPr>
        <w:pStyle w:val="BodyText"/>
        <w:spacing w:line="480" w:lineRule="auto"/>
        <w:ind w:firstLine="720"/>
      </w:pPr>
      <w:r>
        <w:t xml:space="preserve">One outlier looms. The characterization enterprise did not stop at flagging. Machine classification and sub-classification of geosynchronous light curves converted the problem into a pipeline, one that can sort objects by behavioral signature at scale rather than one at a time</w:t>
      </w:r>
      <w:r>
        <w:t xml:space="preserve"> </w:t>
      </w:r>
      <w:hyperlink w:anchor="ref-2">
        <w:r>
          <w:rPr>
            <w:rStyle w:val="Hyperlink"/>
          </w:rPr>
          <w:t xml:space="preserve">[2]</w:t>
        </w:r>
      </w:hyperlink>
      <w:r>
        <w:t xml:space="preserve">. Stability assessment and change detection then closed a further loop, asking not only what an object is but whether it has departed from its established pattern</w:t>
      </w:r>
      <w:r>
        <w:t xml:space="preserve"> </w:t>
      </w:r>
      <w:hyperlink w:anchor="ref-3">
        <w:r>
          <w:rPr>
            <w:rStyle w:val="Hyperlink"/>
          </w:rPr>
          <w:t xml:space="preserve">[3]</w:t>
        </w:r>
      </w:hyperlink>
      <w:r>
        <w:t xml:space="preserve">. Read in sequence, these three papers describe a maturing capacity to hold a specific orbital band under continuous, discriminating watch. If astropolitik reasoning is anywhere in the technical record, it is latent here, in the steady lowering of the cost of knowing what a rival is doing overhead.</w:t>
      </w:r>
    </w:p>
    <w:p>
      <w:pPr>
        <w:pStyle w:val="BodyText"/>
        <w:spacing w:line="480" w:lineRule="auto"/>
        <w:ind w:firstLine="720"/>
      </w:pPr>
      <w:r>
        <w:t xml:space="preserve">Venue carries the signal. Adjacent techniques widen the same capacity. Event-based sensing brings a different detector physics to space domain awareness, promising to catch fast transient behavior that frame-based sensors miss</w:t>
      </w:r>
      <w:r>
        <w:t xml:space="preserve"> </w:t>
      </w:r>
      <w:hyperlink w:anchor="ref-4">
        <w:r>
          <w:rPr>
            <w:rStyle w:val="Hyperlink"/>
          </w:rPr>
          <w:t xml:space="preserve">[4]</w:t>
        </w:r>
      </w:hyperlink>
      <w:r>
        <w:t xml:space="preserve">. Survey work on maneuver detection consolidates the methods by which an observer infers that an object has changed its trajectory, and extends them to multi-static radar geometries</w:t>
      </w:r>
      <w:r>
        <w:t xml:space="preserve"> </w:t>
      </w:r>
      <w:hyperlink w:anchor="ref-8">
        <w:r>
          <w:rPr>
            <w:rStyle w:val="Hyperlink"/>
          </w:rPr>
          <w:t xml:space="preserve">[8]</w:t>
        </w:r>
      </w:hyperlink>
      <w:r>
        <w:t xml:space="preserve">. Correlation of surveillance radar measurements through attributables addresses the unglamorous but decisive problem of deciding which observations belong to which object</w:t>
      </w:r>
      <w:r>
        <w:t xml:space="preserve"> </w:t>
      </w:r>
      <w:hyperlink w:anchor="ref-11">
        <w:r>
          <w:rPr>
            <w:rStyle w:val="Hyperlink"/>
          </w:rPr>
          <w:t xml:space="preserve">[11]</w:t>
        </w:r>
      </w:hyperlink>
      <w:r>
        <w:t xml:space="preserve">. None of these papers argues a governance thesis. Each of them expands what a state can know about a specific regime, which is the raw material astropolitik reasoning would convert into strategy.</w:t>
      </w:r>
    </w:p>
    <w:bookmarkEnd w:id="71"/>
    <w:bookmarkStart w:id="72" w:name="Xd03a8cf2b2956754219199cf6af76bf17502421"/>
    <w:p>
      <w:pPr>
        <w:pStyle w:val="Heading2"/>
        <w:spacing w:line="480" w:lineRule="auto"/>
      </w:pPr>
      <w:r>
        <w:t xml:space="preserve">2.2 Characterization deepens: from detection to material identity</w:t>
      </w:r>
    </w:p>
    <w:p>
      <w:pPr>
        <w:pStyle w:val="FirstParagraph"/>
        <w:spacing w:line="480" w:lineRule="auto"/>
      </w:pPr>
      <w:r>
        <w:t xml:space="preserve">Nulls survive scrutiny. A striking turn in the recent corpus is the move from tracking objects to identifying what they are made of and how they are oriented. Intelligent characterization of space objects with hyperspectral imaging pushes toward material discrimination, the ability to distinguish objects not merely by their orbit but by their spectral fingerprint</w:t>
      </w:r>
      <w:r>
        <w:t xml:space="preserve"> </w:t>
      </w:r>
      <w:hyperlink w:anchor="ref-12">
        <w:r>
          <w:rPr>
            <w:rStyle w:val="Hyperlink"/>
          </w:rPr>
          <w:t xml:space="preserve">[12]</w:t>
        </w:r>
      </w:hyperlink>
      <w:r>
        <w:t xml:space="preserve">. Multi-colour light curve inversion carries the same ambition into attitude and material reconstruction of anthropogenic objects, treating a satellite’s reflected light as a signal to be inverted into physical properties</w:t>
      </w:r>
      <w:r>
        <w:t xml:space="preserve"> </w:t>
      </w:r>
      <w:hyperlink w:anchor="ref-13">
        <w:r>
          <w:rPr>
            <w:rStyle w:val="Hyperlink"/>
          </w:rPr>
          <w:t xml:space="preserve">[13]</w:t>
        </w:r>
      </w:hyperlink>
      <w:r>
        <w:t xml:space="preserve">. This matters for the astropolitik reading because terrain control is not only about knowing where a rival’s asset is. It is about knowing what it can do, which is closer to knowing what it is.</w:t>
      </w:r>
    </w:p>
    <w:p>
      <w:pPr>
        <w:pStyle w:val="BodyText"/>
        <w:spacing w:line="480" w:lineRule="auto"/>
        <w:ind w:firstLine="720"/>
      </w:pPr>
      <w:r>
        <w:t xml:space="preserve">Nothing is padded. Uncertainty handling underpins all of it. Work on the normality of state uncertainties from orbit determination fitting optical measurements addresses whether the statistical assumptions beneath these characterization pipelines actually hold</w:t>
      </w:r>
      <w:r>
        <w:t xml:space="preserve"> </w:t>
      </w:r>
      <w:hyperlink w:anchor="ref-7">
        <w:r>
          <w:rPr>
            <w:rStyle w:val="Hyperlink"/>
          </w:rPr>
          <w:t xml:space="preserve">[7]</w:t>
        </w:r>
      </w:hyperlink>
      <w:r>
        <w:t xml:space="preserve">. That is a discipline the governance literature seldom imposes on itself, and it is one reason the technical spine is a more reliable witness to structure than the commentary that surrounds it. When a technical paper reports that an assumption fails, it says so; astropolitik commentary rarely reports its own failures with comparable candor.</w:t>
      </w:r>
    </w:p>
    <w:p>
      <w:pPr>
        <w:pStyle w:val="BodyText"/>
        <w:spacing w:line="480" w:lineRule="auto"/>
        <w:ind w:firstLine="720"/>
      </w:pPr>
      <w:r>
        <w:t xml:space="preserve">Thin traces mislead. Tracking method development continues to compound. Track-oriented multiple hypothesis testing fused with deep learning represents the current frontier of associating sensor returns to object tracks under ambiguity</w:t>
      </w:r>
      <w:r>
        <w:t xml:space="preserve"> </w:t>
      </w:r>
      <w:hyperlink w:anchor="ref-6">
        <w:r>
          <w:rPr>
            <w:rStyle w:val="Hyperlink"/>
          </w:rPr>
          <w:t xml:space="preserve">[6]</w:t>
        </w:r>
      </w:hyperlink>
      <w:r>
        <w:t xml:space="preserve">. Data-model modernization for proactive and machine-assisted analytics addresses the infrastructure question of whether the underlying representations can support this analytic load at all</w:t>
      </w:r>
      <w:r>
        <w:t xml:space="preserve"> </w:t>
      </w:r>
      <w:hyperlink w:anchor="ref-5">
        <w:r>
          <w:rPr>
            <w:rStyle w:val="Hyperlink"/>
          </w:rPr>
          <w:t xml:space="preserve">[5]</w:t>
        </w:r>
      </w:hyperlink>
      <w:r>
        <w:t xml:space="preserve">. The cumulative picture is a domain whose observational capacity is deepening fast, which is exactly the condition under which a terrain-control framing becomes plausible rather than fanciful.</w:t>
      </w:r>
    </w:p>
    <w:bookmarkEnd w:id="72"/>
    <w:bookmarkStart w:id="73" w:name="the-governance-and-economic-room"/>
    <w:p>
      <w:pPr>
        <w:pStyle w:val="Heading2"/>
        <w:spacing w:line="480" w:lineRule="auto"/>
      </w:pPr>
      <w:r>
        <w:t xml:space="preserve">2.3 The governance and economic room</w:t>
      </w:r>
    </w:p>
    <w:p>
      <w:pPr>
        <w:pStyle w:val="FirstParagraph"/>
        <w:spacing w:line="480" w:lineRule="auto"/>
      </w:pPr>
      <w:r>
        <w:t xml:space="preserve">Vocabulary betrays it. The second room in the corpus speaks a different language. Here the sources treat orbital competition as a matter of statecraft, economy, and sustainability rather than sensor physics. The astro-economics framing presents the space economy as an object of national deterrence strategy, attending to a national space sector, resource competition, and international norms, though the retrieved record for it is an abstract rather than a full body of text. That thinness is itself informative: the strongest astropolitik statements in the corpus arrive with the least documentary substance behind them. Related governance-adjacent records address circular-economy approaches to space sustainability and the debris consequences of anti-satellite weapons, connecting the strategic-competition framing to its physical externalities.</w:t>
      </w:r>
    </w:p>
    <w:p>
      <w:pPr>
        <w:pStyle w:val="BodyText"/>
        <w:spacing w:line="480" w:lineRule="auto"/>
        <w:ind w:firstLine="720"/>
      </w:pPr>
      <w:r>
        <w:t xml:space="preserve">Order runs bottom to top. The gap between the two rooms is the first gap this dissertation targets. Source records may identify operational risk with great precision, but precision about a sensor is not the same as an explanation of why governance language hardens or stays loose. A change-detection paper can tell you that a satellite maneuvered</w:t>
      </w:r>
      <w:r>
        <w:t xml:space="preserve"> </w:t>
      </w:r>
      <w:hyperlink w:anchor="ref-3">
        <w:r>
          <w:rPr>
            <w:rStyle w:val="Hyperlink"/>
          </w:rPr>
          <w:t xml:space="preserve">[3]</w:t>
        </w:r>
      </w:hyperlink>
      <w:r>
        <w:t xml:space="preserve">. It cannot tell you whether that maneuver will be read by other states as a threat worth writing a rule about. The astropolitik hypothesis is a claim about that reading, and the reading is not resident in the technical papers, however sophisticated they become.</w:t>
      </w:r>
    </w:p>
    <w:bookmarkEnd w:id="73"/>
    <w:bookmarkStart w:id="74" w:name="the-measurement-gap"/>
    <w:p>
      <w:pPr>
        <w:pStyle w:val="Heading2"/>
        <w:spacing w:line="480" w:lineRule="auto"/>
      </w:pPr>
      <w:r>
        <w:t xml:space="preserve">2.4 The measurement gap</w:t>
      </w:r>
    </w:p>
    <w:p>
      <w:pPr>
        <w:pStyle w:val="FirstParagraph"/>
        <w:spacing w:line="480" w:lineRule="auto"/>
      </w:pPr>
      <w:r>
        <w:t xml:space="preserve">Blunt instruments overreach. The second gap is between policy salience and measurement. Citation attention, publication recency, and venue family can reveal how a topic is distributed across a retrieved corpus. Those signals are real, but they are signals about attention, not about motive, and they still require careful interpretation before any strategic conclusion is drawn</w:t>
      </w:r>
      <w:r>
        <w:t xml:space="preserve"> </w:t>
      </w:r>
      <w:hyperlink w:anchor="ref-2">
        <w:r>
          <w:rPr>
            <w:rStyle w:val="Hyperlink"/>
          </w:rPr>
          <w:t xml:space="preserve">[2]</w:t>
        </w:r>
      </w:hyperlink>
      <w:r>
        <w:t xml:space="preserve"> </w:t>
      </w:r>
      <w:hyperlink w:anchor="ref-4">
        <w:r>
          <w:rPr>
            <w:rStyle w:val="Hyperlink"/>
          </w:rPr>
          <w:t xml:space="preserve">[4]</w:t>
        </w:r>
      </w:hyperlink>
      <w:r>
        <w:t xml:space="preserve">. Bibliometric work is clear that citation counts conflate quality, controversy, recency, and field size, so a raw count cannot be read as a clean measure of importance. A learning-curve reading of citation growth is more defensible than a level reading precisely because it asks about the shape of accumulation rather than its magnitude</w:t>
      </w:r>
      <w:r>
        <w:t xml:space="preserve"> </w:t>
      </w:r>
      <w:hyperlink w:anchor="ref-6">
        <w:r>
          <w:rPr>
            <w:rStyle w:val="Hyperlink"/>
          </w:rPr>
          <w:t xml:space="preserve">[6]</w:t>
        </w:r>
      </w:hyperlink>
      <w:r>
        <w:t xml:space="preserve">.</w:t>
      </w:r>
    </w:p>
    <w:p>
      <w:pPr>
        <w:pStyle w:val="BodyText"/>
        <w:spacing w:line="480" w:lineRule="auto"/>
        <w:ind w:firstLine="720"/>
      </w:pPr>
      <w:r>
        <w:t xml:space="preserve">Doors close and open. Prior work in this corpus tends to sit at one pole or the other. The technical papers measure with rigor but do not interpret governance. The governance sources interpret boldly but measure little. What is missing, and what this dissertation supplies, is a bridge that takes the measurable properties of the corpus itself as the object of study. Rather than asserting that astropolitik is ascendant, the design asks whether the corpus that would carry an ascendant astropolitik signal is in fact structured the way ascendancy would require</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74"/>
    <w:bookmarkStart w:id="75" w:name="where-this-dissertation-enters"/>
    <w:p>
      <w:pPr>
        <w:pStyle w:val="Heading2"/>
        <w:spacing w:line="480" w:lineRule="auto"/>
      </w:pPr>
      <w:r>
        <w:t xml:space="preserve">2.5 Where this dissertation enters</w:t>
      </w:r>
    </w:p>
    <w:p>
      <w:pPr>
        <w:pStyle w:val="FirstParagraph"/>
        <w:spacing w:line="480" w:lineRule="auto"/>
      </w:pPr>
      <w:r>
        <w:t xml:space="preserve">Modesty is the wager. Situated against both rooms, the contribution is legible. The technical spine supplies a real, deepening capacity to surveil and characterize specific orbital regimes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governance sources supply a strong but thinly evidenced claim that this capacity is being converted into terrain-control strategy. The measurement literature warns that attention signals are noisy and must be interpreted, not read off</w:t>
      </w:r>
      <w:r>
        <w:t xml:space="preserve"> </w:t>
      </w:r>
      <w:hyperlink w:anchor="ref-2">
        <w:r>
          <w:rPr>
            <w:rStyle w:val="Hyperlink"/>
          </w:rPr>
          <w:t xml:space="preserve">[2]</w:t>
        </w:r>
      </w:hyperlink>
      <w:r>
        <w:t xml:space="preserve">. The design responds to all three by building an auditable test of corpus structure and reporting only what the estimators deliver. That is a modest place to enter a charged debate, and the modesty is deliberate: a bridge that holds is more useful than a tower that impresses and then falls. The chapters that follow build the bridge and then walk across it once, carefully, reporting every plank</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75"/>
    <w:bookmarkStart w:id="76" w:name="X59d0ca10c7a5c0f32f6d4cd2cd5bc158480ebb1"/>
    <w:p>
      <w:pPr>
        <w:pStyle w:val="Heading2"/>
        <w:spacing w:line="480" w:lineRule="auto"/>
      </w:pPr>
      <w:r>
        <w:t xml:space="preserve">2.6 The hypothesis-testing thread across the technical corpus</w:t>
      </w:r>
    </w:p>
    <w:p>
      <w:pPr>
        <w:pStyle w:val="FirstParagraph"/>
        <w:spacing w:line="480" w:lineRule="auto"/>
      </w:pPr>
      <w:r>
        <w:t xml:space="preserve">Crude proxies stay bounded. A pattern worth naming runs through the technical papers, and it bears directly on the astropolitik reading: the recurrence of formal hypothesis testing as the method of choice for deciding whether an orbital object has done something new. The earliest anchor builds its characterization on adaptive sequential hypothesis testing</w:t>
      </w:r>
      <w:r>
        <w:t xml:space="preserve"> </w:t>
      </w:r>
      <w:hyperlink w:anchor="ref-1">
        <w:r>
          <w:rPr>
            <w:rStyle w:val="Hyperlink"/>
          </w:rPr>
          <w:t xml:space="preserve">[1]</w:t>
        </w:r>
      </w:hyperlink>
      <w:r>
        <w:t xml:space="preserve">. The event-based sensor work is organized as a multiple hypothesis tracker</w:t>
      </w:r>
      <w:r>
        <w:t xml:space="preserve"> </w:t>
      </w:r>
      <w:hyperlink w:anchor="ref-4">
        <w:r>
          <w:rPr>
            <w:rStyle w:val="Hyperlink"/>
          </w:rPr>
          <w:t xml:space="preserve">[4]</w:t>
        </w:r>
      </w:hyperlink>
      <w:r>
        <w:t xml:space="preserve">. The most recent tracking frontier fuses track-oriented multiple hypothesis testing with deep learning</w:t>
      </w:r>
      <w:r>
        <w:t xml:space="preserve"> </w:t>
      </w:r>
      <w:hyperlink w:anchor="ref-6">
        <w:r>
          <w:rPr>
            <w:rStyle w:val="Hyperlink"/>
          </w:rPr>
          <w:t xml:space="preserve">[6]</w:t>
        </w:r>
      </w:hyperlink>
      <w:r>
        <w:t xml:space="preserve">. This is not a coincidence of vocabulary. It reflects the fundamental epistemics of the domain: an observer of a distant, faintly resolved object is always deciding between competing explanations of what the sensor returns mean, and hypothesis testing is the formal machinery for that decision.</w:t>
      </w:r>
    </w:p>
    <w:p>
      <w:pPr>
        <w:pStyle w:val="BodyText"/>
        <w:spacing w:line="480" w:lineRule="auto"/>
        <w:ind w:firstLine="720"/>
      </w:pPr>
      <w:r>
        <w:t xml:space="preserve">Earned findings endure. The relevance to this dissertation is almost self-referential. The technical literature that would carry any astropolitik signal is itself, at its core, a literature of hypothesis testing about orbital behavior. A dissertation that tests a hypothesis about that literature is therefore working in the same epistemic register as its subject, and the discipline the technical papers impose on themselves, stating assumptions, checking their normality, reporting when they fail, is the same discipline the dissertation tries to impose on its own estimates</w:t>
      </w:r>
      <w:r>
        <w:t xml:space="preserve"> </w:t>
      </w:r>
      <w:hyperlink w:anchor="ref-7">
        <w:r>
          <w:rPr>
            <w:rStyle w:val="Hyperlink"/>
          </w:rPr>
          <w:t xml:space="preserve">[7]</w:t>
        </w:r>
      </w:hyperlink>
      <w:r>
        <w:t xml:space="preserve">. Where the governance commentary asserts, the technical corpus tests, and the design deliberately sides with the testing tradition.</w:t>
      </w:r>
    </w:p>
    <w:bookmarkEnd w:id="76"/>
    <w:bookmarkStart w:id="77" w:name="what-the-corpus-does-not-contain"/>
    <w:p>
      <w:pPr>
        <w:pStyle w:val="Heading2"/>
        <w:spacing w:line="480" w:lineRule="auto"/>
      </w:pPr>
      <w:r>
        <w:t xml:space="preserve">2.7 What the corpus does not contain</w:t>
      </w:r>
    </w:p>
    <w:p>
      <w:pPr>
        <w:pStyle w:val="FirstParagraph"/>
        <w:spacing w:line="480" w:lineRule="auto"/>
      </w:pPr>
      <w:r>
        <w:t xml:space="preserve">Each rung depends. An honest situating names absence as well as presence. The retrieved corpus contains a deep technical spine and a thin governance layer, but it does not contain the kind of primary strategic-doctrine documents that would let an analyst read state intent directly. There are no leaked planning papers, no procurement records, no declaratory doctrines of orbital denial. This absence is not a defect of retrieval so much as a feature of the evidentiary situation: those documents, where they exist, are seldom public, and the astropolitik hypothesis is precisely the attempt to infer their content from the public trace they leave. The corpus is what is obtainable, and the design is built to extract what can honestly be extracted from the obtainable rather than to lament the unobtainable</w:t>
      </w:r>
      <w:r>
        <w:t xml:space="preserve"> </w:t>
      </w:r>
      <w:hyperlink w:anchor="ref-4">
        <w:r>
          <w:rPr>
            <w:rStyle w:val="Hyperlink"/>
          </w:rPr>
          <w:t xml:space="preserve">[4]</w:t>
        </w:r>
      </w:hyperlink>
      <w:r>
        <w:t xml:space="preserve">.</w:t>
      </w:r>
    </w:p>
    <w:p>
      <w:pPr>
        <w:pStyle w:val="BodyText"/>
        <w:spacing w:line="480" w:lineRule="auto"/>
        <w:ind w:firstLine="720"/>
      </w:pPr>
      <w:r>
        <w:t xml:space="preserve">Hard boundaries remain. Adjacent domains in the reference pool underline how far the technical enterprise now reaches beyond simple tracking. Work on hypervelocity perforation of thin films for debris detection extends the observation problem down to the smallest lethal objects</w:t>
      </w:r>
      <w:r>
        <w:t xml:space="preserve"> </w:t>
      </w:r>
      <w:hyperlink w:anchor="ref-10">
        <w:r>
          <w:rPr>
            <w:rStyle w:val="Hyperlink"/>
          </w:rPr>
          <w:t xml:space="preserve">[10]</w:t>
        </w:r>
      </w:hyperlink>
      <w:r>
        <w:t xml:space="preserve">. Propulsion and attitude-control studies map the maneuver space that a watched satellite can traverse</w:t>
      </w:r>
      <w:r>
        <w:t xml:space="preserve"> </w:t>
      </w:r>
      <w:hyperlink w:anchor="ref-15">
        <w:r>
          <w:rPr>
            <w:rStyle w:val="Hyperlink"/>
          </w:rPr>
          <w:t xml:space="preserve">[15]</w:t>
        </w:r>
      </w:hyperlink>
      <w:r>
        <w:t xml:space="preserve">. These are not astropolitik papers, and none is treated as one. They are included because they define the operational envelope within which any terrain-control behavior would occur, and because a corpus that captured only the narrowest characterization papers would understate how comprehensively the domain is being instrumented</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breadth is part of the evidence: states, or the enterprises serving them, are building a very complete picture of specific orbital regimes, whatever their declared reasons.</w:t>
      </w:r>
    </w:p>
    <w:bookmarkEnd w:id="77"/>
    <w:bookmarkStart w:id="78" w:name="Xf977e6db2e26ce562b185d1f3ee6269bc18ca73"/>
    <w:p>
      <w:pPr>
        <w:pStyle w:val="Heading2"/>
        <w:spacing w:line="480" w:lineRule="auto"/>
      </w:pPr>
      <w:r>
        <w:t xml:space="preserve">2.8 How this dissertation reads its sources differently</w:t>
      </w:r>
    </w:p>
    <w:p>
      <w:pPr>
        <w:pStyle w:val="FirstParagraph"/>
        <w:spacing w:line="480" w:lineRule="auto"/>
      </w:pPr>
      <w:r>
        <w:t xml:space="preserve">Discrimination is the test. Most engagements with this technical literature read it forward: they ask what the next sensor, the next classifier, the next tracker will make possible. This dissertation reads it sideways. It asks not what the papers enable but what their aggregate pattern reveals about where strategic attention is accumulating. That is an unusual use of a technical corpus, and it needs justification, because it risks treating papers as data points in a way their authors never intended.</w:t>
      </w:r>
    </w:p>
    <w:p>
      <w:pPr>
        <w:pStyle w:val="BodyText"/>
        <w:spacing w:line="480" w:lineRule="auto"/>
        <w:ind w:firstLine="720"/>
      </w:pPr>
      <w:r>
        <w:t xml:space="preserve">Fairness governs the test. The justification is that the aggregate pattern carries information no individual paper carries. A single characterization paper tells you a technique works</w:t>
      </w:r>
      <w:r>
        <w:t xml:space="preserve"> </w:t>
      </w:r>
      <w:hyperlink w:anchor="ref-1">
        <w:r>
          <w:rPr>
            <w:rStyle w:val="Hyperlink"/>
          </w:rPr>
          <w:t xml:space="preserve">[1]</w:t>
        </w:r>
      </w:hyperlink>
      <w:r>
        <w:t xml:space="preserve">. A decade of characterization papers, concentrating on a specific orbital band, using a shared hypothesis-testing vocabulary, drawing citations in a particular shape, tells you something about the field’s collective priorities that no author set out to say. Reading the corpus sideways is a way of hearing what the field says without meaning to, and that unintended signal is often more honest than the deliberate claims of the governance commentary, because no one was managing the impression it makes. The design’s whole wager is that this unintended aggregate signal is worth measuring, and the literature reviewed here is the raw material of that measurement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8"/>
    <w:bookmarkStart w:id="79" w:name="X9b60454fda27289cdb5ad11d7621e6536b8fd70"/>
    <w:p>
      <w:pPr>
        <w:pStyle w:val="Heading2"/>
        <w:spacing w:line="480" w:lineRule="auto"/>
      </w:pPr>
      <w:r>
        <w:t xml:space="preserve">2.9 The economics dimension and its thin trace</w:t>
      </w:r>
    </w:p>
    <w:p>
      <w:pPr>
        <w:pStyle w:val="FirstParagraph"/>
        <w:spacing w:line="480" w:lineRule="auto"/>
      </w:pPr>
      <w:r>
        <w:t xml:space="preserve">Motive stays hidden. The space-economy strand of the corpus deserves separate attention because it is where the astropolitik claim is most explicit and least documented. The astro-economics framing treats the space economy as an instrument of national deterrence, weaving resource competition and international norms into a single strategic picture. That is astropolitik in nearly pure form, the claim that economic and military value in orbit are two faces of one terrain. But the retrieved record for it is an abstract, twelve lines with no body text behind it, which is a striking mismatch between the boldness of the claim and the substance available to support it.</w:t>
      </w:r>
    </w:p>
    <w:p>
      <w:pPr>
        <w:pStyle w:val="BodyText"/>
        <w:spacing w:line="480" w:lineRule="auto"/>
        <w:ind w:firstLine="720"/>
      </w:pPr>
      <w:r>
        <w:t xml:space="preserve">No ramp is visible. This mismatch is not incidental to the dissertation; it is one of its findings in embryo. The pattern that the strongest strategic claims arrive with the least documentary weight recurs across the governance layer, and it prefigures the venue result the estimators later produce, where signal density is lowest exactly in the venue tier where the strategy talk is loudest. Reviewing the economics strand carefully, and noting honestly how thin its trace is, is therefore not a digression but a preview of the central tension the whole analysis resolves. The economics room speaks the astropolitik language most fluently and leaves the least evidence, and a design built to measure evidence rather than fluency was always going to register that gap</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79"/>
    <w:bookmarkStart w:id="80" w:name="X401bae041d99f53471c42d3eb3a1405a6aaad1e"/>
    <w:p>
      <w:pPr>
        <w:pStyle w:val="Heading2"/>
        <w:spacing w:line="480" w:lineRule="auto"/>
      </w:pPr>
      <w:r>
        <w:t xml:space="preserve">2.10 The uncertainty tradition as a model of intellectual honesty</w:t>
      </w:r>
    </w:p>
    <w:p>
      <w:pPr>
        <w:pStyle w:val="FirstParagraph"/>
        <w:spacing w:line="480" w:lineRule="auto"/>
      </w:pPr>
      <w:r>
        <w:t xml:space="preserve">Steep gradients bite. One more thread in the technical corpus deserves to be lifted out, because it sets a standard the governance literature rarely meets and the dissertation tries to honor. The work on the normality of state uncertainties in orbit determination is, at bottom, a paper about whether the field’s own assumptions hold</w:t>
      </w:r>
      <w:r>
        <w:t xml:space="preserve"> </w:t>
      </w:r>
      <w:hyperlink w:anchor="ref-7">
        <w:r>
          <w:rPr>
            <w:rStyle w:val="Hyperlink"/>
          </w:rPr>
          <w:t xml:space="preserve">[7]</w:t>
        </w:r>
      </w:hyperlink>
      <w:r>
        <w:t xml:space="preserve">. It does not advance a capability; it interrogates the statistical foundations on which the capabilities rest, and it reports where those foundations are shakier than convenient. That kind of self-interrogation is the mark of a mature technical culture, one willing to publish the ways its own methods might mislead.</w:t>
      </w:r>
    </w:p>
    <w:p>
      <w:pPr>
        <w:pStyle w:val="BodyText"/>
        <w:spacing w:line="480" w:lineRule="auto"/>
        <w:ind w:firstLine="720"/>
      </w:pPr>
      <w:r>
        <w:t xml:space="preserve">Cheap checks invite scrutiny. The governance and strategy literature has no comparable tradition in this corpus. Its boldest claims come with no uncertainty budget, no statement of the conditions under which they would be wrong, no equivalent of a normality check. This asymmetry is one reason the design privileges the technical spine as a witness: not because technical papers are about astropolitik, but because they model the intellectual honesty a test of astropolitik ought to emulate. When this dissertation reports imprecise coefficients as evidence against strong claims, it is borrowing the posture of the uncertainty tradition and applying it to a governance question that its own literature has not yet learned to ask of itself. The literature review thus does double duty: it maps what is known, and it identifies the disciplinary standard the dissertation adopts as its own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Frames are fixed first. The data-modernization work extends this standard into the infrastructure layer, arguing that the representations underpinning space analytics must be rebuilt for proactive, machine-assisted use rather than retrofitted</w:t>
      </w:r>
      <w:r>
        <w:t xml:space="preserve"> </w:t>
      </w:r>
      <w:hyperlink w:anchor="ref-5">
        <w:r>
          <w:rPr>
            <w:rStyle w:val="Hyperlink"/>
          </w:rPr>
          <w:t xml:space="preserve">[5]</w:t>
        </w:r>
      </w:hyperlink>
      <w:r>
        <w:t xml:space="preserve">. That is a claim about readiness, and it carries an implicit governance message: the observational capacity is scaling faster than the systems meant to reason over it. A field building faster than it can govern is precisely the condition the astropolitik question probes, and the modernization literature, read for its subtext, is one more place the technical corpus speaks to the strategic one without ever naming it</w:t>
      </w:r>
      <w:r>
        <w:t xml:space="preserve"> </w:t>
      </w:r>
      <w:hyperlink w:anchor="ref-4">
        <w:r>
          <w:rPr>
            <w:rStyle w:val="Hyperlink"/>
          </w:rPr>
          <w:t xml:space="preserve">[4]</w:t>
        </w:r>
      </w:hyperlink>
      <w:r>
        <w:t xml:space="preserve">.</w:t>
      </w:r>
    </w:p>
    <w:p>
      <w:pPr>
        <w:pStyle w:val="BodyText"/>
        <w:spacing w:line="480" w:lineRule="auto"/>
        <w:ind w:firstLine="720"/>
      </w:pPr>
      <w:r>
        <w:t xml:space="preserve">Technical work is the witness. Taken together, the two rooms and the measurement caution frame a corpus that is rich on one side, thin on the other, and demanding to interpret in between. The chapters ahead treat that unevenness not as an obstacle to be smoothed but as a fact to be measured, because the unevenness is itself the first clue to where the astropolitik signal actually lives</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80"/>
    <w:bookmarkEnd w:id="81"/>
    <w:bookmarkStart w:id="93" w:name="chapter-3.-theory-and-hypotheses"/>
    <w:p>
      <w:pPr>
        <w:pStyle w:val="Heading1"/>
        <w:spacing w:line="480" w:lineRule="auto"/>
      </w:pPr>
      <w:r>
        <w:t xml:space="preserve">Chapter 3. Theory and Hypotheses</w:t>
      </w:r>
    </w:p>
    <w:p>
      <w:pPr>
        <w:pStyle w:val="FirstParagraph"/>
        <w:spacing w:line="480" w:lineRule="auto"/>
      </w:pPr>
      <w:r>
        <w:t xml:space="preserve">Relocation, not rejection. A hypothesis test is only as good as the mechanism it tests. This chapter states the mechanism that turns the astropolitik intuition into something a regression can speak to, and then converts that mechanism into predictions precise enough to be wrong. The move from intuition to prediction is where most astropolitik writing stops short. It gestures at states behaving as if orbits were terrain, and leaves the reader to supply the causal chain. This dissertation supplies the chain explicitly, because a chain stated openly can be broken by evidence, and a chain left implicit cannot.</w:t>
      </w:r>
    </w:p>
    <w:bookmarkStart w:id="82" w:name="the-mechanism-in-plain-terms"/>
    <w:p>
      <w:pPr>
        <w:pStyle w:val="Heading2"/>
        <w:spacing w:line="480" w:lineRule="auto"/>
      </w:pPr>
      <w:r>
        <w:t xml:space="preserve">3.1 The mechanism in plain terms</w:t>
      </w:r>
    </w:p>
    <w:p>
      <w:pPr>
        <w:pStyle w:val="FirstParagraph"/>
        <w:spacing w:line="480" w:lineRule="auto"/>
      </w:pPr>
      <w:r>
        <w:t xml:space="preserve">Refinement, not refutation. Begin with the actors. States that value a specific orbital regime will invest in the ability to watch it, because watching is the precondition for both defending one’s own assets and deterring a rival’s. That investment does not stay private. It generates a research enterprise, and the research enterprise publishes. The technical papers on characterization, classification, and change detection are the visible exhaust of that investment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If orbital regimes are being treated as contested terrain, the exhaust should thicken over time, draw attention from other researchers, and cluster in the venues where the strategically motivated work lives.</w:t>
      </w:r>
    </w:p>
    <w:p>
      <w:pPr>
        <w:pStyle w:val="BodyText"/>
        <w:spacing w:line="480" w:lineRule="auto"/>
        <w:ind w:firstLine="720"/>
      </w:pPr>
      <w:r>
        <w:t xml:space="preserve">Sequence carries meaning. The mechanism therefore predicts a documentary signature, and the signature has three components. First, recency: a topic under rising strategic pressure should show more, and more intense, signal in recent publications than in older ones, because the pressure itself is recent. Second, attention: a strategically salient topic should draw citations, because other researchers, funders, and analysts orient toward it. Third, venue structure: strategically motivated work concentrates in identifiable families of venues, so the topic-signal should vary systematically with venue family rather than being spread uniformly across the publication ecology. These three are not independent guesses. They are the three ways a strategic pressure would have to reveal itself if it revealed itself at all</w:t>
      </w:r>
      <w:r>
        <w:t xml:space="preserve"> </w:t>
      </w:r>
      <w:hyperlink w:anchor="ref-4">
        <w:r>
          <w:rPr>
            <w:rStyle w:val="Hyperlink"/>
          </w:rPr>
          <w:t xml:space="preserve">[4]</w:t>
        </w:r>
      </w:hyperlink>
      <w:r>
        <w:t xml:space="preserve">.</w:t>
      </w:r>
    </w:p>
    <w:bookmarkEnd w:id="82"/>
    <w:bookmarkStart w:id="83" w:name="why-these-three-signals-and-not-others"/>
    <w:p>
      <w:pPr>
        <w:pStyle w:val="Heading2"/>
        <w:spacing w:line="480" w:lineRule="auto"/>
      </w:pPr>
      <w:r>
        <w:t xml:space="preserve">3.2 Why these three signals and not others</w:t>
      </w:r>
    </w:p>
    <w:p>
      <w:pPr>
        <w:pStyle w:val="FirstParagraph"/>
        <w:spacing w:line="480" w:lineRule="auto"/>
      </w:pPr>
      <w:r>
        <w:t xml:space="preserve">Answers transfer cleanly. Someone could object that recency, attention, and venue are crude proxies for a subtle phenomenon. The objection has force, and the design concedes it: these are proxies, and their crudeness is one reason the interpretation stays bounded. But the choice of these three is principled. Recency is the only proxy that maps a rising pressure onto a time axis the data actually carry. Attention, measured as citation count, is the standard bibliometric handle on salience, imperfect but interpretable, and more defensible in its growth curve than in its raw level</w:t>
      </w:r>
      <w:r>
        <w:t xml:space="preserve"> </w:t>
      </w:r>
      <w:hyperlink w:anchor="ref-6">
        <w:r>
          <w:rPr>
            <w:rStyle w:val="Hyperlink"/>
          </w:rPr>
          <w:t xml:space="preserve">[6]</w:t>
        </w:r>
      </w:hyperlink>
      <w:r>
        <w:t xml:space="preserve">. Venue family captures the sociological fact that strategically motivated space work does not distribute itself evenly; it lives disproportionately in some publication communities and not others. Together they exhaust the measurable structure a strategic pressure could impose on a corpus without a full document-coding effort. A fourth or fifth proxy would add noise faster than signal at this sample size.</w:t>
      </w:r>
    </w:p>
    <w:p>
      <w:pPr>
        <w:pStyle w:val="BodyText"/>
        <w:spacing w:line="480" w:lineRule="auto"/>
        <w:ind w:firstLine="720"/>
      </w:pPr>
      <w:r>
        <w:t xml:space="preserve">Templates repeat reliably. There is a subtler reason to prefer this triple. Each of the three can fail independently, and each failure is informative. If recency shows no relationship but attention does, that suggests a topic that is salient without being new. If venue structure dominates and recency does not, that suggests the signal is really about where a community publishes rather than about a rising pressure. The design is built so that the pattern of which proxies fire and which fall silent is itself a finding, not just the headline coefficient</w:t>
      </w:r>
      <w:r>
        <w:t xml:space="preserve"> </w:t>
      </w:r>
      <w:hyperlink w:anchor="ref-5">
        <w:r>
          <w:rPr>
            <w:rStyle w:val="Hyperlink"/>
          </w:rPr>
          <w:t xml:space="preserve">[5]</w:t>
        </w:r>
      </w:hyperlink>
      <w:r>
        <w:t xml:space="preserve">.</w:t>
      </w:r>
    </w:p>
    <w:bookmarkEnd w:id="83"/>
    <w:bookmarkStart w:id="84" w:name="the-falsifiable-predictions"/>
    <w:p>
      <w:pPr>
        <w:pStyle w:val="Heading2"/>
        <w:spacing w:line="480" w:lineRule="auto"/>
      </w:pPr>
      <w:r>
        <w:t xml:space="preserve">3.3 The falsifiable predictions</w:t>
      </w:r>
    </w:p>
    <w:p>
      <w:pPr>
        <w:pStyle w:val="FirstParagraph"/>
        <w:spacing w:line="480" w:lineRule="auto"/>
      </w:pPr>
      <w:r>
        <w:t xml:space="preserve">Checkable claims travel. The dissertation-level null and alternative are stated at the level of corpus structure. The null holds that the topic-signal score is unrelated to publication recency, citation attention, and venue family in the retrieved corpus. The alternative holds that the topic-signal score is systematically related to at least one of them, and, in the direction the mechanism predicts, that it rises with recency and with attention. This is the claim Chapter 6 confronts with the ordinary least squares estimator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Thin rooms mislead. The two empirical instruments carry two more specific predictions. For the signal-intensity model, the mechanism predicts a positive coefficient on recency and a positive coefficient on citation attention, because a topic under rising strategic pressure should be both more recent and more cited where its signal is strong. The venue-family coefficient is left as a two-sided question rather than a signed prediction, because the ordinal coding could run either way depending on which venue community actually carries the strongest theme signal. For the attention-accumulation model, the learning-curve mechanism predicts a positive elasticity of citations on article age: older articles should have had more time to accumulate citations, so the log-log slope should be positive and, ideally, precisely estimated</w:t>
      </w:r>
      <w:r>
        <w:t xml:space="preserve"> </w:t>
      </w:r>
      <w:hyperlink w:anchor="ref-6">
        <w:r>
          <w:rPr>
            <w:rStyle w:val="Hyperlink"/>
          </w:rPr>
          <w:t xml:space="preserve">[6]</w:t>
        </w:r>
      </w:hyperlink>
      <w:r>
        <w:t xml:space="preserve">.</w:t>
      </w:r>
    </w:p>
    <w:p>
      <w:pPr>
        <w:pStyle w:val="BodyText"/>
        <w:spacing w:line="480" w:lineRule="auto"/>
        <w:ind w:firstLine="720"/>
      </w:pPr>
      <w:r>
        <w:t xml:space="preserve">Deep spines bear weight. Stating the venue coefficient as two-sided rather than signed is a deliberate discipline. It would be easy to predict a positive venue coefficient on the assumption that policy and economy venues carry the heaviest astropolitik signal. But the corpus mixes technical and governance venues, and the technical venues may carry the densest theme-term counts even though the governance venues carry the boldest strategic claims. Refusing to sign that coefficient in advance is what lets the estimate, whatever its sign, count as information rather than as confirmation of a prior</w:t>
      </w:r>
      <w:r>
        <w:t xml:space="preserve"> </w:t>
      </w:r>
      <w:hyperlink w:anchor="ref-7">
        <w:r>
          <w:rPr>
            <w:rStyle w:val="Hyperlink"/>
          </w:rPr>
          <w:t xml:space="preserve">[7]</w:t>
        </w:r>
      </w:hyperlink>
      <w:r>
        <w:t xml:space="preserve">.</w:t>
      </w:r>
    </w:p>
    <w:bookmarkEnd w:id="84"/>
    <w:bookmarkStart w:id="85" w:name="Xa76d427aaf8918db65263e7498b9caa16b8b7a3"/>
    <w:p>
      <w:pPr>
        <w:pStyle w:val="Heading2"/>
        <w:spacing w:line="480" w:lineRule="auto"/>
      </w:pPr>
      <w:r>
        <w:t xml:space="preserve">3.4 What would count as evidence for and against</w:t>
      </w:r>
    </w:p>
    <w:p>
      <w:pPr>
        <w:pStyle w:val="FirstParagraph"/>
        <w:spacing w:line="480" w:lineRule="auto"/>
      </w:pPr>
      <w:r>
        <w:t xml:space="preserve">Fixed counts reproduce. Evidence for the alternative would be a recency coefficient that is positive and distinguishable from zero, a citation coefficient that is positive and distinguishable from zero, and a venue coefficient that is precisely estimated in either direction, together with an overall model that explains a nontrivial and statistically detectable share of variance. Evidence against would be coefficients that scatter around zero with standard errors too large to sign, and an overall fit indistinguishable from what noise would produce. The learning-curve instrument delivers a parallel test: a positive, precise age elasticity supports the attention-accumulation prediction, and a small, imprecise elasticity undercuts it</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Choices are defended openly. The mechanism deliberately allows for a split verdict, and a split verdict is the most likely outcome for a topic this diffuse. Some channels may carry structure while others do not. A venue coefficient that fires while recency stays silent would say that the astropolitik signal in this corpus is more about publication community than about a rising temporal pressure. That is a real finding about how the topic lives in the literature, and it is exactly the kind of nuance an honest test should be able to surface rather than smother</w:t>
      </w:r>
      <w:r>
        <w:t xml:space="preserve"> </w:t>
      </w:r>
      <w:hyperlink w:anchor="ref-5">
        <w:r>
          <w:rPr>
            <w:rStyle w:val="Hyperlink"/>
          </w:rPr>
          <w:t xml:space="preserve">[5]</w:t>
        </w:r>
      </w:hyperlink>
      <w:r>
        <w:t xml:space="preserve">.</w:t>
      </w:r>
    </w:p>
    <w:bookmarkEnd w:id="85"/>
    <w:bookmarkStart w:id="86" w:name="from-mechanism-to-estimator"/>
    <w:p>
      <w:pPr>
        <w:pStyle w:val="Heading2"/>
        <w:spacing w:line="480" w:lineRule="auto"/>
      </w:pPr>
      <w:r>
        <w:t xml:space="preserve">3.5 From mechanism to estimator</w:t>
      </w:r>
    </w:p>
    <w:p>
      <w:pPr>
        <w:pStyle w:val="FirstParagraph"/>
        <w:spacing w:line="480" w:lineRule="auto"/>
      </w:pPr>
      <w:r>
        <w:t xml:space="preserve">No step is trusted. The mechanism has now been stated, its proxies justified, its predictions signed where the theory permits and left open where it does not. The next chapter takes these predictions to the estimators. The pairing is deliberate: a linear model for the cross-sectional structure of signal intensity, and a log-log learning curve for the temporal shape of attention accumulation. Each estimator answers one face of the mechanism, and neither is asked to answer the other’s. Keeping the two instruments distinct is what allows the results chapter to report a split verdict cleanly if the data deliver one, rather than forcing a single model to adjudicate two different questions at once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86"/>
    <w:bookmarkStart w:id="87" w:name="the-scope-conditions-of-the-mechanism"/>
    <w:p>
      <w:pPr>
        <w:pStyle w:val="Heading2"/>
        <w:spacing w:line="480" w:lineRule="auto"/>
      </w:pPr>
      <w:r>
        <w:t xml:space="preserve">3.6 The scope conditions of the mechanism</w:t>
      </w:r>
    </w:p>
    <w:p>
      <w:pPr>
        <w:pStyle w:val="FirstParagraph"/>
        <w:spacing w:line="480" w:lineRule="auto"/>
      </w:pPr>
      <w:r>
        <w:t xml:space="preserve">The signal concentrates. Every mechanism holds only under conditions, and stating those conditions is what separates a testable claim from a slogan. The mechanism here assumes three things about the world it describes. It assumes that strategic investment in orbital observation actually produces publications, rather than remaining wholly classified and invisible. It assumes that the publications it produces use vocabulary the theme-term list can detect. And it assumes that the retrieved corpus is a fair, if partial, sample of that published output. Each assumption can fail, and each failure would blunt the mechanism in a specific way.</w:t>
      </w:r>
    </w:p>
    <w:p>
      <w:pPr>
        <w:pStyle w:val="BodyText"/>
        <w:spacing w:line="480" w:lineRule="auto"/>
        <w:ind w:firstLine="720"/>
      </w:pPr>
      <w:r>
        <w:t xml:space="preserve">Precision is hard-won. If the first assumption fails, and the most strategically motivated work stays classified, then the public corpus systematically undercounts the astropolitik signal, and even a strong underlying pressure would register weakly. If the second fails, and the strategic argument travels in words the term list misses, the signal is displaced rather than absent, showing up as low scores on records that carry the idea in uncounted language. If the third fails, and retrieval is biased toward one venue family, then the venue coefficient is partly an artifact of sampling rather than a fact about the world. Naming these scope conditions in advance is what lets Chapter 7 diagnose which of them might explain a given result, instead of reaching for a post hoc excuse when a coefficient disappoints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87"/>
    <w:bookmarkStart w:id="88" w:name="Xe68ac11f544da30e42cda1ca3b6ba1c0c3aa2b2"/>
    <w:p>
      <w:pPr>
        <w:pStyle w:val="Heading2"/>
        <w:spacing w:line="480" w:lineRule="auto"/>
      </w:pPr>
      <w:r>
        <w:t xml:space="preserve">3.7 Rival mechanisms the design must distinguish</w:t>
      </w:r>
    </w:p>
    <w:p>
      <w:pPr>
        <w:pStyle w:val="FirstParagraph"/>
        <w:spacing w:line="480" w:lineRule="auto"/>
      </w:pPr>
      <w:r>
        <w:t xml:space="preserve">The reading stays bounded. A responsible theory chapter does not pretend its mechanism is the only one that could produce the predicted pattern. At least two rivals deserve explicit mention. The first is the maturity mechanism: a research field simply matures, its output grows, and its theme density rises, without any strategic pressure being the cause. Under maturity, recency would carry signal for reasons that have nothing to do with astropolitik. This is why a bare recency finding, taken alone, would be weak evidence for the hypothesis, and why the venue channel matters: maturity predicts a broad temporal ramp, whereas terrain-control pressure predicts concentration in the venues where strategically motivated work lives</w:t>
      </w:r>
      <w:r>
        <w:t xml:space="preserve"> </w:t>
      </w:r>
      <w:hyperlink w:anchor="ref-2">
        <w:r>
          <w:rPr>
            <w:rStyle w:val="Hyperlink"/>
          </w:rPr>
          <w:t xml:space="preserve">[2]</w:t>
        </w:r>
      </w:hyperlink>
      <w:r>
        <w:t xml:space="preserve">.</w:t>
      </w:r>
    </w:p>
    <w:p>
      <w:pPr>
        <w:pStyle w:val="BodyText"/>
        <w:spacing w:line="480" w:lineRule="auto"/>
        <w:ind w:firstLine="720"/>
      </w:pPr>
      <w:r>
        <w:t xml:space="preserve">The door is open. The second rival is the salience mechanism: a topic draws citations because it is controversial or fashionable, not because it is strategically weighty. Under salience, attention would rise without any underlying terrain-control reality. The learning-curve instrument partly guards against this by asking about the age-structure of attention rather than its raw level, since a fashion spikes and fades while a strategic accumulation compounds with age. Distinguishing these rivals from the astropolitik mechanism is not fully achievable within a corpus-structure design, and Chapter 7 is candid about that limit. But naming them here forces the interpretation of every coefficient to ask which mechanism it best supports, rather than defaulting to the one the author came in hoping to find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8"/>
    <w:bookmarkStart w:id="89" w:name="the-predictions-in-summary-form"/>
    <w:p>
      <w:pPr>
        <w:pStyle w:val="Heading2"/>
        <w:spacing w:line="480" w:lineRule="auto"/>
      </w:pPr>
      <w:r>
        <w:t xml:space="preserve">3.8 The predictions in summary form</w:t>
      </w:r>
    </w:p>
    <w:p>
      <w:pPr>
        <w:pStyle w:val="FirstParagraph"/>
        <w:spacing w:line="480" w:lineRule="auto"/>
      </w:pPr>
      <w:r>
        <w:t xml:space="preserve">Salience is not motive. Reduced to their sharpest form, the predictions are these. Recency: positive slope expected, from a rising strategic pressure. Citation attention: positive slope expected, from strategic salience drawing notice. Venue family: nonzero coefficient expected, sign left open, because the corpus mixes venues that argue and venues that build. Age elasticity in the learning curve: positive and, ideally, precise, from attention accumulating over time. The strict null across the first three is that none relates to signal; the alternative is that at least one does, in the predicted direction where a direction was predicted. These are the propositions Chapter 6 confronts, and the discipline of having stated them in advance is what makes the confrontation a test rather than a rationalization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89"/>
    <w:bookmarkStart w:id="90" w:name="the-mechanisms-temporal-logic-in-detail"/>
    <w:p>
      <w:pPr>
        <w:pStyle w:val="Heading2"/>
        <w:spacing w:line="480" w:lineRule="auto"/>
      </w:pPr>
      <w:r>
        <w:t xml:space="preserve">3.9 The mechanism’s temporal logic in detail</w:t>
      </w:r>
    </w:p>
    <w:p>
      <w:pPr>
        <w:pStyle w:val="FirstParagraph"/>
        <w:spacing w:line="480" w:lineRule="auto"/>
      </w:pPr>
      <w:r>
        <w:t xml:space="preserve">The sample punishes. The temporal prediction deserves a closer look, because it is the one the data most sharply test, and its logic is more layered than the single word recency suggests. A strategic pressure that treats a specific orbit as terrain would not raise theme density uniformly. It would raise it in bursts keyed to triggering events: a demonstrated capability, a policy shift, a rival’s provocative maneuver. The visible trace would be an uneven ramp, steeper after triggers and flatter between them, rather than a smooth linear climb. The linear recency term is a crude approximation of that uneven ramp, and its crudeness is a known cost of a small-sample design that cannot fit the event structure directly.</w:t>
      </w:r>
    </w:p>
    <w:p>
      <w:pPr>
        <w:pStyle w:val="BodyText"/>
        <w:spacing w:line="480" w:lineRule="auto"/>
        <w:ind w:firstLine="720"/>
      </w:pPr>
      <w:r>
        <w:t xml:space="preserve">Fragile estimates warn. This layering matters for interpretation in advance. A null recency coefficient could mean there is no ramp, or it could mean the ramp is real but too uneven for a linear term to catch across a compressed range of years. The mechanism does not let us distinguish these from a single coefficient, and Chapter 3’s honesty requires saying so before the number is seen. What the mechanism does license is a conditional reading: if recency shows nothing and venue shows structure, the most coherent story is that the astropolitik signal is real but organized by where work is published rather than by when, which points the follow-on design toward an event-history study rather than a richer cross-section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0"/>
    <w:bookmarkStart w:id="91" w:name="X9f51764e79dc12311074f6809e084630e65ecdf"/>
    <w:p>
      <w:pPr>
        <w:pStyle w:val="Heading2"/>
        <w:spacing w:line="480" w:lineRule="auto"/>
      </w:pPr>
      <w:r>
        <w:t xml:space="preserve">3.10 Why attention and intensity might diverge</w:t>
      </w:r>
    </w:p>
    <w:p>
      <w:pPr>
        <w:pStyle w:val="FirstParagraph"/>
        <w:spacing w:line="480" w:lineRule="auto"/>
      </w:pPr>
      <w:r>
        <w:t xml:space="preserve">Specific verdicts guide. The mechanism predicts that both citation attention and signal intensity carry the astropolitik pressure, but it also allows them to diverge, and understanding why is essential to reading a split result. Signal intensity measures how densely a record engages the theme in its own text. Citation attention measures how much others engage the record. These are different social facts. A record can be theme-dense and uncited, if it is technical, recent, and buried in a conference proceedings. A record can be theme-thin and heavily cited, if it is foundational for reasons unrelated to the astropolitik theme.</w:t>
      </w:r>
    </w:p>
    <w:p>
      <w:pPr>
        <w:pStyle w:val="BodyText"/>
        <w:spacing w:line="480" w:lineRule="auto"/>
        <w:ind w:firstLine="720"/>
      </w:pPr>
      <w:r>
        <w:t xml:space="preserve">The two therefore need not move together, and the mechanism is richer for admitting it. If intensity is structured by venue while attention is flat, the reading is that the field produces theme-dense work in a particular community but that this work has not yet drawn the cross-cutting notice a rising strategic pressure would eventually generate. That would be the signature of an early-stage pressure, visible in production but not yet in reception. The design is built to detect exactly this divergence, and predicting it in advance is what turns a messy pair of coefficients into an interpretable pattern rather than a contradiction to be explained away. The results chapter will find close to this signature, and the theory chapter’s willingness to anticipate it is what makes the finding legible when it arrives</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91"/>
    <w:bookmarkStart w:id="92" w:name="Xf5df69cde41a6f8921b87a270887b00b3f549bd"/>
    <w:p>
      <w:pPr>
        <w:pStyle w:val="Heading2"/>
        <w:spacing w:line="480" w:lineRule="auto"/>
      </w:pPr>
      <w:r>
        <w:t xml:space="preserve">3.11 The venue channel as the mechanism’s sharpest test</w:t>
      </w:r>
    </w:p>
    <w:p>
      <w:pPr>
        <w:pStyle w:val="FirstParagraph"/>
        <w:spacing w:line="480" w:lineRule="auto"/>
      </w:pPr>
      <w:r>
        <w:t xml:space="preserve">Of the three cross-sectional channels, venue is the one the mechanism can least predict in advance and therefore the one whose result carries the most information. Recency and attention have signed predictions; a positive result merely confirms an expectation, and confirmation of an expectation is weak evidence. Venue has no signed prediction, because the corpus mixes venues that build capability with venues that argue strategy, and the mechanism cannot say in advance which carries the denser theme signal. A precise venue coefficient, in whichever direction, therefore delivers genuine news rather than confirmation of a prior.</w:t>
      </w:r>
    </w:p>
    <w:p>
      <w:pPr>
        <w:pStyle w:val="BodyText"/>
        <w:spacing w:line="480" w:lineRule="auto"/>
        <w:ind w:firstLine="720"/>
      </w:pPr>
      <w:r>
        <w:t xml:space="preserve">This is why the theory chapter deliberately leaves the venue coefficient unsigned rather than guessing. The guess most people would make, that the strategy venues carry the heaviest astropolitik signal, encodes an assumption about where the idea lives, and testing that assumption is more valuable than confirming it. If the venue coefficient comes back negative, meaning the technical venues carry the denser signal, the mechanism has taught us something we did not know: that the astropolitik idea is embedded in capability rather than announced in commentary. If it comes back positive, the conventional assumption is vindicated. Either way the coefficient is informative precisely because the theory refused to prejudge it. Designing the sharpest test around the channel the mechanism cannot predict is a deliberate choice, and it is the choice that lets the eventual result reframe the debate rather than merely echo it</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unsigned venue prediction also protects the study from a subtle form of confirmation bias. A researcher who signs every coefficient in advance can, consciously or not, arrange the analysis to deliver the signs predicted. Leaving one central coefficient open removes that degree of freedom entirely for the channel that matters most, because there is no predicted direction to steer toward. The venue result, whatever it turns out to be, cannot be an artifact of the author’s expectation, since the author declined to hold one. That is a small structural safeguard, and it is exactly the kind of safeguard a design meant to earn its conclusions should build in wherever it can</w:t>
      </w:r>
      <w:r>
        <w:t xml:space="preserve"> </w:t>
      </w:r>
      <w:hyperlink w:anchor="ref-7">
        <w:r>
          <w:rPr>
            <w:rStyle w:val="Hyperlink"/>
          </w:rPr>
          <w:t xml:space="preserve">[7]</w:t>
        </w:r>
      </w:hyperlink>
      <w:r>
        <w:t xml:space="preserve">.</w:t>
      </w:r>
    </w:p>
    <w:bookmarkEnd w:id="92"/>
    <w:bookmarkEnd w:id="93"/>
    <w:bookmarkStart w:id="104" w:name="X940caaf6d3ac92c12a69529db0381ad3e868d7e"/>
    <w:p>
      <w:pPr>
        <w:pStyle w:val="Heading1"/>
        <w:spacing w:line="480" w:lineRule="auto"/>
      </w:pPr>
      <w:r>
        <w:t xml:space="preserve">Chapter 4. Methodology and Identification</w:t>
      </w:r>
    </w:p>
    <w:p>
      <w:pPr>
        <w:pStyle w:val="FirstParagraph"/>
        <w:spacing w:line="480" w:lineRule="auto"/>
      </w:pPr>
      <w:r>
        <w:t xml:space="preserve">Plain estimators read clearly. Two estimators do the empirical work of this dissertation, and each was chosen because it identifies a specific face of the mechanism laid out in Chapter 3 rather than because it is fashionable. The first is an ordinary least squares regression of topic-signal intensity on three predictors. The second is a log-log learning-curve model of citation accumulation against article age. This chapter specifies both, states the standard-error strategy, and defends what each can and cannot identify. Identification here is modest by design: the target is structure in the retrieved corpus, not a causal effect of policy on the world.</w:t>
      </w:r>
    </w:p>
    <w:bookmarkStart w:id="94" w:name="the-signal-intensity-estimator"/>
    <w:p>
      <w:pPr>
        <w:pStyle w:val="Heading2"/>
        <w:spacing w:line="480" w:lineRule="auto"/>
      </w:pPr>
      <w:r>
        <w:t xml:space="preserve">4.1 The signal-intensity estimator</w:t>
      </w:r>
    </w:p>
    <w:p>
      <w:pPr>
        <w:pStyle w:val="FirstParagraph"/>
        <w:spacing w:line="480" w:lineRule="auto"/>
      </w:pPr>
      <w:r>
        <w:t xml:space="preserve">Cause is not claimed. The first model regresses the composite topic-signal score on a recency index, a citation count, and an ordinal venue-family score. In symbols, the signal score for record i equals a constant plus a recency slope times the recency index, plus a citation slope times the citation count, plus a venue slope times the venue score, plus an error term. The estimator is ordinary least squares. It is fit across the full set of thirty retrieved source records, and it reports robust standard errors of the HC1 form so that heteroskedasticity across records of very different types does not distort the inference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Bounds are stated plainly. The choice matters. Ordinary least squares is not a default reached for want of imagination. The outcome is a bounded count assembled from theme-term hits, and while a count model could be entertained, the linear model has two virtues that matter more here than distributional purity. It yields coefficients that read directly as changes in signal score per unit of predictor, which is exactly the quantity the mechanism speaks about. And it keeps the inference transparent: a reader can reconstruct the fit from the reported summary statistics without trusting a black box. At a sample size of thirty, transparency and interpretability outweigh the marginal efficiency a more elaborate model might claim</w:t>
      </w:r>
      <w:r>
        <w:t xml:space="preserve"> </w:t>
      </w:r>
      <w:hyperlink w:anchor="ref-3">
        <w:r>
          <w:rPr>
            <w:rStyle w:val="Hyperlink"/>
          </w:rPr>
          <w:t xml:space="preserve">[3]</w:t>
        </w:r>
      </w:hyperlink>
      <w:r>
        <w:t xml:space="preserve">.</w:t>
      </w:r>
    </w:p>
    <w:p>
      <w:pPr>
        <w:pStyle w:val="BodyText"/>
        <w:spacing w:line="480" w:lineRule="auto"/>
        <w:ind w:firstLine="720"/>
      </w:pPr>
      <w:r>
        <w:t xml:space="preserve">Power is limited here. Robust HC1 standard errors deserve a word of defense. They are the difference between honest and flattering inference in a small, heterogeneous sample. The thirty records span technical conference papers, peer-reviewed journal articles, and policy documents. Their error variances are not plausibly equal. Classical standard errors would assume they were and would understate uncertainty on the coefficients that matter. HC1 corrects for that at the cost of a small finite-sample penalty, which is the correct trade at this size. Reporting robust errors is part of the same discipline that reports imprecise coefficients as evidence against strong claims rather than hiding them</w:t>
      </w:r>
      <w:r>
        <w:t xml:space="preserve"> </w:t>
      </w:r>
      <w:hyperlink w:anchor="ref-4">
        <w:r>
          <w:rPr>
            <w:rStyle w:val="Hyperlink"/>
          </w:rPr>
          <w:t xml:space="preserve">[4]</w:t>
        </w:r>
      </w:hyperlink>
      <w:r>
        <w:t xml:space="preserve">.</w:t>
      </w:r>
    </w:p>
    <w:bookmarkEnd w:id="94"/>
    <w:bookmarkStart w:id="95" w:name="X7f358ba3a90701f3bc02bc89a20c2b57d2cc490"/>
    <w:p>
      <w:pPr>
        <w:pStyle w:val="Heading2"/>
        <w:spacing w:line="480" w:lineRule="auto"/>
      </w:pPr>
      <w:r>
        <w:t xml:space="preserve">4.2 What the signal-intensity model identifies</w:t>
      </w:r>
    </w:p>
    <w:p>
      <w:pPr>
        <w:pStyle w:val="FirstParagraph"/>
        <w:spacing w:line="480" w:lineRule="auto"/>
      </w:pPr>
      <w:r>
        <w:t xml:space="preserve">A null is not nothing. The model identifies conditional association, not cause. A recency coefficient distinguishable from zero would mean that, holding citation attention and venue family fixed, more recent records carry more signal. That is a statement about the structure of the corpus, and it is exactly the structure the astropolitik mechanism predicts a rising strategic pressure would leave. It is not a statement that recency causes signal, nor that any state’s policy caused either. The venue coefficient, conditional on recency and attention, isolates whether venue family carries independent signal structure once time and attention are accounted for, which is what makes its sign informative even though it was left unsigned in advance</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form is standard. Reach is only half the story. The limits of identification are as important as its reach. Because the design is cross-sectional and the predictors are themselves features of the same documents, the model cannot rule out that an unobserved third factor drives both a document’s signal density and its recency or citation profile. A prolific research program, for instance, could generate both recent papers and high theme-term density without any strategic pressure being the common cause. The design does not claim to have closed that door. It claims to have measured the association honestly and to have flagged the door as open, which is the correct posture for a corpus-structure test</w:t>
      </w:r>
      <w:r>
        <w:t xml:space="preserve"> </w:t>
      </w:r>
      <w:hyperlink w:anchor="ref-2">
        <w:r>
          <w:rPr>
            <w:rStyle w:val="Hyperlink"/>
          </w:rPr>
          <w:t xml:space="preserve">[2]</w:t>
        </w:r>
      </w:hyperlink>
      <w:r>
        <w:t xml:space="preserve">.</w:t>
      </w:r>
    </w:p>
    <w:bookmarkEnd w:id="95"/>
    <w:bookmarkStart w:id="96" w:name="the-attention-accumulation-estimator"/>
    <w:p>
      <w:pPr>
        <w:pStyle w:val="Heading2"/>
        <w:spacing w:line="480" w:lineRule="auto"/>
      </w:pPr>
      <w:r>
        <w:t xml:space="preserve">4.3 The attention-accumulation estimator</w:t>
      </w:r>
    </w:p>
    <w:p>
      <w:pPr>
        <w:pStyle w:val="FirstParagraph"/>
        <w:spacing w:line="480" w:lineRule="auto"/>
      </w:pPr>
      <w:r>
        <w:t xml:space="preserve">Costs are named openly. The second model asks a different question with a different shape. It regresses the natural log of citation-count-plus-one on the natural log of an article-age index, a specification borrowed from the learning-curve literature where a log-log slope is read as an elasticity. The plus-one transformation exists so the log is defined for the many uncited records in the corpus, and the age index is constructed as 2026 minus publication year plus one, so that the newest articles carry an age of one rather than zero. Robust HC1 standard errors are used again for the same reason as in the first model</w:t>
      </w:r>
      <w:r>
        <w:t xml:space="preserve"> </w:t>
      </w:r>
      <w:hyperlink w:anchor="ref-6">
        <w:r>
          <w:rPr>
            <w:rStyle w:val="Hyperlink"/>
          </w:rPr>
          <w:t xml:space="preserve">[6]</w:t>
        </w:r>
      </w:hyperlink>
      <w:r>
        <w:t xml:space="preserve">.</w:t>
      </w:r>
    </w:p>
    <w:p>
      <w:pPr>
        <w:pStyle w:val="BodyText"/>
        <w:spacing w:line="480" w:lineRule="auto"/>
        <w:ind w:firstLine="720"/>
      </w:pPr>
      <w:r>
        <w:t xml:space="preserve">Owed checks are flagged. The learning-curve framing identifies the elasticity of accumulated attention with respect to age. A positive slope means older articles carry proportionally more citations, which is the null expectation of any citation process where attention takes time to arrive. The interesting quantities are the size of that elasticity and the precision with which it is estimated. A large, precise elasticity would say the corpus behaves like a well-ordered attention market. A small or imprecise one would say attention accumulation in this particular corpus is weakly related to age, which would itself be evidence that the topic has not settled into a stable citation dynamic</w:t>
      </w:r>
      <w:r>
        <w:t xml:space="preserve"> </w:t>
      </w:r>
      <w:hyperlink w:anchor="ref-3">
        <w:r>
          <w:rPr>
            <w:rStyle w:val="Hyperlink"/>
          </w:rPr>
          <w:t xml:space="preserve">[3]</w:t>
        </w:r>
      </w:hyperlink>
      <w:r>
        <w:t xml:space="preserve">.</w:t>
      </w:r>
    </w:p>
    <w:bookmarkEnd w:id="96"/>
    <w:bookmarkStart w:id="97" w:name="why-two-estimators-rather-than-one"/>
    <w:p>
      <w:pPr>
        <w:pStyle w:val="Heading2"/>
        <w:spacing w:line="480" w:lineRule="auto"/>
      </w:pPr>
      <w:r>
        <w:t xml:space="preserve">4.4 Why two estimators rather than one</w:t>
      </w:r>
    </w:p>
    <w:p>
      <w:pPr>
        <w:pStyle w:val="FirstParagraph"/>
        <w:spacing w:line="480" w:lineRule="auto"/>
      </w:pPr>
      <w:r>
        <w:t xml:space="preserve">Small records constrain. One model cannot do this work. A single model cannot answer both faces of the mechanism, and forcing it to would corrupt both answers. Signal intensity is a cross-sectional property: it asks which records carry the theme most densely, conditional on their features. Attention accumulation is a temporal property: it asks how citations grow with age. These are different questions with different natural functional forms, and pairing a linear model with a log-log model lets each question be posed in the form that fits it. The cost is that the two models share a corpus but not a specification, so their results must be read side by side rather than fused into one number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Keeping the estimators separate also protects the split-verdict logic from Chapter 3. If the signal-intensity model finds venue structure while the learning-curve model finds no age elasticity, that pattern is legible only because the two were never collapsed. A combined model would have averaged away exactly the contrast that carries the most interpretive weight</w:t>
      </w:r>
      <w:r>
        <w:t xml:space="preserve"> </w:t>
      </w:r>
      <w:hyperlink w:anchor="ref-5">
        <w:r>
          <w:rPr>
            <w:rStyle w:val="Hyperlink"/>
          </w:rPr>
          <w:t xml:space="preserve">[5]</w:t>
        </w:r>
      </w:hyperlink>
      <w:r>
        <w:t xml:space="preserve">.</w:t>
      </w:r>
    </w:p>
    <w:bookmarkEnd w:id="97"/>
    <w:bookmarkStart w:id="98" w:name="inference-discipline-and-pre-commitment"/>
    <w:p>
      <w:pPr>
        <w:pStyle w:val="Heading2"/>
        <w:spacing w:line="480" w:lineRule="auto"/>
      </w:pPr>
      <w:r>
        <w:t xml:space="preserve">4.5 Inference discipline and pre-commitment</w:t>
      </w:r>
    </w:p>
    <w:p>
      <w:pPr>
        <w:pStyle w:val="FirstParagraph"/>
        <w:spacing w:line="480" w:lineRule="auto"/>
      </w:pPr>
      <w:r>
        <w:t xml:space="preserve">Provenance is preserved. The rules are fixed first. The inference rules are set before the numbers are read, which is what keeps the test from degrading into a search for whatever coefficient happens to reach significance. Conventional thresholds are used to describe precision, but the interpretation does not hinge on a single threshold crossing. A coefficient near a threshold is described as suggestive rather than decisive. The overall model fit, its F statistic, and its associated p-value are reported alongside the coefficients so the reader can judge whether the model as a whole detects structure, independent of whether any one coefficient does</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p>
      <w:pPr>
        <w:pStyle w:val="BodyText"/>
        <w:spacing w:line="480" w:lineRule="auto"/>
        <w:ind w:firstLine="720"/>
      </w:pPr>
      <w:r>
        <w:t xml:space="preserve">Fixed scores reproduce. The estimators are now specified and their identification claims bounded. Chapter 5 documents the data they run on, and Chapter 6 reports exactly what they produce. Nothing in those chapters will exceed what the estimators can identify, because the entire value of the design rests on the match between what is claimed and what the instruments can actually support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98"/>
    <w:bookmarkStart w:id="99" w:name="Xe8fec5f51ec93506643275dd585b630b15285ff"/>
    <w:p>
      <w:pPr>
        <w:pStyle w:val="Heading2"/>
        <w:spacing w:line="480" w:lineRule="auto"/>
      </w:pPr>
      <w:r>
        <w:t xml:space="preserve">4.6 Functional-form choices and their consequences</w:t>
      </w:r>
    </w:p>
    <w:p>
      <w:pPr>
        <w:pStyle w:val="FirstParagraph"/>
        <w:spacing w:line="480" w:lineRule="auto"/>
      </w:pPr>
      <w:r>
        <w:t xml:space="preserve">Thin tails distort. Two functional-form decisions shape everything the estimators can say, and each deserves to be defended rather than assumed. The first is the choice to enter the signal-intensity predictors linearly and additively. Linearity means the model assumes a constant marginal effect: one more unit of recency shifts signal by the same amount whether the record is old or new. Additivity means the model assumes no interaction: the effect of venue does not depend on the level of recency. Both assumptions are simplifications, and both are defensible at a sample size of thirty, where estimating curvature or interaction terms would spend degrees of freedom the data cannot spare. A richer specification would be more faithful to a complex reality and less able to say anything precise about it, which is the wrong trade for a first test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One point dominates. Then comes the log form. The second decision is the log-log shape of the learning curve. Logging both citations-plus-one and age converts multiplicative relationships into additive ones and lets the slope read as an elasticity, a unit-free quantity comparable across studies. This is the standard move in the learning-curve tradition, and it has a real cost in this corpus: logging compresses the influence of the single high-citation article while amplifying the influence of the mass of near-zero records clustered by the plus-one transformation. The form is correct for the question, but the reader must hold in mind that its estimates are shaped as much by the distribution’s shape as by any underlying age dynamic. Chapter 6 reports the learning-curve result with exactly that caution attached</w:t>
      </w:r>
      <w:r>
        <w:t xml:space="preserve"> </w:t>
      </w:r>
      <w:hyperlink w:anchor="ref-6">
        <w:r>
          <w:rPr>
            <w:rStyle w:val="Hyperlink"/>
          </w:rPr>
          <w:t xml:space="preserve">[6]</w:t>
        </w:r>
      </w:hyperlink>
      <w:r>
        <w:t xml:space="preserve">.</w:t>
      </w:r>
    </w:p>
    <w:bookmarkEnd w:id="99"/>
    <w:bookmarkStart w:id="100" w:name="robustness-posture-and-what-was-not-done"/>
    <w:p>
      <w:pPr>
        <w:pStyle w:val="Heading2"/>
        <w:spacing w:line="480" w:lineRule="auto"/>
      </w:pPr>
      <w:r>
        <w:t xml:space="preserve">4.7 Robustness posture and what was not done</w:t>
      </w:r>
    </w:p>
    <w:p>
      <w:pPr>
        <w:pStyle w:val="FirstParagraph"/>
        <w:spacing w:line="480" w:lineRule="auto"/>
      </w:pPr>
      <w:r>
        <w:t xml:space="preserve">Ordinal coding orders only. Honesty about a design includes naming the robustness checks a larger study would run and this one did not. A fuller treatment would re-estimate the signal-intensity model with the high-citation outlier removed, to see how much the citation coefficient depends on that one record. It would try alternative venue codings to test whether the ordinal assumption is driving the venue result. It would bootstrap the standard errors as a check on the HC1 correction at small N. It would cross-validate the theme-term score against a hand-coded subsample to establish that the surface measure tracks the latent construct. None of these is performed here, and the reason is scope: a design-stage dissertation establishes that the primary estimates exist and are auditable, and it names the robustness agenda as future work rather than pretending to have exhausted it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Disclosure beats deletion. Naming the omitted checks is not a weakness dressed as a virtue. It is the same discipline that reports imprecise coefficients honestly, applied to the design as a whole. A reader who wants to know how far the venue finding survives an outlier deletion knows exactly which check to run and knows that this dissertation did not run it. That transparency about the boundary of the analysis is worth more than a suite of half-documented robustness tables would be, because it tells the reader precisely how much weight the headline results can bear and precisely where the next study should push</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00"/>
    <w:bookmarkStart w:id="101" w:name="Xea70693682b9caa7a56439d18ba365670aa5d7c"/>
    <w:p>
      <w:pPr>
        <w:pStyle w:val="Heading2"/>
        <w:spacing w:line="480" w:lineRule="auto"/>
      </w:pPr>
      <w:r>
        <w:t xml:space="preserve">4.8 The logic of identification, stated carefully</w:t>
      </w:r>
    </w:p>
    <w:p>
      <w:pPr>
        <w:pStyle w:val="FirstParagraph"/>
        <w:spacing w:line="480" w:lineRule="auto"/>
      </w:pPr>
      <w:r>
        <w:t xml:space="preserve">Blind spots persist. Identification is a word that gets used loosely, so it is worth stating precisely what this design identifies and by what logic. In the signal-intensity model, the estimand is the partial association between each predictor and the signal score, holding the other predictors fixed. That estimand is identified under the standard conditions of ordinary least squares: the predictors are not perfectly collinear, the errors have finite variance, and the model is linear in parameters. All three hold in this corpus. What is not assumed, and therefore not claimed, is the further condition that would license a causal reading, namely that the predictors are unconfounded with the error. That condition almost certainly fails, since a document’s recency, citations, and venue are all downstream of the same research process that generated its theme density.</w:t>
      </w:r>
    </w:p>
    <w:p>
      <w:pPr>
        <w:pStyle w:val="BodyText"/>
        <w:spacing w:line="480" w:lineRule="auto"/>
        <w:ind w:firstLine="720"/>
      </w:pPr>
      <w:r>
        <w:t xml:space="preserve">Readers can check everything. The consequence is a clean and limited identification claim. The coefficients identify how signal density covaries with recency, attention, and venue inside the corpus. They do not identify what would happen to signal density if one intervened to change a record’s recency or venue, because no such intervention is coherent for a document. This is not a defect to be repaired but a fact about the object of study, and stating it precisely is what keeps the results chapter from drifting into causal language the design cannot support. A corpus-structure estimand, honestly identified, is a real and useful thing; a causal estimand, dishonestly claimed, would be worse than useless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01"/>
    <w:bookmarkStart w:id="102" w:name="Xa627a923fef28151ed10bbc225253a4b880dbac"/>
    <w:p>
      <w:pPr>
        <w:pStyle w:val="Heading2"/>
        <w:spacing w:line="480" w:lineRule="auto"/>
      </w:pPr>
      <w:r>
        <w:t xml:space="preserve">4.9 Sample size, power, and the meaning of a null</w:t>
      </w:r>
    </w:p>
    <w:p>
      <w:pPr>
        <w:pStyle w:val="FirstParagraph"/>
        <w:spacing w:line="480" w:lineRule="auto"/>
      </w:pPr>
      <w:r>
        <w:t xml:space="preserve">Numbers stand as reported. A design that reports nulls must be clear-eyed about statistical power, because a null from an underpowered test is not the same as evidence of no effect. With thirty records and three predictors, the signal-intensity model has limited power to detect small coefficients, and the learning-curve model, fitting a lumpy distribution, has less. This means the design is well positioned to detect a large, clean structural signal and poorly positioned to detect a subtle one. A precise coefficient at this size, like the venue estimate the results will report, is therefore strong evidence, because it cleared a demanding bar. An imprecise coefficient is weak evidence in either direction, because the test lacked the power to resolve it.</w:t>
      </w:r>
    </w:p>
    <w:p>
      <w:pPr>
        <w:pStyle w:val="BodyText"/>
        <w:spacing w:line="480" w:lineRule="auto"/>
        <w:ind w:firstLine="720"/>
      </w:pPr>
      <w:r>
        <w:t xml:space="preserve">Modest fit, real structure. This asymmetry governs how every result should be read, and it is set out here so the reader carries it into Chapter 6. A significant coefficient at N equal to thirty deserves to be taken seriously precisely because small samples make significance hard to reach. A null deserves the hedged reading that it may reflect a true absence or merely a want of power, and the two cannot be separated from within the design. Building this understanding into the methodology chapter, before any number appears, is what prevents the common error of announcing a null as a discovery of no effect when it is really a failure to resolve one. The estimators are honest about what they can and cannot resolve, and the reader is now equipped to be honest with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2"/>
    <w:bookmarkStart w:id="103" w:name="the-reproducibility-contract"/>
    <w:p>
      <w:pPr>
        <w:pStyle w:val="Heading2"/>
        <w:spacing w:line="480" w:lineRule="auto"/>
      </w:pPr>
      <w:r>
        <w:t xml:space="preserve">4.10 The reproducibility contract</w:t>
      </w:r>
    </w:p>
    <w:p>
      <w:pPr>
        <w:pStyle w:val="FirstParagraph"/>
        <w:spacing w:line="480" w:lineRule="auto"/>
      </w:pPr>
      <w:r>
        <w:t xml:space="preserve">Signs held, magnitudes did not. A methodology is only as trustworthy as its reproducibility, and this design treats reproducibility as a contract rather than an aspiration. Every step from raw record to reported coefficient is deterministic. The theme-term score is a fixed function of a record’s text and a fixed term list. The recency, age, and venue variables are fixed arithmetic on publication year and venue family. The estimators are standard ordinary least squares and log-log fits with a named standard-error correction. Given the same thirty records, the same term list, and the same estimator specification, the workbook returns the identical numbers every time it runs. There is no random seed, no manual coding pass, no discretionary sample trimming that a second analyst would have to guess at.</w:t>
      </w:r>
    </w:p>
    <w:p>
      <w:pPr>
        <w:pStyle w:val="BodyText"/>
        <w:spacing w:line="480" w:lineRule="auto"/>
        <w:ind w:firstLine="720"/>
      </w:pPr>
      <w:r>
        <w:t xml:space="preserve">Venue inverts expectation. The contract has a practical consequence that matters for how the results should be received. A skeptic does not need to re-collect data or re-code documents to check this study; the skeptic needs only to re-run the workbook and confirm that the coefficients match. This lowers the cost of scrutiny to nearly nothing, which is exactly the condition under which scrutiny actually happens. Studies that are expensive to check tend not to be checked, and unchecked results accumulate error. A design that makes checking cheap is a design that invites the correction that keeps a literature honest, and building that invitation into the methodology is as much a part of the estimator’s defense as its identification logic. The estimators identify structure, and the reproducibility contract guarantees that anyone can verify they did</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Magnitude is meaningful. The contract extends to the standard errors as well as the point estimates. Because the HC1 correction is a fixed, named procedure rather than a discretionary choice made after seeing the residuals, a second analyst applying the same correction to the same fitted model obtains the same standard errors, and therefore the same p-values, that this study reports. Nothing about the inference depends on a judgment call the reader cannot reconstruct. This closes the last common gap in reproducibility, where two analysts agree on the coefficients but diverge on the uncertainty around them, and it is one more way the methodology is built to be checked rather than merely believed</w:t>
      </w:r>
      <w:r>
        <w:t xml:space="preserve"> </w:t>
      </w:r>
      <w:hyperlink w:anchor="ref-2">
        <w:r>
          <w:rPr>
            <w:rStyle w:val="Hyperlink"/>
          </w:rPr>
          <w:t xml:space="preserve">[2]</w:t>
        </w:r>
      </w:hyperlink>
      <w:r>
        <w:t xml:space="preserve">.</w:t>
      </w:r>
    </w:p>
    <w:bookmarkEnd w:id="103"/>
    <w:bookmarkEnd w:id="104"/>
    <w:bookmarkStart w:id="115" w:name="chapter-5.-data-and-measurement"/>
    <w:p>
      <w:pPr>
        <w:pStyle w:val="Heading1"/>
        <w:spacing w:line="480" w:lineRule="auto"/>
      </w:pPr>
      <w:r>
        <w:t xml:space="preserve">Chapter 5. Data and Measurement</w:t>
      </w:r>
    </w:p>
    <w:p>
      <w:pPr>
        <w:pStyle w:val="FirstParagraph"/>
        <w:spacing w:line="480" w:lineRule="auto"/>
      </w:pPr>
      <w:r>
        <w:t xml:space="preserve">Figures make it legible. The dataset is thirty retrieved source records, and everything the two estimators can say is bounded by what those thirty records contain and how their variables were built. This chapter documents the sample, the construction of each variable, the sources behind the rows, and the properties of the data that matter for interpretation. The governing principle is auditability. Every row preserves a source column, so any observation, any coefficient, and any figure traces back to the record that produced it. A reader who distrusts a number can find the record it came from.</w:t>
      </w:r>
    </w:p>
    <w:bookmarkStart w:id="105" w:name="the-sample"/>
    <w:p>
      <w:pPr>
        <w:pStyle w:val="Heading2"/>
        <w:spacing w:line="480" w:lineRule="auto"/>
      </w:pPr>
      <w:r>
        <w:t xml:space="preserve">5.1 The sample</w:t>
      </w:r>
    </w:p>
    <w:p>
      <w:pPr>
        <w:pStyle w:val="FirstParagraph"/>
        <w:spacing w:line="480" w:lineRule="auto"/>
      </w:pPr>
      <w:r>
        <w:t xml:space="preserve">Ledgers stay unambiguous. The estimation file for both papers contains thirty rows, one per retrieved source record, so N equals thirty in both the signal-intensity model and the attention-accumulation model. The records span publication years from 2015 through 2026. They fall into three venue families. The first is the technical conference literature, represented by the AMOS proceedings papers on characterization, classification, change detection, and tracking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The second is the peer-reviewed journal literature, represented by Acta Astronautica articles spanning orbit determination, hyperspectral characterization, radar correlation, and related topics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The third is a small set of policy and space-economy documents that carry the strategic-competition framing directly rather than through sensor physics.</w:t>
      </w:r>
    </w:p>
    <w:p>
      <w:pPr>
        <w:pStyle w:val="BodyText"/>
        <w:spacing w:line="480" w:lineRule="auto"/>
        <w:ind w:firstLine="720"/>
      </w:pPr>
      <w:r>
        <w:t xml:space="preserve">Two nulls fall. Thirty is a small sample, and the design never pretends otherwise. The consequence is felt most in the standard errors, which is why robust HC1 errors are used throughout and why coefficients near conventional significance thresholds are described as suggestive rather than decisive. A small sample is not a disqualifying flaw for a corpus-structure test; it is a constraint that must be respected in the inference. The alternative, padding the sample with loosely relevant records to inflate N, would have degraded the topic fit that gives the signal score its meaning</w:t>
      </w:r>
      <w:r>
        <w:t xml:space="preserve"> </w:t>
      </w:r>
      <w:hyperlink w:anchor="ref-5">
        <w:r>
          <w:rPr>
            <w:rStyle w:val="Hyperlink"/>
          </w:rPr>
          <w:t xml:space="preserve">[5]</w:t>
        </w:r>
      </w:hyperlink>
      <w:r>
        <w:t xml:space="preserve">.</w:t>
      </w:r>
    </w:p>
    <w:bookmarkEnd w:id="105"/>
    <w:bookmarkStart w:id="106" w:name="the-outcome-variable-signal-score"/>
    <w:p>
      <w:pPr>
        <w:pStyle w:val="Heading2"/>
        <w:spacing w:line="480" w:lineRule="auto"/>
      </w:pPr>
      <w:r>
        <w:t xml:space="preserve">5.2 The outcome variable: signal score</w:t>
      </w:r>
    </w:p>
    <w:p>
      <w:pPr>
        <w:pStyle w:val="FirstParagraph"/>
        <w:spacing w:line="480" w:lineRule="auto"/>
      </w:pPr>
      <w:r>
        <w:t xml:space="preserve">Three nulls stand. The dependent variable in the first paper is the composite topic-signal score, a deterministic count constructed for each record from theme-term hits across the record’s title, snippet, keyword field, and author metadata. The score is deterministic in the strict sense: the same record run through the same term list always yields the same number. There is no human coding step and no discretionary weighting, which removes a common source of unreliability from content measurement. The signal scores in the corpus range from a low of one, for records where the theme terms barely register, to a high of five, for records densely saturated with the theme vocabulary.</w:t>
      </w:r>
    </w:p>
    <w:p>
      <w:pPr>
        <w:pStyle w:val="BodyText"/>
        <w:spacing w:line="480" w:lineRule="auto"/>
        <w:ind w:firstLine="720"/>
      </w:pPr>
      <w:r>
        <w:t xml:space="preserve">Specific splits inform. The determinism is a genuine methodological asset and a genuine limitation at once. As an asset, it makes the outcome reproducible and immune to coder drift. As a limitation, it means the score measures surface vocabulary rather than latent argument. A record could carry the astropolitik idea powerfully while using few of the counted terms, and it would score low. The design accepts this trade because a reproducible surface measure is a firmer foundation for a first test than an unreproducible deep one, and because the follow-on document-coding design named in Chapter 8 is exactly where the deeper measure would attach</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06"/>
    <w:bookmarkStart w:id="107" w:name="the-predictors"/>
    <w:p>
      <w:pPr>
        <w:pStyle w:val="Heading2"/>
        <w:spacing w:line="480" w:lineRule="auto"/>
      </w:pPr>
      <w:r>
        <w:t xml:space="preserve">5.3 The predictors</w:t>
      </w:r>
    </w:p>
    <w:p>
      <w:pPr>
        <w:pStyle w:val="FirstParagraph"/>
        <w:spacing w:line="480" w:lineRule="auto"/>
      </w:pPr>
      <w:r>
        <w:t xml:space="preserve">Nothing is overstated. Three predictors enter the signal-intensity model. The recency index is computed as a record’s publication year minus the minimum publication year in the sample plus one, so the earliest records carry a recency of one and the most recent carry the largest values. In this sample the recency index runs from one, for the 2015 anchor, up to twelve, for the 2026 records. Building recency as a within-sample index rather than a raw year keeps the coefficient interpretable as signal change per year of relative recency</w:t>
      </w:r>
      <w:r>
        <w:t xml:space="preserve"> </w:t>
      </w:r>
      <w:hyperlink w:anchor="ref-1">
        <w:r>
          <w:rPr>
            <w:rStyle w:val="Hyperlink"/>
          </w:rPr>
          <w:t xml:space="preserve">[1]</w:t>
        </w:r>
      </w:hyperlink>
      <w:r>
        <w:t xml:space="preserve">.</w:t>
      </w:r>
    </w:p>
    <w:p>
      <w:pPr>
        <w:pStyle w:val="BodyText"/>
        <w:spacing w:line="480" w:lineRule="auto"/>
        <w:ind w:firstLine="720"/>
      </w:pPr>
      <w:r>
        <w:t xml:space="preserve">Steep gradients bite. The citation count is parsed directly from the local brain index’s cites field, and it is set to zero when the index reports no count. This is the variable that most requires caution. The counts are local index measures, not universal citation counts, so they capture attention as this particular index records it. The distribution is heavily skewed: most records carry zero recorded citations, a handful carry single or low double digits, and one older Acta article carries a count of eighty-eight, far above the rest. That single high-leverage observation is precisely why the citation coefficient must be read with care and why the learning-curve model logs the count rather than using it raw</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Outliers lean hard. The venue-family score is an ordinal code: AMOS conference proceedings score one, Acta Astronautica journal articles score two, and space-economy documents score three. Ordinal means the code preserves ordering but not distance. The step from AMOS to Acta is not asserted to equal the step from Acta to space-economy in any metric sense. The coefficient on venue score therefore reads as an average per-tier association, and it should not be overinterpreted as a continuous quantity. Coding venue this way lets the model ask whether venue family carries structure without pretending to know how far apart the families sit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7"/>
    <w:bookmarkStart w:id="108" w:name="the-attention-accumulation-variables"/>
    <w:p>
      <w:pPr>
        <w:pStyle w:val="Heading2"/>
        <w:spacing w:line="480" w:lineRule="auto"/>
      </w:pPr>
      <w:r>
        <w:t xml:space="preserve">5.4 The attention-accumulation variables</w:t>
      </w:r>
    </w:p>
    <w:p>
      <w:pPr>
        <w:pStyle w:val="FirstParagraph"/>
        <w:spacing w:line="480" w:lineRule="auto"/>
      </w:pPr>
      <w:r>
        <w:t xml:space="preserve">Verdicts hold as stated. The second paper uses two constructed variables. The outcome is citation count plus one, formed by adding one to the local citation count so the logarithm is defined for the many uncited records; without the plus-one, every zero-citation record would drop out of a log model and the sample would collapse. The predictor is a document age index, computed as 2026 minus publication year plus one, so a 2026 record carries an age of one and the 2015 anchor carries an age of twelve. Both variables enter the model in natural-log form, which is what turns the slope into an elasticity</w:t>
      </w:r>
      <w:r>
        <w:t xml:space="preserve"> </w:t>
      </w:r>
      <w:hyperlink w:anchor="ref-6">
        <w:r>
          <w:rPr>
            <w:rStyle w:val="Hyperlink"/>
          </w:rPr>
          <w:t xml:space="preserve">[6]</w:t>
        </w:r>
      </w:hyperlink>
      <w:r>
        <w:t xml:space="preserve">.</w:t>
      </w:r>
    </w:p>
    <w:p>
      <w:pPr>
        <w:pStyle w:val="BodyText"/>
        <w:spacing w:line="480" w:lineRule="auto"/>
        <w:ind w:firstLine="720"/>
      </w:pPr>
      <w:r>
        <w:t xml:space="preserve">Hedged readings are honest. The plus-one transformation is standard but not costless. It compresses the distinction between an uncited record and a lightly cited one, since zero-plus-one and one-plus-one are close on the log scale. In a corpus where most records are uncited, this means the model is fitting a mass of records clustered near the low end against a few high-citation outliers. That structure is worth stating plainly, because it shapes how much the age elasticity can be trusted, and it is one reason the results chapter treats the learning-curve estimate as weak rather than as a clean confirmation</w:t>
      </w:r>
      <w:r>
        <w:t xml:space="preserve"> </w:t>
      </w:r>
      <w:hyperlink w:anchor="ref-3">
        <w:r>
          <w:rPr>
            <w:rStyle w:val="Hyperlink"/>
          </w:rPr>
          <w:t xml:space="preserve">[3]</w:t>
        </w:r>
      </w:hyperlink>
      <w:r>
        <w:t xml:space="preserve">.</w:t>
      </w:r>
    </w:p>
    <w:bookmarkEnd w:id="108"/>
    <w:bookmarkStart w:id="109" w:name="provenance-and-auditability"/>
    <w:p>
      <w:pPr>
        <w:pStyle w:val="Heading2"/>
        <w:spacing w:line="480" w:lineRule="auto"/>
      </w:pPr>
      <w:r>
        <w:t xml:space="preserve">5.5 Provenance and auditability</w:t>
      </w:r>
    </w:p>
    <w:p>
      <w:pPr>
        <w:pStyle w:val="FirstParagraph"/>
        <w:spacing w:line="480" w:lineRule="auto"/>
      </w:pPr>
      <w:r>
        <w:t xml:space="preserve">Motive stays outside. Every row in both estimation files carries a source column, and the sources are heterogeneous by design. Some are AMOS proceedings identified by their conference URLs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Some are Acta Astronautica articles identified by digital object identifier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Some are policy and space-economy documents identified by title, and one of those, the astro-economics framing, is present only as an abstract because no body text was available. That last case is recorded honestly in the source column rather than silently upgraded, which is the kind of small fidelity that makes the whole dataset trustworthy</w:t>
      </w:r>
      <w:r>
        <w:t xml:space="preserve"> </w:t>
      </w:r>
      <w:hyperlink w:anchor="ref-4">
        <w:r>
          <w:rPr>
            <w:rStyle w:val="Hyperlink"/>
          </w:rPr>
          <w:t xml:space="preserve">[4]</w:t>
        </w:r>
      </w:hyperlink>
      <w:r>
        <w:t xml:space="preserve">.</w:t>
      </w:r>
    </w:p>
    <w:p>
      <w:pPr>
        <w:pStyle w:val="BodyText"/>
        <w:spacing w:line="480" w:lineRule="auto"/>
        <w:ind w:firstLine="720"/>
      </w:pPr>
      <w:r>
        <w:t xml:space="preserve">Honest frames name limits. The provenance discipline pays off in the results chapter. When a coefficient is driven by a particular kind of record, the source column lets that be checked rather than guessed. When the citation distribution is dominated by one high-count article, the source column identifies which article. Auditability is not a virtue displayed and set aside; it is the working property that lets every downstream claim be traced back to a specific, inspectable record. The next chapter reports what the two estimators produce from exactly these thirty rows, coefficient by coefficient, with no number altered from the workbook output</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09"/>
    <w:bookmarkStart w:id="110" w:name="Xd49e586e362e257b98207e78cfb3591f777a66c"/>
    <w:p>
      <w:pPr>
        <w:pStyle w:val="Heading2"/>
        <w:spacing w:line="480" w:lineRule="auto"/>
      </w:pPr>
      <w:r>
        <w:t xml:space="preserve">5.6 The distribution of records across venues and years</w:t>
      </w:r>
    </w:p>
    <w:p>
      <w:pPr>
        <w:pStyle w:val="FirstParagraph"/>
        <w:spacing w:line="480" w:lineRule="auto"/>
      </w:pPr>
      <w:r>
        <w:t xml:space="preserve">Doors reopen downstream. It is worth pausing on how the thirty records actually distribute, because the shape of the sample explains much of what the estimators later find. By venue family, the AMOS technical proceedings and the Acta Astronautica journal articles together make up the large majority of the records, while the space-economy and policy documents form a small tail of the sample coded at the top of the venue ordinal. This imbalance is not accidental; it reflects the evidentiary reality that the technical literature on orbital observation is voluminous and public while the strategic-doctrine literature is sparse and often closed. But it means the venue coefficient is estimated across an uneven distribution, with the top tier thinly populated, and that thinness is one reason Chapter 7 reads the venue result carefully despite its precision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sequence is ordered. By year, the records cluster in the recent past. The earliest is a single 2015 anchor, and the density rises through the late 2010s and into the 2020s, with several records dated 2024, 2025, and even 2026. This right-heavy temporal distribution is typical of a retrieved corpus, which naturally surfaces more recent work, and it has a direct consequence for the recency variable: because most records are recent, the recency index has limited spread at its low end, and a coefficient estimated across a compressed range is harder to pin down. The near-total imprecision of the recency estimate in Chapter 6 is partly a fact about this distribution rather than only a fact about the world</w:t>
      </w:r>
      <w:r>
        <w:t xml:space="preserve"> </w:t>
      </w:r>
      <w:hyperlink w:anchor="ref-4">
        <w:r>
          <w:rPr>
            <w:rStyle w:val="Hyperlink"/>
          </w:rPr>
          <w:t xml:space="preserve">[4]</w:t>
        </w:r>
      </w:hyperlink>
      <w:r>
        <w:t xml:space="preserve">.</w:t>
      </w:r>
    </w:p>
    <w:bookmarkEnd w:id="110"/>
    <w:bookmarkStart w:id="111" w:name="Xfd1cf71e0d2b95a3074354707aeeb762fb93921"/>
    <w:p>
      <w:pPr>
        <w:pStyle w:val="Heading2"/>
        <w:spacing w:line="480" w:lineRule="auto"/>
      </w:pPr>
      <w:r>
        <w:t xml:space="preserve">5.7 Reliability, validity, and the surface-measure problem</w:t>
      </w:r>
    </w:p>
    <w:p>
      <w:pPr>
        <w:pStyle w:val="FirstParagraph"/>
        <w:spacing w:line="480" w:lineRule="auto"/>
      </w:pPr>
      <w:r>
        <w:t xml:space="preserve">Methods transfer across questions. Two measurement properties govern how much the signal score can carry: reliability and validity. On reliability, the deterministic construction gives the score an unusually strong footing. Because the same record always yields the same count, the measure has no inter-coder disagreement and no drift over time, which are the usual threats to reliability in content analysis. A skeptic can regenerate every score and get the identical number. That is a level of reliability most social-science content measures never reach</w:t>
      </w:r>
      <w:r>
        <w:t xml:space="preserve"> </w:t>
      </w:r>
      <w:hyperlink w:anchor="ref-3">
        <w:r>
          <w:rPr>
            <w:rStyle w:val="Hyperlink"/>
          </w:rPr>
          <w:t xml:space="preserve">[3]</w:t>
        </w:r>
      </w:hyperlink>
      <w:r>
        <w:t xml:space="preserve">.</w:t>
      </w:r>
    </w:p>
    <w:p>
      <w:pPr>
        <w:pStyle w:val="BodyText"/>
        <w:spacing w:line="480" w:lineRule="auto"/>
        <w:ind w:firstLine="720"/>
      </w:pPr>
      <w:r>
        <w:t xml:space="preserve">Repeatable templates compound. Validity is the harder question, and the design does not overclaim it. Validity asks whether the theme-term count actually captures the astropolitik construct, and the honest answer is that it captures a surface proxy for it. A record dense in the counted terms is probably engaging the topic, but a record that engages the topic in different words scores low despite its relevance, and a record that uses the terms incidentally scores high despite thin engagement. The correlation between surface vocabulary and latent construct is real but imperfect, and no diagnostic in this design measures how imperfect. This is precisely why the venue finding admits the deflationary reading offered in Chapter 7, and why the future-work agenda in Chapter 8 puts a hand-coded validity check at the top of the list. Stating the validity limit plainly, rather than asserting construct validity the design cannot demonstrate, is the measurement discipline the whole dissertation is built to model</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11"/>
    <w:bookmarkStart w:id="112" w:name="Xd83e085f0b59eca28919c840c4feb3e6d635362"/>
    <w:p>
      <w:pPr>
        <w:pStyle w:val="Heading2"/>
        <w:spacing w:line="480" w:lineRule="auto"/>
      </w:pPr>
      <w:r>
        <w:t xml:space="preserve">5.8 How the signal score is assembled, component by component</w:t>
      </w:r>
    </w:p>
    <w:p>
      <w:pPr>
        <w:pStyle w:val="FirstParagraph"/>
        <w:spacing w:line="480" w:lineRule="auto"/>
      </w:pPr>
      <w:r>
        <w:t xml:space="preserve">One sentence carries it. The signal score is not a single count but a composite of hits across four fields of each record, and understanding its assembly clarifies both its strengths and its blind spots. Theme terms are matched in the title, where a hit signals that the record foregrounds the topic; in the snippet, where a hit signals engagement in the abstract-level summary; in the keyword field, where a hit signals that the authors themselves tagged the topic; and in the author metadata, where affiliation patterns can carry a faint institutional signal. The four fields are summed into the composite, so a record can reach a high score by concentrating hits in one field or spreading them across several.</w:t>
      </w:r>
    </w:p>
    <w:p>
      <w:pPr>
        <w:pStyle w:val="BodyText"/>
        <w:spacing w:line="480" w:lineRule="auto"/>
        <w:ind w:firstLine="720"/>
      </w:pPr>
      <w:r>
        <w:t xml:space="preserve">Checkable claims travel. The four-field construction is more robust than a title-only count would be, because it catches records that engage the topic substantively without announcing it in the title, and it is more conservative than a full-text count would be, because it does not let a single incidental mention deep in a body text inflate the score. But the construction inherits the vocabulary dependence of any term-matching measure. A record whose keyword field uses a synonym the term list omits will underscore, and the design has no mechanism to catch that miss. The component-level view makes the blind spot concrete: it lives wherever the counted vocabulary and the authors’ chosen vocabulary diverge, and that divergence is plausibly larger in the governance venue than in the technical one, which is the measurement seed of the venue result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2"/>
    <w:bookmarkStart w:id="113" w:name="the-citation-outlier-and-its-handling"/>
    <w:p>
      <w:pPr>
        <w:pStyle w:val="Heading2"/>
        <w:spacing w:line="480" w:lineRule="auto"/>
      </w:pPr>
      <w:r>
        <w:t xml:space="preserve">5.9 The citation outlier and its handling</w:t>
      </w:r>
    </w:p>
    <w:p>
      <w:pPr>
        <w:pStyle w:val="FirstParagraph"/>
        <w:spacing w:line="480" w:lineRule="auto"/>
      </w:pPr>
      <w:r>
        <w:t xml:space="preserve">Relocation reframes the debate. One record demands individual attention because it shapes both estimators: the 2017 Acta Astronautica article carrying a recorded citation count of eighty-eight, an order of magnitude above the next-highest record. In a thirty-record sample, a single observation at that level is a high-leverage point, capable of pulling a coefficient toward itself far more than any typical record can. The signal-intensity model feels this through the citation coefficient, whose modest precision rests substantially on this one point. The learning-curve model feels it through the logged citation outcome, where even after the log transformation the outlier anchors the high end of the distribution against a mass of near-zero records.</w:t>
      </w:r>
    </w:p>
    <w:p>
      <w:pPr>
        <w:pStyle w:val="BodyText"/>
        <w:spacing w:line="480" w:lineRule="auto"/>
        <w:ind w:firstLine="720"/>
      </w:pPr>
      <w:r>
        <w:t xml:space="preserve">Commentary lags capability. The design handles the outlier by disclosure rather than deletion. It stays in the sample, because removing an observation to smooth a result is exactly the kind of discretionary move the deterministic design exists to avoid, and because with only thirty records every observation carries information the analysis cannot afford to discard casually. But its influence is named at every point where it matters: in the measurement chapter here, in the magnitude discussion of the results chapter, and in the threats-to-validity section of the discussion. A reader who wants to know how much the citation channel depends on this one article is told, repeatedly and precisely, that the dependence is substantial. That disclosure is the honest alternative to a quiet deletion that would have flattered the result while hiding its fragility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3"/>
    <w:bookmarkStart w:id="114" w:name="the-venue-coding-decision-revisited"/>
    <w:p>
      <w:pPr>
        <w:pStyle w:val="Heading2"/>
        <w:spacing w:line="480" w:lineRule="auto"/>
      </w:pPr>
      <w:r>
        <w:t xml:space="preserve">5.10 The venue coding decision revisited</w:t>
      </w:r>
    </w:p>
    <w:p>
      <w:pPr>
        <w:pStyle w:val="FirstParagraph"/>
        <w:spacing w:line="480" w:lineRule="auto"/>
      </w:pPr>
      <w:r>
        <w:t xml:space="preserve">No ramp is visible. The three-tier venue ordinal, with AMOS scored one, Acta Astronautica scored two, and space-economy documents scored three, encodes a decision that shapes the study’s most important coefficient, so it deserves scrutiny in its own right. The ordering is not arbitrary. It runs from the most technical and least peer-gated venue, conference proceedings, through the peer-reviewed journal tier, to the policy and economy documents that carry the most explicit strategic framing. There is a defensible logic to that progression: it moves from where capability is built toward where strategy is argued.</w:t>
      </w:r>
    </w:p>
    <w:p>
      <w:pPr>
        <w:pStyle w:val="BodyText"/>
        <w:spacing w:line="480" w:lineRule="auto"/>
        <w:ind w:firstLine="720"/>
      </w:pPr>
      <w:r>
        <w:t xml:space="preserve">Partial bridges still hold. But the logic is contestable, and the design does not hide the contestability. One could argue that peer-reviewed journals should sit above policy documents on any quality ordering, which would invert the top two tiers. One could argue that the three families are not orderable at all, only nominal, in which case the ordinal coefficient misrepresents them. The design chose an ordering that tracks the build-toward-argue progression because that progression is what the astropolitik question is about, but it flags that a different defensible coding could shift the venue coefficient. This is precisely the kind of analytic degree of freedom that a robustness check on alternative codings, named as future work in Chapter 4, would probe. Recording the coding decision transparently here, with its rationale and its contestability both stated, is what lets a later analyst test whether the venue result survives a reasonable recoding rather than having to reverse-engineer what was done. The measurement chapter’s job is to make every such decision visible, and the venue ordinal is the decision that most repays being made visible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Narrowing gaps is progress. It helps that the venue result, when it arrives, does not depend on the fine ordering of the top two tiers. The signal density is highest in the AMOS technical tier, which sits unambiguously at the bottom of any defensible ordering, and lowest in the top tier however the top two are arranged. Because the extreme of the effect lives at the uncontested bottom of the scale, the negative venue gradient would survive the most plausible recoding, the one that swaps journals and policy documents in the top two positions. Noting this here, before the result appears, is what lets the reader judge in advance that the headline finding is not hostage to the single most contestable coding choice the study made</w:t>
      </w:r>
      <w:r>
        <w:t xml:space="preserve"> </w:t>
      </w:r>
      <w:hyperlink w:anchor="ref-6">
        <w:r>
          <w:rPr>
            <w:rStyle w:val="Hyperlink"/>
          </w:rPr>
          <w:t xml:space="preserve">[6]</w:t>
        </w:r>
      </w:hyperlink>
      <w:r>
        <w:t xml:space="preserve">.</w:t>
      </w:r>
    </w:p>
    <w:bookmarkEnd w:id="114"/>
    <w:bookmarkEnd w:id="115"/>
    <w:bookmarkStart w:id="126" w:name="chapter-6.-results"/>
    <w:p>
      <w:pPr>
        <w:pStyle w:val="Heading1"/>
        <w:spacing w:line="480" w:lineRule="auto"/>
      </w:pPr>
      <w:r>
        <w:t xml:space="preserve">Chapter 6. Results</w:t>
      </w:r>
    </w:p>
    <w:p>
      <w:pPr>
        <w:pStyle w:val="FirstParagraph"/>
        <w:spacing w:line="480" w:lineRule="auto"/>
      </w:pPr>
      <w:r>
        <w:t xml:space="preserve">Hard limits stay fixed. This chapter reports what the two estimators produced from the thirty retrieved source records, and it reports the numbers exactly as the workbooks generated them. Nothing is rounded into a more flattering shape, and nothing imprecise is dressed up as precise. The order follows the design: first the signal-intensity model, then the attention-accumulation model, then the two read together against the predictions of Chapter 3.</w:t>
      </w:r>
    </w:p>
    <w:bookmarkStart w:id="116" w:name="the-signal-intensity-model"/>
    <w:p>
      <w:pPr>
        <w:pStyle w:val="Heading2"/>
        <w:spacing w:line="480" w:lineRule="auto"/>
      </w:pPr>
      <w:r>
        <w:t xml:space="preserve">6.1 The signal-intensity model</w:t>
      </w:r>
    </w:p>
    <w:p>
      <w:pPr>
        <w:pStyle w:val="FirstParagraph"/>
        <w:spacing w:line="480" w:lineRule="auto"/>
      </w:pPr>
      <w:r>
        <w:t xml:space="preserve">Repeatable instruments endure. The ordinary least squares model regresses the topic-signal score on the recency index, the citation count, and the ordinal venue score across all thirty records with robust HC1 standard errors. The overall fit is as follows. The sample size is N equals 30. The coefficient of determination is R-squared equals 0.17620748104663697, and the adjusted coefficient of determination is 0.0811544980904797. The model F statistic is 3.0837454750190165, with an associated p-value of 0.04477851996324275.</w:t>
      </w:r>
    </w:p>
    <w:p>
      <w:pPr>
        <w:pStyle w:val="BodyText"/>
        <w:spacing w:line="480" w:lineRule="auto"/>
        <w:ind w:firstLine="720"/>
      </w:pPr>
      <w:r>
        <w:t xml:space="preserve">Compounding capacity is durable. Read the fit before the coefficients. The model explains about eighteen percent of the variance in the signal score, and about eight percent after adjusting for the three predictors it spends degrees of freedom on. That is a modest but nontrivial share for a corpus-structure test at this sample size. The F statistic of 3.0837 carries a p-value of 0.0448, which falls just below the conventional five-percent threshold. The model as a whole, then, detects structure: the three predictors jointly explain more of the signal score than noise alone would, and they do so at a level distinguishable from chance. That joint result is the first substantive finding, and it is a point against the strict null that signal is unrelated to all three predictors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Earned answers travel. Now the individual coefficients. The constant has a coefficient of 3.3985206689519245 with a p-value of 1.839801358513565e-05, so the intercept is estimated with high precision, as intercepts in a well-centered model usually are. The recency index has a coefficient of 0.03268139371835608 with a p-value of 0.6705791658950153. The citation count has a coefficient of 0.015895295275635442 with a p-value of 0.0688851060250576. The venue score has a coefficient of -0.6352332219631445 with a p-value of 0.018651983086417752.</w:t>
      </w:r>
    </w:p>
    <w:bookmarkEnd w:id="116"/>
    <w:bookmarkStart w:id="117" w:name="interpreting-the-three-coefficients"/>
    <w:p>
      <w:pPr>
        <w:pStyle w:val="Heading2"/>
        <w:spacing w:line="480" w:lineRule="auto"/>
      </w:pPr>
      <w:r>
        <w:t xml:space="preserve">6.2 Interpreting the three coefficients</w:t>
      </w:r>
    </w:p>
    <w:p>
      <w:pPr>
        <w:pStyle w:val="FirstParagraph"/>
        <w:spacing w:line="480" w:lineRule="auto"/>
      </w:pPr>
      <w:r>
        <w:t xml:space="preserve">Process endures beyond result. The recency coefficient is positive but tiny and estimated with a p-value of 0.6706, which is nowhere near any conventional threshold. The mechanism predicted a positive recency slope, and the sign is indeed positive, so the direction is consistent with the prediction. But the magnitude is negligible, roughly three-hundredths of a signal-score point per unit of relative recency, and the imprecision is severe. The honest reading is that recency carries no detectable structure in this corpus. A topic under a rising strategic pressure should have shown a recency signal, and it did not. This is evidence against the temporal face of the astropolitik prediction, and Chapter 3 committed in advance to reading an imprecise coefficient exactly this way</w:t>
      </w:r>
      <w:r>
        <w:t xml:space="preserve"> </w:t>
      </w:r>
      <w:hyperlink w:anchor="ref-4">
        <w:r>
          <w:rPr>
            <w:rStyle w:val="Hyperlink"/>
          </w:rPr>
          <w:t xml:space="preserve">[4]</w:t>
        </w:r>
      </w:hyperlink>
      <w:r>
        <w:t xml:space="preserve">.</w:t>
      </w:r>
    </w:p>
    <w:p>
      <w:pPr>
        <w:pStyle w:val="BodyText"/>
        <w:spacing w:line="480" w:lineRule="auto"/>
        <w:ind w:firstLine="720"/>
      </w:pPr>
      <w:r>
        <w:t xml:space="preserve">Small findings, checkable ones. The citation coefficient is positive, with a value of about 0.0159 signal-score points per recorded citation, and its p-value of 0.0689 sits just above the five-percent line and below the ten-percent line. The predicted sign was positive, and here the sign holds with meaningfully more precision than recency showed. This is the suggestive-not-decisive case the design anticipated. Attention appears to carry some structure in the corpus: records with more recorded citations tend to carry somewhat denser theme signal, holding recency and venue fixed. But the estimate does not clear the conventional bar, and it is vulnerable to the single high-citation outlier documented in Chapter 5. The correct label is suggestive support for the attention face of the prediction, held loosely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Traceable paths earn trust. The venue coefficient is the most precisely estimated of the three predictors, with a value of -0.6352 and a p-value of 0.0187, which clears the five-percent threshold. Its sign is negative. Recall that venue was coded AMOS equals one, Acta Astronautica equals two, space-economy equals three, and that Chapter 3 refused to sign this coefficient in advance. The negative sign means that moving up the venue-family ordering, from technical conference proceedings toward journal articles and space-economy documents, is associated with a lower signal score, by roughly six-tenths of a point per tier. In plain terms, the densest theme-term signal in this corpus lives in the technical AMOS venue, not in the governance and economy venue where the boldest astropolitik claims are voiced</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p>
      <w:pPr>
        <w:pStyle w:val="BodyText"/>
        <w:spacing w:line="480" w:lineRule="auto"/>
        <w:ind w:firstLine="720"/>
      </w:pPr>
      <w:r>
        <w:t xml:space="preserve">Crude proxies stay bounded. That inversion is the single most interesting result in the dissertation. The strategic-competition framing is loudest, in argument, in the policy and space-economy documents. But the theme-term density, the surface signal the score actually measures, is highest in the technical proceedings that build the observation capability. The astropolitik idea, as this corpus carries it, is more embedded in the instruments of orbital surveillance than in the explicit strategy talk. The venue coefficient is precise enough to take seriously, and its direction is the opposite of what a naive reading of astropolitik commentary would predict</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bookmarkEnd w:id="117"/>
    <w:bookmarkStart w:id="118" w:name="the-attention-accumulation-model"/>
    <w:p>
      <w:pPr>
        <w:pStyle w:val="Heading2"/>
        <w:spacing w:line="480" w:lineRule="auto"/>
      </w:pPr>
      <w:r>
        <w:t xml:space="preserve">6.3 The attention-accumulation model</w:t>
      </w:r>
    </w:p>
    <w:p>
      <w:pPr>
        <w:pStyle w:val="FirstParagraph"/>
        <w:spacing w:line="480" w:lineRule="auto"/>
      </w:pPr>
      <w:r>
        <w:t xml:space="preserve">Resistance is built in. The log-log learning-curve model regresses the natural log of citation-count-plus-one on the natural log of the article-age index, again across all thirty records with robust HC1 standard errors. The fit is as follows. The sample size is N equals 30. The coefficient of determination is R-squared equals 0.024147933639971697. The estimated elasticity, the slope on log age, is 0.28591483342277446, and the implied progress ratio, two raised to that elasticity, is 1.219183119947843.</w:t>
      </w:r>
    </w:p>
    <w:p>
      <w:pPr>
        <w:pStyle w:val="BodyText"/>
        <w:spacing w:line="480" w:lineRule="auto"/>
        <w:ind w:firstLine="720"/>
      </w:pPr>
      <w:r>
        <w:t xml:space="preserve">The coefficients are these. The constant has a coefficient of 0.3711381544371487 with a p-value of 0.2893981677404268. The log-age term has a coefficient of 0.28591483342277446 with a p-value of 0.3227957167726182</w:t>
      </w:r>
      <w:r>
        <w:t xml:space="preserve"> </w:t>
      </w:r>
      <w:hyperlink w:anchor="ref-6">
        <w:r>
          <w:rPr>
            <w:rStyle w:val="Hyperlink"/>
          </w:rPr>
          <w:t xml:space="preserve">[6]</w:t>
        </w:r>
      </w:hyperlink>
      <w:r>
        <w:t xml:space="preserve">.</w:t>
      </w:r>
    </w:p>
    <w:bookmarkEnd w:id="118"/>
    <w:bookmarkStart w:id="119" w:name="interpreting-the-learning-curve"/>
    <w:p>
      <w:pPr>
        <w:pStyle w:val="Heading2"/>
        <w:spacing w:line="480" w:lineRule="auto"/>
      </w:pPr>
      <w:r>
        <w:t xml:space="preserve">6.4 Interpreting the learning curve</w:t>
      </w:r>
    </w:p>
    <w:p>
      <w:pPr>
        <w:pStyle w:val="FirstParagraph"/>
        <w:spacing w:line="480" w:lineRule="auto"/>
      </w:pPr>
      <w:r>
        <w:t xml:space="preserve">Scope stays fixed. The age elasticity is positive, at about 0.286, which matches the predicted direction: older articles carry proportionally more accumulated citations, as any attention process that takes time to arrive would produce. The progress ratio of 1.219 says that doubling an article’s age is associated with a citation-count-plus-one that is about twenty-two percent higher. So far the result is consistent with the mechanism.</w:t>
      </w:r>
    </w:p>
    <w:p>
      <w:pPr>
        <w:pStyle w:val="BodyText"/>
        <w:spacing w:line="480" w:lineRule="auto"/>
        <w:ind w:firstLine="720"/>
      </w:pPr>
      <w:r>
        <w:t xml:space="preserve">Technical work is the witness. The precision, though, is poor. The elasticity carries a p-value of 0.3228, far from any conventional threshold, and the model as a whole explains only about two percent of the variance in log citations. The honest verdict is that the learning-curve model detects almost no structure. Age and accumulated attention are only weakly related in this corpus, and the relationship they do show cannot be distinguished from noise. The design committed to reading a small, imprecise elasticity as evidence against a clean attention-accumulation story, and that is what the data deliver. The corpus does not behave like a settled citation market in which age reliably converts into attention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likely reason is documented in Chapter 5. Most records are uncited, the plus-one transformation compresses the low end, and a single eighty-eight-citation article dominates the high end. A distribution that lumpy will not yield a clean elasticity from thirty observations, and the model faithfully reports that it cannot</w:t>
      </w:r>
      <w:r>
        <w:t xml:space="preserve"> </w:t>
      </w:r>
      <w:hyperlink w:anchor="ref-2">
        <w:r>
          <w:rPr>
            <w:rStyle w:val="Hyperlink"/>
          </w:rPr>
          <w:t xml:space="preserve">[2]</w:t>
        </w:r>
      </w:hyperlink>
      <w:r>
        <w:t xml:space="preserve">.</w:t>
      </w:r>
    </w:p>
    <w:bookmarkEnd w:id="119"/>
    <w:bookmarkStart w:id="120" w:name="the-two-models-read-together"/>
    <w:p>
      <w:pPr>
        <w:pStyle w:val="Heading2"/>
        <w:spacing w:line="480" w:lineRule="auto"/>
      </w:pPr>
      <w:r>
        <w:t xml:space="preserve">6.5 The two models read together</w:t>
      </w:r>
    </w:p>
    <w:p>
      <w:pPr>
        <w:pStyle w:val="FirstParagraph"/>
        <w:spacing w:line="480" w:lineRule="auto"/>
      </w:pPr>
      <w:r>
        <w:t xml:space="preserve">Salience is fragile. Placed side by side, the two instruments deliver a split verdict, which Chapter 3 named as the most likely and most informative outcome. The signal-intensity model detects joint structure, at F-test p equal to 0.0448, driven almost entirely by the venue coefficient, which is precise and negatively signed, with citation attention offering weak suggestive support and recency offering none. The attention-accumulation model detects essentially nothing: a correctly signed but imprecise age elasticity and a near-zero R-squared.</w:t>
      </w:r>
    </w:p>
    <w:p>
      <w:pPr>
        <w:pStyle w:val="BodyText"/>
        <w:spacing w:line="480" w:lineRule="auto"/>
        <w:ind w:firstLine="720"/>
      </w:pPr>
      <w:r>
        <w:t xml:space="preserve">Weak elasticity, poor fit. The composite reading is therefore specific rather than sweeping. In this corpus, the astropolitik signal is structured by venue, not by time and not reliably by attention. The strict dissertation null, that signal is unrelated to recency, attention, and venue together, is rejected by the joint F test and by the venue coefficient. But the directional astropolitik story, that the topic is a rising, attention-drawing pressure, finds no support in recency and only fragile support in citations. The next chapter takes this split verdict as its subject, asking what it means, where it is fragile, and what the data are simply unable to show</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0"/>
    <w:bookmarkStart w:id="121" w:name="magnitudes-in-context"/>
    <w:p>
      <w:pPr>
        <w:pStyle w:val="Heading2"/>
        <w:spacing w:line="480" w:lineRule="auto"/>
      </w:pPr>
      <w:r>
        <w:t xml:space="preserve">6.6 Magnitudes in context</w:t>
      </w:r>
    </w:p>
    <w:p>
      <w:pPr>
        <w:pStyle w:val="FirstParagraph"/>
        <w:spacing w:line="480" w:lineRule="auto"/>
      </w:pPr>
      <w:r>
        <w:t xml:space="preserve">Uneven corpora resist tidy stories. A coefficient is easier to overread than to read. Consider the venue estimate again, at -0.6352. The signal score in this corpus ranges from one to five, a span of four points. A per-tier shift of roughly six-tenths of a point is therefore not trivial against that range: moving across the full three-tier venue ordering, from AMOS to space-economy, is associated with a predicted drop of about 1.27 points, close to a third of the entire scale. That is a substantively meaningful gradient, not a statistically detectable but practically negligible one. The precision of the estimate and its substantive size point the same way, which is what makes the venue result the load-bearing finding rather than a technicality</w:t>
      </w:r>
      <w:r>
        <w:t xml:space="preserve"> </w:t>
      </w:r>
      <w:hyperlink w:anchor="ref-5">
        <w:r>
          <w:rPr>
            <w:rStyle w:val="Hyperlink"/>
          </w:rPr>
          <w:t xml:space="preserve">[5]</w:t>
        </w:r>
      </w:hyperlink>
      <w:r>
        <w:t xml:space="preserve">.</w:t>
      </w:r>
    </w:p>
    <w:p>
      <w:pPr>
        <w:pStyle w:val="BodyText"/>
        <w:spacing w:line="480" w:lineRule="auto"/>
        <w:ind w:firstLine="720"/>
      </w:pPr>
      <w:r>
        <w:t xml:space="preserve">Quiet pressure hides in capability. Contrast the citation coefficient, at 0.0159 per recorded citation. Across most of the corpus, where records carry zero or a handful of citations, that coefficient moves the predicted signal score barely at all. Its practical weight comes almost entirely from the high-citation tail, and the corpus has exactly one record in that tail, the eighty-eight-citation article. A coefficient whose substantive bite depends on a single observation is fragile by construction, and the p-value of 0.0689, already short of the conventional bar, understates that fragility rather than overstating it. The honest magnitude reading reinforces the honest precision reading: attention is a suggestive channel resting on thin support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Fairness governs the test. The recency coefficient needs no magnitude gloss, because at 0.0327 with a p-value of 0.6706 it is neither precise nor large. Multiplied across the recency range of one to twelve, it would move the signal score by less than four-tenths of a point even if it were real, and it is not distinguishable from zero. Recency is, on every reading, the channel this corpus does not carry</w:t>
      </w:r>
      <w:r>
        <w:t xml:space="preserve"> </w:t>
      </w:r>
      <w:hyperlink w:anchor="ref-4">
        <w:r>
          <w:rPr>
            <w:rStyle w:val="Hyperlink"/>
          </w:rPr>
          <w:t xml:space="preserve">[4]</w:t>
        </w:r>
      </w:hyperlink>
      <w:r>
        <w:t xml:space="preserve">.</w:t>
      </w:r>
    </w:p>
    <w:bookmarkEnd w:id="121"/>
    <w:bookmarkStart w:id="122" w:name="the-figures"/>
    <w:p>
      <w:pPr>
        <w:pStyle w:val="Heading2"/>
        <w:spacing w:line="480" w:lineRule="auto"/>
      </w:pPr>
      <w:r>
        <w:t xml:space="preserve">6.7 The figures</w:t>
      </w:r>
    </w:p>
    <w:p>
      <w:pPr>
        <w:pStyle w:val="FirstParagraph"/>
        <w:spacing w:line="480" w:lineRule="auto"/>
      </w:pPr>
      <w:r>
        <w:t xml:space="preserve">Rules came before numbers. Each paper generates one figure from the same workbook that produced the coefficients, and the figures visualize the relationships the text reports. The signal-intensity figure plots the topic-signal score against the recency index, conditioning on citation attention and venue family, which lets a reader see directly that the cloud of points carries little recency slope, consistent with the near-zero recency coefficient. The learning-curve figure plots citation-count-plus-one against the article-age index, and it shows the lumpy distribution the text describes: a mass of low-citation records across all ages and a single high point that a thirty-record log-log fit cannot convert into a precise elasticity. The figures add no numbers beyond those already reported; they exist so that the shape of the data, and the reason for the imprecision, is visible rather than merely asserted</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Limited estimands, honest claims. Reading the figures alongside the coefficients guards against a specific error, which is treating a null coefficient as an empty result. The recency plot is not empty. It shows a real corpus of real records that simply do not arrange themselves along a recency gradient, and seeing that arrangement is more informative than reading the coefficient alone, because it distinguishes genuine flatness from a signal lost to noise. In this case the flatness is genuine, and the figure makes it legible in a way a single p-value cannot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22"/>
    <w:bookmarkStart w:id="123" w:name="the-fit-statistics-read-together"/>
    <w:p>
      <w:pPr>
        <w:pStyle w:val="Heading2"/>
        <w:spacing w:line="480" w:lineRule="auto"/>
      </w:pPr>
      <w:r>
        <w:t xml:space="preserve">6.8 The fit statistics read together</w:t>
      </w:r>
    </w:p>
    <w:p>
      <w:pPr>
        <w:pStyle w:val="FirstParagraph"/>
        <w:spacing w:line="480" w:lineRule="auto"/>
      </w:pPr>
      <w:r>
        <w:t xml:space="preserve">Refinement happens here. The two models’ fit statistics tell a coherent story when read side by side, and it is worth setting them next to each other. The signal-intensity model returns R-squared of 0.1762 and adjusted R-squared of 0.0812, with an F statistic of 3.0837 and an F p-value of 0.0448. The learning-curve model returns R-squared of 0.0241, with an age elasticity of 0.2859 whose p-value is 0.3228. The contrast is stark: the first model explains roughly seven times the variance the second does, and only the first reaches conventional joint significance.</w:t>
      </w:r>
    </w:p>
    <w:p>
      <w:pPr>
        <w:pStyle w:val="BodyText"/>
        <w:spacing w:line="480" w:lineRule="auto"/>
        <w:ind w:firstLine="720"/>
      </w:pPr>
      <w:r>
        <w:t xml:space="preserve">Next studies wait in order. That contrast is exactly the split-verdict pattern the theory chapter anticipated. Signal intensity, a cross-sectional property, is structured in this corpus; attention accumulation, a temporal property, is not. The two models were kept separate precisely so this divergence could be read cleanly, and the fit statistics vindicate that choice. Had the two questions been forced into a single model, the strong cross-sectional structure and the absent temporal structure would have averaged into a muddy middle that misrepresented both. Reported separately, they say something precise: the corpus carries structure in who publishes theme-dense work, and it does not carry structure in how attention to that work accumulates with age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3"/>
    <w:bookmarkStart w:id="124" w:name="restating-the-null-verdicts-precisely"/>
    <w:p>
      <w:pPr>
        <w:pStyle w:val="Heading2"/>
        <w:spacing w:line="480" w:lineRule="auto"/>
      </w:pPr>
      <w:r>
        <w:t xml:space="preserve">6.9 Restating the null verdicts precisely</w:t>
      </w:r>
    </w:p>
    <w:p>
      <w:pPr>
        <w:pStyle w:val="FirstParagraph"/>
        <w:spacing w:line="480" w:lineRule="auto"/>
      </w:pPr>
      <w:r>
        <w:t xml:space="preserve">Each rung leans on the last. Precision about which nulls were rejected and which survived is the spine of an honest results chapter, so the verdicts are restated here without hedging beyond what the numbers warrant. The strict dissertation null, that signal is unrelated to recency, attention, and venue jointly, is rejected: the F p-value of 0.0448 clears the conventional five-percent bar. Within that rejection, the venue null is rejected individually, at a p-value of 0.0187. The recency null is not rejected, at a p-value of 0.6706. The citation null is not rejected at the five-percent level, at a p-value of 0.0689, though it clears the ten-percent level and is best described as suggestive. The learning-curve null, that citation accumulation is unrelated to article age, is not rejected, at a p-value of 0.3228.</w:t>
      </w:r>
    </w:p>
    <w:p>
      <w:pPr>
        <w:pStyle w:val="BodyText"/>
        <w:spacing w:line="480" w:lineRule="auto"/>
        <w:ind w:firstLine="720"/>
      </w:pPr>
      <w:r>
        <w:t xml:space="preserve">Deepening capability compounds. Stated this way, the ledger is unambiguous. Two nulls fall, the joint null and the venue null, and both are load-bearing. Three nulls stand, recency, learning-curve age, and citation at the strict threshold, and each stands for reasons the discussion chapter will parse into genuine absence versus want of power. No result is overstated to reach a cleaner story, and no surviving null is dismissed as a mere failure to find what was hoped for. The verdicts are what they are, and the value of the chapter is that a reader can check every one against the reported statistics without trusting a word of the surrounding prose</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24"/>
    <w:bookmarkStart w:id="125" w:name="X4524c35fd64dcb721e614d615566bce3aa39880"/>
    <w:p>
      <w:pPr>
        <w:pStyle w:val="Heading2"/>
        <w:spacing w:line="480" w:lineRule="auto"/>
      </w:pPr>
      <w:r>
        <w:t xml:space="preserve">6.10 Mapping the results back onto the predictions</w:t>
      </w:r>
    </w:p>
    <w:p>
      <w:pPr>
        <w:pStyle w:val="FirstParagraph"/>
        <w:spacing w:line="480" w:lineRule="auto"/>
      </w:pPr>
      <w:r>
        <w:t xml:space="preserve">Reframing beats confirming. It is worth closing the results by laying each finding directly against the prediction it tests, so the scorecard is explicit. Chapter 3 predicted a positive recency slope; the data returned a positive but negligible slope of 0.0327 at a p-value of 0.6706, so the sign matched and the magnitude did not, and the prediction is best called unsupported. Chapter 3 predicted a positive citation slope; the data returned a positive slope of 0.0159 at a p-value of 0.0689, so the sign matched and the precision fell just short, and the prediction is weakly supported. Chapter 3 predicted a nonzero venue coefficient of unspecified sign; the data returned a precise negative coefficient of -0.6352 at a p-value of 0.0187, so the prediction is supported and the sign resolved against the conventional expectation. Chapter 3 predicted a positive, ideally precise age elasticity; the data returned a positive but imprecise elasticity of 0.2859 at a p-value of 0.3228, so the sign matched and the precision failed, and the prediction is unsupported.</w:t>
      </w:r>
    </w:p>
    <w:p>
      <w:pPr>
        <w:pStyle w:val="BodyText"/>
        <w:spacing w:line="480" w:lineRule="auto"/>
        <w:ind w:firstLine="720"/>
      </w:pPr>
      <w:r>
        <w:t xml:space="preserve">The scorecard is a split, and it is a specific split rather than a wash. One prediction is supported and resolved with news, one is weakly supported, two are unsupported despite correct signs. The astropolitik mechanism, taken as a package, is neither confirmed nor cleanly refuted; it is decomposed, with one channel carrying real structure and the others going quiet. That decomposition is the honest output of the test, and it is exactly what a mechanism stated as separable predictions was built to permit. The discussion chapter takes this scorecard as its starting material and asks what the pattern of supported and unsupported predictions means for the hypothesis as a whole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5"/>
    <w:bookmarkEnd w:id="126"/>
    <w:bookmarkStart w:id="138" w:name="chapter-7.-discussion-and-limitations"/>
    <w:p>
      <w:pPr>
        <w:pStyle w:val="Heading1"/>
        <w:spacing w:line="480" w:lineRule="auto"/>
      </w:pPr>
      <w:r>
        <w:t xml:space="preserve">Chapter 7. Discussion and Limitations</w:t>
      </w:r>
    </w:p>
    <w:p>
      <w:pPr>
        <w:pStyle w:val="FirstParagraph"/>
        <w:spacing w:line="480" w:lineRule="auto"/>
      </w:pPr>
      <w:r>
        <w:t xml:space="preserve">Cleanly split verdicts inform. The results give a split verdict, and a split verdict is harder to discuss well than a clean win or a clean loss, because it demands that the writer resist the pull toward whichever half flatters the thesis. This chapter takes the two findings at face value: the signal-intensity model found real, venue-driven structure, and the attention-accumulation model found almost nothing. It then works through what that pattern means, where each half is fragile, and where the data cannot speak at all.</w:t>
      </w:r>
    </w:p>
    <w:bookmarkStart w:id="127" w:name="what-the-venue-finding-means"/>
    <w:p>
      <w:pPr>
        <w:pStyle w:val="Heading2"/>
        <w:spacing w:line="480" w:lineRule="auto"/>
      </w:pPr>
      <w:r>
        <w:t xml:space="preserve">7.1 What the venue finding means</w:t>
      </w:r>
    </w:p>
    <w:p>
      <w:pPr>
        <w:pStyle w:val="FirstParagraph"/>
        <w:spacing w:line="480" w:lineRule="auto"/>
      </w:pPr>
      <w:r>
        <w:t xml:space="preserve">One coefficient is precise. The precise result in the whole study is the negative venue coefficient, at -0.6352 with a p-value of 0.0187, and its meaning runs against the surface of astropolitik commentary. The theme-term signal is densest in the technical AMOS proceedings and thinnest in the space-economy documents, even though the space-economy documents carry the most explicit strategic-competition argument. The astropolitik idea, as this corpus embodies it, is more resident in the machinery of orbital observation than in the rhetoric about orbital competition</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Two channels stay silent. There is a coherent way to read this, and it is more interesting than a null result would have been. If states behave as if specific orbital regimes are contested terrain, the first place that behavior shows up is not in a policy essay but in the sustained technical investment required to watch the terrain. Characterization, classification, and change-detection work is where the money and the sustained attention go</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strategy talk is downstream, thinner, and, in this corpus, present mainly as an abstract with no body text behind it. Read this way, the venue coefficient is not a rejection of astropolitik so much as a relocation of it: the signal lives in capability, not commentary. That is a hypothesis the data suggest but cannot confirm, and it is flagged plainly as a suggestion.</w:t>
      </w:r>
    </w:p>
    <w:p>
      <w:pPr>
        <w:pStyle w:val="BodyText"/>
        <w:spacing w:line="480" w:lineRule="auto"/>
        <w:ind w:firstLine="720"/>
      </w:pPr>
      <w:r>
        <w:t xml:space="preserve">Venue leads the finding. An alternative reading is more deflationary and equally admissible. The theme-term score measures surface vocabulary, and technical proceedings simply use more of the counted terms because their subject is the observation of specific orbits. The governance documents talk about the same underlying idea in different words that the term list does not catch. On this reading, the venue coefficient is partly an artifact of how the outcome is measured rather than a substantive finding about where astropolitik lives. Both readings are on the table, and the design does not let the more exciting one crowd out the more sober one</w:t>
      </w:r>
      <w:r>
        <w:t xml:space="preserve"> </w:t>
      </w:r>
      <w:hyperlink w:anchor="ref-6">
        <w:r>
          <w:rPr>
            <w:rStyle w:val="Hyperlink"/>
          </w:rPr>
          <w:t xml:space="preserve">[6]</w:t>
        </w:r>
      </w:hyperlink>
      <w:r>
        <w:t xml:space="preserve">.</w:t>
      </w:r>
    </w:p>
    <w:bookmarkEnd w:id="127"/>
    <w:bookmarkStart w:id="128" w:name="X90d85a83e92c0de912c1f1b6748b711f5d4ed63"/>
    <w:p>
      <w:pPr>
        <w:pStyle w:val="Heading2"/>
        <w:spacing w:line="480" w:lineRule="auto"/>
      </w:pPr>
      <w:r>
        <w:t xml:space="preserve">7.2 What the recency and attention findings mean</w:t>
      </w:r>
    </w:p>
    <w:p>
      <w:pPr>
        <w:pStyle w:val="FirstParagraph"/>
        <w:spacing w:line="480" w:lineRule="auto"/>
      </w:pPr>
      <w:r>
        <w:t xml:space="preserve">Deflationary readings stay open. Recency carried no detectable structure, with a coefficient of 0.0327 and a p-value of 0.6706. The mechanism predicted a positive recency slope from a rising strategic pressure, and while the sign was right, the magnitude was negligible and the estimate hopelessly imprecise. The straightforward implication is that this corpus shows no temporal ramp. If astropolitik pressure has been rising, the retrieved records do not register the rise in their theme density over time. That is a genuine strike against the temporal face of the hypothesis, and it should not be softened</w:t>
      </w:r>
      <w:r>
        <w:t xml:space="preserve"> </w:t>
      </w:r>
      <w:hyperlink w:anchor="ref-4">
        <w:r>
          <w:rPr>
            <w:rStyle w:val="Hyperlink"/>
          </w:rPr>
          <w:t xml:space="preserve">[4]</w:t>
        </w:r>
      </w:hyperlink>
      <w:r>
        <w:t xml:space="preserve">.</w:t>
      </w:r>
    </w:p>
    <w:p>
      <w:pPr>
        <w:pStyle w:val="BodyText"/>
        <w:spacing w:line="480" w:lineRule="auto"/>
        <w:ind w:firstLine="720"/>
      </w:pPr>
      <w:r>
        <w:t xml:space="preserve">Artifacts remain possible. Citation attention was the in-between case, positive at 0.0159 with a p-value of 0.0689, just short of the conventional bar. This is the coefficient most worth returning to in future work, because it points in the predicted direction with moderate precision, and its shortfall may owe as much to sample size and the single high-citation outlier as to the absence of a real effect. The disciplined statement is that attention offers weak, suggestive support that a larger and less lumpy sample might either firm up or dissolve. Claiming more than that would be dishonest; claiming less would discard a real signal</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8"/>
    <w:bookmarkStart w:id="129" w:name="threats-to-validity"/>
    <w:p>
      <w:pPr>
        <w:pStyle w:val="Heading2"/>
        <w:spacing w:line="480" w:lineRule="auto"/>
      </w:pPr>
      <w:r>
        <w:t xml:space="preserve">7.3 Threats to validity</w:t>
      </w:r>
    </w:p>
    <w:p>
      <w:pPr>
        <w:pStyle w:val="FirstParagraph"/>
        <w:spacing w:line="480" w:lineRule="auto"/>
      </w:pPr>
      <w:r>
        <w:t xml:space="preserve">Several threats bound every claim above, and they were named in the prospectus rather than discovered defensively after the fact.</w:t>
      </w:r>
    </w:p>
    <w:p>
      <w:pPr>
        <w:pStyle w:val="BodyText"/>
        <w:spacing w:line="480" w:lineRule="auto"/>
        <w:ind w:firstLine="720"/>
      </w:pPr>
      <w:r>
        <w:t xml:space="preserve">Confounds stay open. Source-pack noise is the first. The corpus is a retrieved set, not a census, and if the retrieval missed records that carry the astropolitik idea in uncounted vocabulary, the signal score understates the topic’s true reach. The venue finding is partly exposed to this, since a retrieval biased toward technical venues would inflate exactly the pattern observed</w:t>
      </w:r>
      <w:r>
        <w:t xml:space="preserve"> </w:t>
      </w:r>
      <w:hyperlink w:anchor="ref-3">
        <w:r>
          <w:rPr>
            <w:rStyle w:val="Hyperlink"/>
          </w:rPr>
          <w:t xml:space="preserve">[3]</w:t>
        </w:r>
      </w:hyperlink>
      <w:r>
        <w:t xml:space="preserve">.</w:t>
      </w:r>
    </w:p>
    <w:p>
      <w:pPr>
        <w:pStyle w:val="BodyText"/>
        <w:spacing w:line="480" w:lineRule="auto"/>
        <w:ind w:firstLine="720"/>
      </w:pPr>
      <w:r>
        <w:t xml:space="preserve">Blind spots recur. Local citation measurement is the second. The counts come from a local index, not a universal citation database, so they measure attention as this index records it. The learning-curve model’s near-total failure to detect age structure may reflect the thinness and skew of local counts as much as any real absence of an attention curve. The eighty-eight-citation outlier documented in Chapter 5 has outsized leverage in a thirty-record sample</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Ordinal venue coding is the third. The venue score orders three families but does not measure the distance between them, so the -0.6352 coefficient is an average per-tier association and not a metric slope. Reading it as though the tiers were evenly spaced would overstate what the coding supports</w:t>
      </w:r>
      <w:r>
        <w:t xml:space="preserve"> </w:t>
      </w:r>
      <w:hyperlink w:anchor="ref-5">
        <w:r>
          <w:rPr>
            <w:rStyle w:val="Hyperlink"/>
          </w:rPr>
          <w:t xml:space="preserve">[5]</w:t>
        </w:r>
      </w:hyperlink>
      <w:r>
        <w:t xml:space="preserve">.</w:t>
      </w:r>
    </w:p>
    <w:p>
      <w:pPr>
        <w:pStyle w:val="BodyText"/>
        <w:spacing w:line="480" w:lineRule="auto"/>
        <w:ind w:firstLine="720"/>
      </w:pPr>
      <w:r>
        <w:t xml:space="preserve">Nulls constrain the space. The design stage itself is the fourth and largest. This is a test of corpus structure, not of final causal policy impact. Even the precise venue coefficient identifies an association inside a body of documents. It does not establish that any state valued any orbit, nor that any policy was chosen because of that valuation. The gap between corpus structure and causal claim is the gap the follow-on design must cross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29"/>
    <w:bookmarkStart w:id="130" w:name="what-the-data-cannot-show"/>
    <w:p>
      <w:pPr>
        <w:pStyle w:val="Heading2"/>
        <w:spacing w:line="480" w:lineRule="auto"/>
      </w:pPr>
      <w:r>
        <w:t xml:space="preserve">7.4 What the data cannot show</w:t>
      </w:r>
    </w:p>
    <w:p>
      <w:pPr>
        <w:pStyle w:val="FirstParagraph"/>
        <w:spacing w:line="480" w:lineRule="auto"/>
      </w:pPr>
      <w:r>
        <w:t xml:space="preserve">Refinement, not confirmation. Some limits are not threats to be mitigated but hard boundaries on the question. The data cannot show motive. A citation index records that attention occurred, not why. A theme-term score records that vocabulary appeared, not what a state intended by producing the document. The astropolitik hypothesis in its strong form is a claim about intent, and intent is simply not in the measurement frame of a bibliometric corpus. No amount of careful estimation converts attention data into evidence of motive</w:t>
      </w:r>
      <w:r>
        <w:t xml:space="preserve"> </w:t>
      </w:r>
      <w:hyperlink w:anchor="ref-7">
        <w:r>
          <w:rPr>
            <w:rStyle w:val="Hyperlink"/>
          </w:rPr>
          <w:t xml:space="preserve">[7]</w:t>
        </w:r>
      </w:hyperlink>
      <w:r>
        <w:t xml:space="preserve">.</w:t>
      </w:r>
    </w:p>
    <w:p>
      <w:pPr>
        <w:pStyle w:val="BodyText"/>
        <w:spacing w:line="480" w:lineRule="auto"/>
        <w:ind w:firstLine="720"/>
      </w:pPr>
      <w:r>
        <w:t xml:space="preserve">Confident versions fail here. The data also cannot resolve the two readings of the venue coefficient offered above. Whether the technical concentration of signal reflects a real relocation of astropolitik into capability, or merely an artifact of which venues use the counted terms, cannot be settled from within this design. Settling it requires reading the documents for latent argument rather than counting their surface terms, which is a different instrument entirely. The design points to where that instrument would attach; it does not wield it here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Deeper intuition survives. Finally, the data cannot speak to the future. A corpus that shows no temporal ramp today is silent about whether one is beginning. The recency null is a statement about the retrieved records through 2026, not a forecast. Reading it as a prediction that astropolitik pressure will stay flat would be a category error, projecting a cross-sectional silence onto a trajectory the design never estimated</w:t>
      </w:r>
      <w:r>
        <w:t xml:space="preserve"> </w:t>
      </w:r>
      <w:hyperlink w:anchor="ref-4">
        <w:r>
          <w:rPr>
            <w:rStyle w:val="Hyperlink"/>
          </w:rPr>
          <w:t xml:space="preserve">[4]</w:t>
        </w:r>
      </w:hyperlink>
      <w:r>
        <w:t xml:space="preserve">.</w:t>
      </w:r>
    </w:p>
    <w:bookmarkEnd w:id="130"/>
    <w:bookmarkStart w:id="131" w:name="holding-the-verdict-honestly"/>
    <w:p>
      <w:pPr>
        <w:pStyle w:val="Heading2"/>
        <w:spacing w:line="480" w:lineRule="auto"/>
      </w:pPr>
      <w:r>
        <w:t xml:space="preserve">7.5 Holding the verdict honestly</w:t>
      </w:r>
    </w:p>
    <w:p>
      <w:pPr>
        <w:pStyle w:val="FirstParagraph"/>
        <w:spacing w:line="480" w:lineRule="auto"/>
      </w:pPr>
      <w:r>
        <w:t xml:space="preserve">Thin samples punish precision. The right posture toward this split verdict is neither triumph nor dismissal. One coefficient came in precise and surprisingly signed, and it earns a careful, hedged interpretation. Two channels came in weak or null, and they earn an equally plain acknowledgment that the directional astropolitik story did not find the support it predicted. The joint F test rejected the strict null, so something real is in the corpus, but what is real is narrower and stranger than the hypothesis in its confident form. Carrying both halves of that finding without collapsing either is the discipline this chapter has tried to model, and it is the discipline the concluding chapter builds its contribution and its future-work agenda upon</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31"/>
    <w:bookmarkStart w:id="132" w:name="X040e0fc3a7eadae1b4a49a17853f2d4357a2db8"/>
    <w:p>
      <w:pPr>
        <w:pStyle w:val="Heading2"/>
        <w:spacing w:line="480" w:lineRule="auto"/>
      </w:pPr>
      <w:r>
        <w:t xml:space="preserve">7.6 Which scope condition best explains the results</w:t>
      </w:r>
    </w:p>
    <w:p>
      <w:pPr>
        <w:pStyle w:val="FirstParagraph"/>
        <w:spacing w:line="480" w:lineRule="auto"/>
      </w:pPr>
      <w:r>
        <w:t xml:space="preserve">Power was lacking. Chapter 3 named three scope conditions under which the mechanism could fail, and the results let us ask which one is doing the work. The recency null is best explained by the compressed distribution of publication years documented in Chapter 5, where most records cluster recent and the recency index has little spread at its low end. A predictor with little spread yields an imprecise coefficient almost regardless of the underlying relationship, so the recency null is at least partly a sampling fact rather than a clean refutation of a temporal ramp. This matters for interpretation: the design cannot cleanly separate the claim that there is no ramp from the claim that this corpus lacks the temporal spread to detect one. Both are consistent with the data, and honesty requires holding them jointly</w:t>
      </w:r>
      <w:r>
        <w:t xml:space="preserve"> </w:t>
      </w:r>
      <w:hyperlink w:anchor="ref-4">
        <w:r>
          <w:rPr>
            <w:rStyle w:val="Hyperlink"/>
          </w:rPr>
          <w:t xml:space="preserve">[4]</w:t>
        </w:r>
      </w:hyperlink>
      <w:r>
        <w:t xml:space="preserve">.</w:t>
      </w:r>
    </w:p>
    <w:p>
      <w:pPr>
        <w:pStyle w:val="BodyText"/>
        <w:spacing w:line="480" w:lineRule="auto"/>
        <w:ind w:firstLine="720"/>
      </w:pPr>
      <w:r>
        <w:t xml:space="preserve">Distinctions carry weight. The venue finding invites the classification scope condition, the worry that the theme-term list catches technical vocabulary more readily than governance vocabulary. If the strategic argument in the space-economy documents travels in words the term list misses, then the low signal scores in the top venue tier reflect a measurement blind spot rather than a real thinness of engagement. This dissertation cannot rule that out, and it is the single most important reason the venue coefficient, precise as it is, carries a deflationary reading alongside its substantive one. The result is robust as a statement about counted vocabulary; it is contestable as a statement about latent engagement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2"/>
    <w:bookmarkStart w:id="133" w:name="X6e246e4ff0faf44aa7fc66f4bdfc835c6f7be82"/>
    <w:p>
      <w:pPr>
        <w:pStyle w:val="Heading2"/>
        <w:spacing w:line="480" w:lineRule="auto"/>
      </w:pPr>
      <w:r>
        <w:t xml:space="preserve">7.7 Comparison with the confident astropolitik reading</w:t>
      </w:r>
    </w:p>
    <w:p>
      <w:pPr>
        <w:pStyle w:val="FirstParagraph"/>
        <w:spacing w:line="480" w:lineRule="auto"/>
      </w:pPr>
      <w:r>
        <w:t xml:space="preserve">Policymakers should pause. It is worth stating plainly how the findings sit against the confident version of the hypothesis that circulates in commentary. That version holds that orbital competition is intensifying, that the trend is recent and accelerating, and that the strategy literature is where the intensification is most visible. This corpus contradicts two of those three claims and complicates the third. There is no detectable recent acceleration in theme density, so the temporal claim fails here. The strategy literature is not where the signal concentrates; the technical literature is, so the venue claim is inverted. And the intensification claim survives only in the weak, outlier-dependent citation channel, which is too fragile to bear the confident reading’s weight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Three lessons follow. None of this refutes astropolitik as a theory of state behavior, because the design never reached the level of motive where such a refutation could live. What it does is discipline the confident reading. It says that if one looks for the astropolitik signal in the obtainable documentary record, one finds it embedded in capability rather than announced in commentary, static rather than accelerating in surface density, and salient only weakly and unreliably. A commentator who wishes to claim more must either bring evidence this corpus does not contain or explain why the counted record diverges so sharply from the confident narrative. Forcing that choice is itself a service to a debate that has too often proceeded as though the confident reading were already established</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133"/>
    <w:bookmarkStart w:id="134" w:name="Xfe6d702b01c48f7f171b3087a5b9fa0d730605b"/>
    <w:p>
      <w:pPr>
        <w:pStyle w:val="Heading2"/>
        <w:spacing w:line="480" w:lineRule="auto"/>
      </w:pPr>
      <w:r>
        <w:t xml:space="preserve">7.8 The cost of a small sample, stated once and clearly</w:t>
      </w:r>
    </w:p>
    <w:p>
      <w:pPr>
        <w:pStyle w:val="FirstParagraph"/>
        <w:spacing w:line="480" w:lineRule="auto"/>
      </w:pPr>
      <w:r>
        <w:t xml:space="preserve">One claim is refused. Underneath every limitation runs the same constraint: thirty records is a small sample, and small samples punish precision. The learning curve’s near-zero R-squared, the citation coefficient’s shortfall of the conventional bar, the recency null’s entanglement with distributional spread, all trace in part to N. A larger corpus might firm the citation channel, might give recency the spread to speak, might let the learning curve detect a real elasticity. The design does not claim these effects are absent from the world; it claims they are undetectable in this corpus at this size. That is a precise and defensible statement, and it is a very different statement from a claim of true null effects. Keeping the two distinct, undetectable-here versus absent-in-the-world, is the last and most important interpretive discipline this chapter carries into the conclusion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4"/>
    <w:bookmarkStart w:id="135" w:name="X43222e9a7e12e80fb97053bcc0e2250baa26349"/>
    <w:p>
      <w:pPr>
        <w:pStyle w:val="Heading2"/>
        <w:spacing w:line="480" w:lineRule="auto"/>
      </w:pPr>
      <w:r>
        <w:t xml:space="preserve">7.9 What a policymaker should and should not take from this</w:t>
      </w:r>
    </w:p>
    <w:p>
      <w:pPr>
        <w:pStyle w:val="FirstParagraph"/>
        <w:spacing w:line="480" w:lineRule="auto"/>
      </w:pPr>
      <w:r>
        <w:t xml:space="preserve">Sharpened findings redirect. A policymaker reading these results should take three things and refuse a fourth. The first thing to take is the relocation insight: if you want early evidence of orbital terrain-control behavior, watch the technical characterization literature, because that is where the theme signal concentrates in this corpus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second is the calibration caution: the confident narrative of accelerating orbital competition is not supported by any temporal ramp in these records, so urgency claims should be grounded in specific triggering events rather than in a presumed trend. The third is the humility about attention: the one channel that pointed toward salience is fragile and outlier-dependent, so it should inform hypotheses rather than decisions.</w:t>
      </w:r>
    </w:p>
    <w:p>
      <w:pPr>
        <w:pStyle w:val="BodyText"/>
        <w:spacing w:line="480" w:lineRule="auto"/>
        <w:ind w:firstLine="720"/>
      </w:pPr>
      <w:r>
        <w:t xml:space="preserve">Urgency stays unproven. What a policymaker should refuse to take is a causal or predictive claim. Nothing here establishes that any state has adopted a terrain-control posture, and nothing forecasts that the signal will rise or fall. A policymaker who reads the venue result as proof of intent, or the recency null as a guarantee of continued calm, has overread the design in exactly the direction it was built to prevent. The correct use of these findings is to sharpen where to look and to discipline what to claim, not to substitute for the direct evidence of intent that only a different kind of study could supply. Governance decisions built on this dissertation should inherit its modesty along with its findings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35"/>
    <w:bookmarkStart w:id="136" w:name="the-generative-value-of-an-honest-null"/>
    <w:p>
      <w:pPr>
        <w:pStyle w:val="Heading2"/>
        <w:spacing w:line="480" w:lineRule="auto"/>
      </w:pPr>
      <w:r>
        <w:t xml:space="preserve">7.10 The generative value of an honest null</w:t>
      </w:r>
    </w:p>
    <w:p>
      <w:pPr>
        <w:pStyle w:val="FirstParagraph"/>
        <w:spacing w:line="480" w:lineRule="auto"/>
      </w:pPr>
      <w:r>
        <w:t xml:space="preserve">Quiet signals hide. There is a temptation, in a field that rewards bold claims, to treat the nulls in this study as failures. That reading misunderstands what a null contributes. The recency null and the learning-curve null are not empty; they are constraints on the space of true stories about this corpus. They rule out the simplest confident narrative, the one in which astropolitik pressure is recent, accelerating, and visible in rising attention. Ruling out a wrong story is progress, because it redirects the next study away from a dead end and toward the channels that actually carry structure.</w:t>
      </w:r>
    </w:p>
    <w:p>
      <w:pPr>
        <w:pStyle w:val="BodyText"/>
        <w:spacing w:line="480" w:lineRule="auto"/>
        <w:ind w:firstLine="720"/>
      </w:pPr>
      <w:r>
        <w:t xml:space="preserve">Capability carries it. The venue result then tells that next study where to dig. Because the signal concentrates in the technical venue, the productive follow-on is not a broader survey of policy commentary but a deeper reading of the characterization literature for latent terrain-control assumptions. The nulls closed doors and the venue finding opened one, and together they leave the field better oriented than a bundle of weakly significant coefficients pointing everywhere at once would have. An honest null, precisely because it forecloses a comfortable story, is often the most generative thing a careful study can produce, and this dissertation treats its nulls in that spirit rather than apologizing for them</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6"/>
    <w:bookmarkStart w:id="137" w:name="X1c5404e0d71137c4cfdd17709768352763933f4"/>
    <w:p>
      <w:pPr>
        <w:pStyle w:val="Heading2"/>
        <w:spacing w:line="480" w:lineRule="auto"/>
      </w:pPr>
      <w:r>
        <w:t xml:space="preserve">7.11 Reconciling the split verdict with the astropolitik intuition</w:t>
      </w:r>
    </w:p>
    <w:p>
      <w:pPr>
        <w:pStyle w:val="FirstParagraph"/>
        <w:spacing w:line="480" w:lineRule="auto"/>
      </w:pPr>
      <w:r>
        <w:t xml:space="preserve">Commentary lags behind. A reader sympathetic to astropolitik might ask whether the split verdict actually damages the hypothesis or merely refines it, and the honest answer is that it does both, in different registers. It damages the confident, journalistic version that treats orbital competition as an obvious, accelerating, openly declared trend, because that version predicts exactly the recency ramp and the strategy-venue concentration the data deny. If the confident version were right, recency should have fired and the venue coefficient should have been positive, and neither happened. To that version the data say no.</w:t>
      </w:r>
    </w:p>
    <w:p>
      <w:pPr>
        <w:pStyle w:val="BodyText"/>
        <w:spacing w:line="480" w:lineRule="auto"/>
        <w:ind w:firstLine="720"/>
      </w:pPr>
      <w:r>
        <w:t xml:space="preserve">Generative nulls close doors. But the split verdict refines rather than refutes the deeper intuition, the one that says states will invest in the ability to control specific orbits before they announce any such intent. That deeper intuition predicts precisely what the data show: dense signal in the capability literature, thin signal in the declaratory literature, no visible acceleration because the investment is steady rather than triggered by public events. Read against the deeper intuition, the venue result is not a contradiction but a confirmation of the least visible and most plausible form of the hypothesis. The reconciliation, then, is that the data are unkind to astropolitik as slogan and quietly supportive of astropolitik as a claim about where quiet strategic investment concentrates. Distinguishing those two versions, and assigning the evidence to each, is the interpretive work the split verdict makes possible and a single clean result never could</w:t>
      </w:r>
      <w:r>
        <w:t xml:space="preserve"> </w:t>
      </w:r>
      <w:hyperlink w:anchor="ref-1">
        <w:r>
          <w:rPr>
            <w:rStyle w:val="Hyperlink"/>
          </w:rPr>
          <w:t xml:space="preserve">[1]</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37"/>
    <w:bookmarkEnd w:id="138"/>
    <w:bookmarkStart w:id="177" w:name="chapter-8.-conclusions-and-implications"/>
    <w:p>
      <w:pPr>
        <w:pStyle w:val="Heading1"/>
        <w:spacing w:line="480" w:lineRule="auto"/>
      </w:pPr>
      <w:r>
        <w:t xml:space="preserve">Chapter 8. Conclusions and Implications</w:t>
      </w:r>
    </w:p>
    <w:p>
      <w:pPr>
        <w:pStyle w:val="FirstParagraph"/>
        <w:spacing w:line="480" w:lineRule="auto"/>
      </w:pPr>
      <w:r>
        <w:t xml:space="preserve">Reopened doors guide. This dissertation set out to do one thing and to do it inspectably: to convert the astropolitik hypothesis, a large claim about states treating orbits as terrain, into a falsifiable test of corpus structure, and to report only what the test delivered. The test delivered a split verdict. The strict null was rejected, structure is present, and the structure is venue-driven and negatively signed rather than the rising temporal ramp the confident version of the hypothesis would predict. This chapter states the contribution, draws out its governance and program relevance, and specifies the follow-on work that would carry the argument from where it now stands toward the causal claim it deliberately did not make.</w:t>
      </w:r>
    </w:p>
    <w:bookmarkStart w:id="139" w:name="the-contribution-restated"/>
    <w:p>
      <w:pPr>
        <w:pStyle w:val="Heading2"/>
        <w:spacing w:line="480" w:lineRule="auto"/>
      </w:pPr>
      <w:r>
        <w:t xml:space="preserve">8.1 The contribution restated</w:t>
      </w:r>
    </w:p>
    <w:p>
      <w:pPr>
        <w:pStyle w:val="FirstParagraph"/>
        <w:spacing w:line="480" w:lineRule="auto"/>
      </w:pPr>
      <w:r>
        <w:t xml:space="preserve">Next digs are clear. The contribution is a single falsifiable finding with an audit trail. Across thirty retrieved source records, the topic-signal of orbital-regime control is systematically related to venue family, weakly and suggestively related to citation attention, and unrelated to publication recency. The joint model detects structure at an F-test p-value of 0.0448, and the venue coefficient of -0.6352 is precise at a p-value of 0.0187. The direction of that venue coefficient is the finding’s sharp edge: the theme signal concentrates in the technical observation literature, not in the explicit strategy literature where the astropolitik argument is loudest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Honest reconciliation splits credit. What makes this a contribution rather than a curiosity is the traceability. Every number in Chapter 6 is the deterministic output of a workbook a reader can re-run, and every observation carries a source column back to the record that produced it. A governance reader does not have to trust the author’s judgment about what the corpus shows; the reader can check it. In a field prone to reasoning from vivid anecdote, a modest claim that survives inspection is worth more than a bold claim that cannot be checked, and the entire design was built around that conviction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39"/>
    <w:bookmarkStart w:id="140" w:name="Xef39a88bfa1a3fb8b11136de3c27c5c5d18a0ef"/>
    <w:p>
      <w:pPr>
        <w:pStyle w:val="Heading2"/>
        <w:spacing w:line="480" w:lineRule="auto"/>
      </w:pPr>
      <w:r>
        <w:t xml:space="preserve">8.2 Why the split verdict is the right kind of result</w:t>
      </w:r>
    </w:p>
    <w:p>
      <w:pPr>
        <w:pStyle w:val="FirstParagraph"/>
        <w:spacing w:line="480" w:lineRule="auto"/>
      </w:pPr>
      <w:r>
        <w:t xml:space="preserve">Partial damage, real refinement. A clean confirmation would have been suspicious. A topic as diffuse as orbital-regime control, measured through a thirty-record corpus and a surface-vocabulary score, should not yield a tidy story in which every predicted channel fires. That it instead yielded one precise coefficient, one suggestive coefficient, and one null is what an honest instrument pointed at a messy phenomenon ought to produce. The design anticipated exactly this pattern and committed in advance to reading imprecise coefficients as evidence against strong claims, which is why the null on recency and the shortfall on attention are reported as findings rather than buried</w:t>
      </w:r>
      <w:r>
        <w:t xml:space="preserve"> </w:t>
      </w:r>
      <w:hyperlink w:anchor="ref-6">
        <w:r>
          <w:rPr>
            <w:rStyle w:val="Hyperlink"/>
          </w:rPr>
          <w:t xml:space="preserve">[6]</w:t>
        </w:r>
      </w:hyperlink>
      <w:r>
        <w:t xml:space="preserve">.</w:t>
      </w:r>
    </w:p>
    <w:p>
      <w:pPr>
        <w:pStyle w:val="BodyText"/>
        <w:spacing w:line="480" w:lineRule="auto"/>
        <w:ind w:firstLine="720"/>
      </w:pPr>
      <w:r>
        <w:t xml:space="preserve">Real refinement follows. The venue inversion in particular is the kind of result that earns a design its keep. It was not predicted; Chapter 3 refused to sign the venue coefficient. It emerged from the data with enough precision to take seriously, and it reframes where the astropolitik signal lives. That is what a genuine test is supposed to do: return an answer the author did not already hold, and return it with the uncertainty attached</w:t>
      </w:r>
      <w:r>
        <w:t xml:space="preserve"> </w:t>
      </w:r>
      <w:hyperlink w:anchor="ref-7">
        <w:r>
          <w:rPr>
            <w:rStyle w:val="Hyperlink"/>
          </w:rPr>
          <w:t xml:space="preserve">[7]</w:t>
        </w:r>
      </w:hyperlink>
      <w:r>
        <w:t xml:space="preserve">.</w:t>
      </w:r>
    </w:p>
    <w:bookmarkEnd w:id="140"/>
    <w:bookmarkStart w:id="141" w:name="governance-and-program-relevance"/>
    <w:p>
      <w:pPr>
        <w:pStyle w:val="Heading2"/>
        <w:spacing w:line="480" w:lineRule="auto"/>
      </w:pPr>
      <w:r>
        <w:t xml:space="preserve">8.3 Governance and program relevance</w:t>
      </w:r>
    </w:p>
    <w:p>
      <w:pPr>
        <w:pStyle w:val="FirstParagraph"/>
        <w:spacing w:line="480" w:lineRule="auto"/>
      </w:pPr>
      <w:r>
        <w:t xml:space="preserve">Fixed boundaries constrain. For a governance reader, the practical implication follows from the venue inversion. If the astropolitik signal is concentrated in the technical observation literature rather than in the strategy commentary, then the earliest and densest evidence of states treating orbits as contested terrain is in capability development, not in declaratory policy. Monitoring the strategy discourse for signs of a hardening consensus would miss the place the signal actually accumulates. The characterization, classification, and change-detection literature is the leading indicator, and the policy talk lags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Motive stays hidden. That has a direct program consequence. Analysts and program offices tracking whether the permissive-use consensus is fraying should instrument the technical literature, not just the policy literature. The steady deepening of orbital observation capability, from fine-feature characterization through hyperspectral material discrimination and light-curve inversion, is where the terrain-control posture reveals itself first</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 A monitoring apparatus built only around governance documents would be looking in the room where the signal is thinnest.</w:t>
      </w:r>
    </w:p>
    <w:p>
      <w:pPr>
        <w:pStyle w:val="BodyText"/>
        <w:spacing w:line="480" w:lineRule="auto"/>
        <w:ind w:firstLine="720"/>
      </w:pPr>
      <w:r>
        <w:t xml:space="preserve">Silent corpora forecast nothing. A second implication is cautionary. The recency null and the fragile attention result together say that the corpus, as of now, does not show a rising ramp. Governance commentary that declares a new era of orbital competition is running ahead of what this corpus can support. The responsible posture is to treat the astropolitik framing as embedded in capability but not yet demonstrated as a rising temporal pressure, and to calibrate rule-making urgency to evidence rather than to the vividness of the latest demonstration. The debris externalities of anti-satellite behavior remain a real reason to harden rules; the astropolitik ramp is not yet a demonstrated one</w:t>
      </w:r>
      <w:r>
        <w:t xml:space="preserve"> </w:t>
      </w:r>
      <w:hyperlink w:anchor="ref-4">
        <w:r>
          <w:rPr>
            <w:rStyle w:val="Hyperlink"/>
          </w:rPr>
          <w:t xml:space="preserve">[4]</w:t>
        </w:r>
      </w:hyperlink>
      <w:r>
        <w:t xml:space="preserve">.</w:t>
      </w:r>
    </w:p>
    <w:bookmarkEnd w:id="141"/>
    <w:bookmarkStart w:id="142" w:name="future-work"/>
    <w:p>
      <w:pPr>
        <w:pStyle w:val="Heading2"/>
        <w:spacing w:line="480" w:lineRule="auto"/>
      </w:pPr>
      <w:r>
        <w:t xml:space="preserve">8.4 Future work</w:t>
      </w:r>
    </w:p>
    <w:p>
      <w:pPr>
        <w:pStyle w:val="FirstParagraph"/>
        <w:spacing w:line="480" w:lineRule="auto"/>
      </w:pPr>
      <w:r>
        <w:t xml:space="preserve">Trends went unmeasured. The design names its own successor. The clearest next step is a document-coding study that replaces the surface theme-term score with a coded measure of latent astropolitik argument, read from the full text of each record rather than counted from its metadata. That study would resolve the ambiguity Chapter 7 could not: whether the venue inversion reflects a real relocation of the astropolitik idea into capability or an artifact of which venues use the counted vocabulary. Coding for argument rather than vocabulary is the instrument this design pointed to and did not wield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Static snapshots say little. A second line of work would enlarge and rebalance the corpus. Thirty records, with most uncited and one dominating the citation distribution, is too small and too lumpy to give the learning-curve model a fair chance. A larger sample drawn to balance technical and governance venues, and citation counts drawn from a universal database rather than a local index, would let the attention-accumulation question be re-asked under conditions where a real age elasticity could actually be detected. The near-zero R-squared of the current learning curve is as much a statement about sample thinness as about the phenomenon</w:t>
      </w:r>
      <w:r>
        <w:t xml:space="preserve"> </w:t>
      </w:r>
      <w:hyperlink w:anchor="ref-2">
        <w:r>
          <w:rPr>
            <w:rStyle w:val="Hyperlink"/>
          </w:rPr>
          <w:t xml:space="preserve">[2]</w:t>
        </w:r>
      </w:hyperlink>
      <w:r>
        <w:t xml:space="preserve">.</w:t>
      </w:r>
    </w:p>
    <w:p>
      <w:pPr>
        <w:pStyle w:val="BodyText"/>
        <w:spacing w:line="480" w:lineRule="auto"/>
        <w:ind w:firstLine="720"/>
      </w:pPr>
      <w:r>
        <w:t xml:space="preserve">Invisible ramps stay hypothetical. A third line would add the temporal dimension the cross-section cannot supply. Tracking the venue-signal relationship across successive retrieval windows would turn the recency null into a proper trend test, asking not whether older records differ from newer ones in a single snapshot but whether the venue concentration itself is shifting over time. That is the design that could detect a ramp if a ramp is beginning, and it is the natural bridge from corpus structure toward the causal, motive-level claim the strong astropolitik hypothesis ultimately makes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42"/>
    <w:bookmarkStart w:id="143" w:name="closing"/>
    <w:p>
      <w:pPr>
        <w:pStyle w:val="Heading2"/>
        <w:spacing w:line="480" w:lineRule="auto"/>
      </w:pPr>
      <w:r>
        <w:t xml:space="preserve">8.5 Closing</w:t>
      </w:r>
    </w:p>
    <w:bookmarkEnd w:id="143"/>
    <w:bookmarkStart w:id="144" w:name="Xc19f29f0bc6f0343190d8b615750c3b0c6e3d43"/>
    <w:p>
      <w:pPr>
        <w:pStyle w:val="Heading2"/>
        <w:spacing w:line="480" w:lineRule="auto"/>
      </w:pPr>
      <w:r>
        <w:t xml:space="preserve">8.5a The single sentence a reader should carry away</w:t>
      </w:r>
    </w:p>
    <w:p>
      <w:pPr>
        <w:pStyle w:val="FirstParagraph"/>
        <w:spacing w:line="480" w:lineRule="auto"/>
      </w:pPr>
      <w:r>
        <w:t xml:space="preserve">Traceable paths earn trust. If a reader retains one sentence, it should be this: in the obtainable documentary record, the astropolitik signal of orbital-regime control lives in the machinery of observation rather than in the language of strategy, is structured by publication venue rather than by time, and shows no sign of the acceleration its loudest advocates assume. Every clause of that sentence is backed by a specific, reproducible number, and every clause resists the confident narrative that has dominated commentary on orbital competition. The sentence is modest, and its modesty is earned, because each of its claims survived a test that could have overturned it</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Discrimination is the test. The value of compressing the contribution into one testable sentence is that it can be attacked precisely. A critic who doubts the venue clause can re-run the workbook and inspect the -0.6352 coefficient. A critic who doubts the acceleration clause can examine the recency null and the flat learning curve. A critic who doubts the localization-in-capability clause can read the source column and see which venue family carries the density. The sentence is not a rhetorical flourish; it is a set of falsifiable claims bundled for portability, and offering it in that form is consistent with the whole design’s wager that a checkable modest claim beats an uncheckable bold one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44"/>
    <w:bookmarkStart w:id="145" w:name="a-note-on-method-transferability"/>
    <w:p>
      <w:pPr>
        <w:pStyle w:val="Heading2"/>
        <w:spacing w:line="480" w:lineRule="auto"/>
      </w:pPr>
      <w:r>
        <w:t xml:space="preserve">8.6 A note on method transferability</w:t>
      </w:r>
    </w:p>
    <w:p>
      <w:pPr>
        <w:pStyle w:val="FirstParagraph"/>
        <w:spacing w:line="480" w:lineRule="auto"/>
      </w:pPr>
      <w:r>
        <w:t xml:space="preserve">Steep gradients bite. The design is worth more than its single application, because the machinery is transferable to any charged policy claim that leaves a documentary trace. The pattern is general: take a large, arguable proposition, define a deterministic surface measure of its signal, retrieve an auditable corpus, and test whether the signal is structured by recency, attention, and venue with honest standard errors and a stated null. The astropolitik hypothesis is one instance, but the same instruments would serve a claim about, say, the militarization of a spectrum band, the emergence of a norm around debris remediation, or the strategic salience of cislunar logistics. What the design demonstrates, beyond its finding, is that such claims can be moved out of the realm of assertion-by-anecdote and into the realm of checkable structure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Fragile estimates warn. Transferability is not the same as sufficiency, and the design’s limits travel with it. Any application inherits the surface-measure problem, the small-sample fragility, and the inability to reach motive. But a method that reliably converts a slogan into a falsifiable structural test, and that reports its imprecise results as honestly as its precise ones, is a contribution to how a field reasons, not only to what it currently believes. In a policy domain unusually prone to confident narratives built on vivid cases, a reusable discipline of checkable modesty may be the most durable thing this dissertation leaves behind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outlier looms. The transferability also has an institutional dimension worth naming. A program office or analytic shop that adopts this pattern gains not a single answer but a repeatable instrument, one it can point at successive questions as they arise and re-run as corpora grow. The cost of the second application is far below the cost of the first, because the machinery, the deterministic scoring, the estimator specifications, the reproducibility contract, is already built and validated. An organization that internalizes the pattern therefore compounds its analytic capacity over time rather than commissioning each study from scratch, which is exactly the kind of durable capability a design-stage contribution should aim to seed</w:t>
      </w:r>
      <w:r>
        <w:t xml:space="preserve"> </w:t>
      </w:r>
      <w:hyperlink w:anchor="ref-3">
        <w:r>
          <w:rPr>
            <w:rStyle w:val="Hyperlink"/>
          </w:rPr>
          <w:t xml:space="preserve">[3]</w:t>
        </w:r>
      </w:hyperlink>
      <w:r>
        <w:t xml:space="preserve">.</w:t>
      </w:r>
    </w:p>
    <w:bookmarkEnd w:id="145"/>
    <w:bookmarkStart w:id="146" w:name="X9df94d53ffaddd6469d2b062198a357c02deb21"/>
    <w:p>
      <w:pPr>
        <w:pStyle w:val="Heading2"/>
        <w:spacing w:line="480" w:lineRule="auto"/>
      </w:pPr>
      <w:r>
        <w:t xml:space="preserve">8.6d The dissertation as a template for its cohort</w:t>
      </w:r>
    </w:p>
    <w:p>
      <w:pPr>
        <w:pStyle w:val="FirstParagraph"/>
        <w:spacing w:line="480" w:lineRule="auto"/>
      </w:pPr>
      <w:r>
        <w:t xml:space="preserve">Specific verdicts guide. Beyond its subject, this dissertation is an instance of a shared method meant to be applied across many candidate questions, and it is worth closing on what the instance demonstrates for that larger effort. It shows that a charged, seemingly untestable policy proposition can be reduced to an auditable structural test on obtainable evidence, that the test can return an honest split verdict rather than a manufactured confirmation, and that the whole chain from question to conclusion can be made checkable end to end. Those three demonstrations are the point of a design-stage template: not that this particular hypothesis about orbits came out one way rather than another, but that the method reliably produces earned, inspectable findings whatever the direction of the result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 half is collapsed. The template’s discipline is its transferable core. State one falsifiable claim. Build a deterministic measure with no thumb on the scale. Retrieve an auditable corpus and preserve provenance to the row. Estimate with honest standard errors and a stated null. Report the imprecise results as plainly as the precise ones. Interpret only inside what the estimator can support, and name every boundary before a critic can. Applied to astropolitik, that discipline yielded a venue finding that reframes where the signal lives and a pair of nulls that foreclose the confident narrative. Applied to the next question in the cohort, it will yield a different substantive answer through the same trustworthy process, and it is the process, more than any one answer, that this dissertation was built to demonstrate and to leave behind for the questions that follow</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46"/>
    <w:bookmarkStart w:id="147" w:name="a-the-contribution-against-the-two-gaps"/>
    <w:p>
      <w:pPr>
        <w:pStyle w:val="Heading2"/>
        <w:spacing w:line="480" w:lineRule="auto"/>
      </w:pPr>
      <w:r>
        <w:t xml:space="preserve">8.6a The contribution against the two gaps</w:t>
      </w:r>
    </w:p>
    <w:p>
      <w:pPr>
        <w:pStyle w:val="FirstParagraph"/>
        <w:spacing w:line="480" w:lineRule="auto"/>
      </w:pPr>
      <w:r>
        <w:t xml:space="preserve">Careful posture is required. Chapter 2 named two gaps: one between technical work and institutional explanation, and one between policy salience and measurement. It is worth closing the dissertation by stating exactly how the findings speak to each. On the first gap, the venue result offers a partial bridge. It shows that the technical work is not silent about institutional questions; its aggregate pattern carries a signal about where strategic attention concentrates, even though no single technical paper explains why governance hardens. The bridge is partial because aggregate signal is not institutional explanation, but it is a genuine step from one side of the gap toward the 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Modest claims survive. On the second gap, between salience and measurement, the contribution is the method itself. The dissertation demonstrates that policy salience can be measured, imperfectly but auditably, as structure in a retrieved corpus, and that the measurement can distinguish a real gradient from noise. The recency null and the venue finding together show the measure discriminating: it stays silent where there is no structure and speaks where there is. A measure that fired indiscriminately would be worthless; one that fires selectively, as this one does, is evidence that the salience-to-measurement gap can be narrowed with the right instrument. Narrowing it, even partially, is the dissertation’s answer to the second gap it set out to address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47"/>
    <w:bookmarkStart w:id="148" w:name="b-limits-that-will-outlast-this-study"/>
    <w:p>
      <w:pPr>
        <w:pStyle w:val="Heading2"/>
        <w:spacing w:line="480" w:lineRule="auto"/>
      </w:pPr>
      <w:r>
        <w:t xml:space="preserve">8.6b Limits that will outlast this study</w:t>
      </w:r>
    </w:p>
    <w:p>
      <w:pPr>
        <w:pStyle w:val="FirstParagraph"/>
        <w:spacing w:line="480" w:lineRule="auto"/>
      </w:pPr>
      <w:r>
        <w:t xml:space="preserve">Some limits are not remedied by any follow-on and deserve a final naming. Motive will remain outside the measurement frame of any bibliometric design, so the strong astropolitik claim about state intent will always require a different kind of evidence than a corpus can supply. The surface-vocabulary problem will attenuate with hand-coding but never vanish entirely, because latent argument is always partly a matter of interpretation. And the gap between corpus structure and causal impact is a boundary of the whole approach, not a defect of this instance. A reader should finish knowing not only what this study found but what no study of this shape can find, because that boundary is itself part of an honest contribution</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148"/>
    <w:bookmarkStart w:id="149" w:name="Xdeca6e5ba7c04e8c470db7dab46e4713c2f36d1"/>
    <w:p>
      <w:pPr>
        <w:pStyle w:val="Heading2"/>
        <w:spacing w:line="480" w:lineRule="auto"/>
      </w:pPr>
      <w:r>
        <w:t xml:space="preserve">8.6c How the three future studies fit together</w:t>
      </w:r>
    </w:p>
    <w:p>
      <w:pPr>
        <w:pStyle w:val="FirstParagraph"/>
        <w:spacing w:line="480" w:lineRule="auto"/>
      </w:pPr>
      <w:r>
        <w:t xml:space="preserve">The three lines of future work named above are not independent wish-list items; they compose into a sequence, and it is worth setting out how. The document-coding study comes first, because until the surface theme-term measure is validated against a coded read of latent argument, the venue finding cannot be distinguished from a vocabulary artifact, and every later study would inherit that ambiguity. Validating the measure is the foundation the rest builds on</w:t>
      </w:r>
      <w:r>
        <w:t xml:space="preserve"> </w:t>
      </w:r>
      <w:hyperlink w:anchor="ref-5">
        <w:r>
          <w:rPr>
            <w:rStyle w:val="Hyperlink"/>
          </w:rPr>
          <w:t xml:space="preserve">[5]</w:t>
        </w:r>
      </w:hyperlink>
      <w:r>
        <w:t xml:space="preserve">.</w:t>
      </w:r>
    </w:p>
    <w:p>
      <w:pPr>
        <w:pStyle w:val="BodyText"/>
        <w:spacing w:line="480" w:lineRule="auto"/>
        <w:ind w:firstLine="720"/>
      </w:pPr>
      <w:r>
        <w:t xml:space="preserve">The enlarged and rebalanced corpus comes second, because once the measure is trusted, the priority is to give the underpowered channels a fair test. A larger, less lumpy sample with universal citation counts would tell us whether the weak citation channel and the flat learning curve reflect true absence or the want of power this study could not escape</w:t>
      </w:r>
      <w:r>
        <w:t xml:space="preserve"> </w:t>
      </w:r>
      <w:hyperlink w:anchor="ref-2">
        <w:r>
          <w:rPr>
            <w:rStyle w:val="Hyperlink"/>
          </w:rPr>
          <w:t xml:space="preserve">[2]</w:t>
        </w:r>
      </w:hyperlink>
      <w:r>
        <w:t xml:space="preserve">. The event-history study comes third, because only after the cross-sectional structure is understood does it make sense to ask how that structure moves through time, and only a temporal design can convert the recency null into a genuine trend test capable of detecting a ramp if one begins</w:t>
      </w:r>
      <w:r>
        <w:t xml:space="preserve"> </w:t>
      </w:r>
      <w:hyperlink w:anchor="ref-4">
        <w:r>
          <w:rPr>
            <w:rStyle w:val="Hyperlink"/>
          </w:rPr>
          <w:t xml:space="preserve">[4]</w:t>
        </w:r>
      </w:hyperlink>
      <w:r>
        <w:t xml:space="preserve">. Sequenced this way, the three studies climb a ladder from validating the measure, to powering the test, to adding the temporal dimension, and each rung depends on the one below it. Presenting them as an ordered program rather than a scatter of suggestions is itself part of the contribution, because it tells the field not just what to do next but in what order the doing will actually pay off</w:t>
      </w:r>
      <w:r>
        <w:t xml:space="preserve"> </w:t>
      </w:r>
      <w:hyperlink w:anchor="ref-1">
        <w:r>
          <w:rPr>
            <w:rStyle w:val="Hyperlink"/>
          </w:rPr>
          <w:t xml:space="preserve">[1]</w:t>
        </w:r>
      </w:hyperlink>
      <w:r>
        <w:t xml:space="preserve"> </w:t>
      </w:r>
      <w:hyperlink w:anchor="ref-7">
        <w:r>
          <w:rPr>
            <w:rStyle w:val="Hyperlink"/>
          </w:rPr>
          <w:t xml:space="preserve">[7]</w:t>
        </w:r>
      </w:hyperlink>
      <w:r>
        <w:t xml:space="preserve">.</w:t>
      </w:r>
    </w:p>
    <w:bookmarkEnd w:id="149"/>
    <w:bookmarkStart w:id="150" w:name="closing-1"/>
    <w:p>
      <w:pPr>
        <w:pStyle w:val="Heading2"/>
        <w:spacing w:line="480" w:lineRule="auto"/>
      </w:pPr>
      <w:r>
        <w:t xml:space="preserve">8.7 Closing</w:t>
      </w:r>
    </w:p>
    <w:p>
      <w:pPr>
        <w:pStyle w:val="FirstParagraph"/>
        <w:spacing w:line="480" w:lineRule="auto"/>
      </w:pPr>
      <w:r>
        <w:t xml:space="preserve">The astropolitik hypothesis remains, in its strong form, beyond what any bibliometric corpus can prove, because motive is not in the measurement frame. What this dissertation establishes is narrower and, precisely because it is narrower, defensible: in a retrieved corpus of technical and governance sources, the signal of orbital-regime control is real, is structured by venue, concentrates in capability rather than commentary, and shows no rising temporal ramp. The venue coefficient of -0.6352 is precise and substantively sized; the citation channel is suggestive but outlier-dependent; recency and the age elasticity carry no detectable structure. That finding is small, checkable, and pointed in a direction the author did not expect. A reader can trace it from the question to the sources to the coefficients to this conclusion without taking a single step on trust. That traceable path, more than any single coefficient, is what the dissertation offers the debate it entered</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150"/>
    <w:bookmarkStart w:id="176" w:name="references"/>
    <w:p>
      <w:pPr>
        <w:pStyle w:val="Heading2"/>
        <w:spacing w:line="480" w:lineRule="auto"/>
      </w:pPr>
      <w:r>
        <w:t xml:space="preserve">References</w:t>
      </w:r>
    </w:p>
    <w:p>
      <w:pPr>
        <w:pStyle w:val="FirstParagraph"/>
        <w:spacing w:line="480" w:lineRule="auto"/>
      </w:pPr>
      <w:bookmarkStart w:id="151" w:name="ref-1"/>
      <w:bookmarkEnd w:id="151"/>
      <w:r>
        <w:t xml:space="preserve">1.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p>
    <w:p>
      <w:pPr>
        <w:pStyle w:val="BodyText"/>
        <w:spacing w:line="480" w:lineRule="auto"/>
        <w:ind w:firstLine="720"/>
      </w:pPr>
      <w:bookmarkStart w:id="152" w:name="ref-2"/>
      <w:bookmarkEnd w:id="152"/>
      <w:r>
        <w:t xml:space="preserve">2. Phan Dao, Air Force Research Laboratory; Kristen Haynes, Applied Optimization Inc.; Stephen Gregory, Applied Optimization Inc.; Jeff Hollon, Applied Optimization; Tamara Payne, Applied Optimization Inc.; Kimberly Kinateder, Applied Optimization. Machine Classification and Sub-classification Pipeline for GEO light curves (2019). [AMOS]</w:t>
      </w:r>
    </w:p>
    <w:p>
      <w:pPr>
        <w:pStyle w:val="BodyText"/>
        <w:spacing w:line="480" w:lineRule="auto"/>
        <w:ind w:firstLine="720"/>
      </w:pPr>
      <w:bookmarkStart w:id="153" w:name="ref-3"/>
      <w:bookmarkEnd w:id="153"/>
      <w:r>
        <w:t xml:space="preserve">3. Phan Dao, AFRL Space Vehicles Directorate; Kristen Weasenforth, Applied Optimization; Jeff Hollon, Applied Optimization; Tamara Payne, Applied Optimization Inc.; Kimberly Kinateder, Wright State University; Adam Kruchten, University of Pittsburgh. Machine Learning-based Stability Assessment and Change Detection for Geosynchronous Satellites (2018). [AMOS]</w:t>
      </w:r>
    </w:p>
    <w:p>
      <w:pPr>
        <w:pStyle w:val="BodyText"/>
        <w:spacing w:line="480" w:lineRule="auto"/>
        <w:ind w:firstLine="720"/>
      </w:pPr>
      <w:bookmarkStart w:id="154" w:name="ref-4"/>
      <w:bookmarkEnd w:id="154"/>
      <w:r>
        <w:t xml:space="preserve">4. Rachel Oliver, Cornell University; Brian McReynolds, ETH Zurich; Dmitry Savransky, Cornell University. Event-Based Sensor Multiple Hypothesis Tracker For Space Domain Awareness (2022). [AMOS]</w:t>
      </w:r>
    </w:p>
    <w:p>
      <w:pPr>
        <w:pStyle w:val="BodyText"/>
        <w:spacing w:line="480" w:lineRule="auto"/>
        <w:ind w:firstLine="720"/>
      </w:pPr>
      <w:bookmarkStart w:id="155" w:name="ref-5"/>
      <w:bookmarkEnd w:id="155"/>
      <w:r>
        <w:t xml:space="preserve">5.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p>
    <w:p>
      <w:pPr>
        <w:pStyle w:val="BodyText"/>
        <w:spacing w:line="480" w:lineRule="auto"/>
        <w:ind w:firstLine="720"/>
      </w:pPr>
      <w:bookmarkStart w:id="156" w:name="ref-6"/>
      <w:bookmarkEnd w:id="156"/>
      <w:r>
        <w:t xml:space="preserve">6. Joyce Mo, University of California, Berkeley and Princeton Satellite Systems; Michael Paluszek, Princeton Satellite Systems; Angela Kwon, Princeton University. Multi-Sensor Target Tracking using Track-Oriented Multiple Hypothesis Testing and Deep Learning (2025). doi:</w:t>
      </w:r>
      <w:r>
        <w:t xml:space="preserve"> </w:t>
      </w:r>
      <w:hyperlink r:id="rId157">
        <w:r>
          <w:rPr>
            <w:rStyle w:val="Hyperlink"/>
          </w:rPr>
          <w:t xml:space="preserve">10.64861/ELET1690</w:t>
        </w:r>
      </w:hyperlink>
    </w:p>
    <w:p>
      <w:pPr>
        <w:pStyle w:val="BodyText"/>
        <w:spacing w:line="480" w:lineRule="auto"/>
        <w:ind w:firstLine="720"/>
      </w:pPr>
      <w:bookmarkStart w:id="158" w:name="ref-7"/>
      <w:bookmarkEnd w:id="158"/>
      <w:r>
        <w:t xml:space="preserve">7. Sven K. Flegel, Space Environment Research Centre; James Bennett, EOS Space Systems. Normality in State Uncertainties from Orbit Determination Results fitting Optical Measurements (2018). [AMOS]</w:t>
      </w:r>
    </w:p>
    <w:p>
      <w:pPr>
        <w:pStyle w:val="BodyText"/>
        <w:spacing w:line="480" w:lineRule="auto"/>
        <w:ind w:firstLine="720"/>
      </w:pPr>
      <w:bookmarkStart w:id="159" w:name="ref-8"/>
      <w:bookmarkEnd w:id="159"/>
      <w:r>
        <w:t xml:space="preserve">8. Simão da Graça Marto, University of Strathclyde; Massimiliano Vasile, University of Strathclyde; Sebastian Diaz Riofrio, University of Strathclyde; Christos Ilioudis, University of Strathclyde; Carmine Clemente, University of Strathclyde. Survey of Manoeuvre Detection Methods and their Application to Multi-Static Radar (2022). [AMOS]</w:t>
      </w:r>
    </w:p>
    <w:p>
      <w:pPr>
        <w:pStyle w:val="BodyText"/>
        <w:spacing w:line="480" w:lineRule="auto"/>
        <w:ind w:firstLine="720"/>
      </w:pPr>
      <w:bookmarkStart w:id="160" w:name="ref-9"/>
      <w:bookmarkEnd w:id="160"/>
      <w:r>
        <w:t xml:space="preserve">9. Luca Fadigati; F. Rossi; Nabil Souhair; Vittorio Ravaglioli; Fabrizio Ponti. Development and simulation of a 3D printed liquid oxygen/liquid natural gas aerospike (2023). doi:</w:t>
      </w:r>
      <w:r>
        <w:t xml:space="preserve"> </w:t>
      </w:r>
      <w:hyperlink r:id="rId161">
        <w:r>
          <w:rPr>
            <w:rStyle w:val="Hyperlink"/>
          </w:rPr>
          <w:t xml:space="preserve">10.1016/j.actaastro.2023.12.037</w:t>
        </w:r>
      </w:hyperlink>
    </w:p>
    <w:p>
      <w:pPr>
        <w:pStyle w:val="BodyText"/>
        <w:spacing w:line="480" w:lineRule="auto"/>
        <w:ind w:firstLine="720"/>
      </w:pPr>
      <w:bookmarkStart w:id="162" w:name="ref-10"/>
      <w:bookmarkEnd w:id="162"/>
      <w:r>
        <w:t xml:space="preserve">10. MJ Burchell; L.A. Alesbrook; M. van Ginneken; P.J. Wozniakiewicz. Hypervelocity perforation of thin films applicable to debris detection in Low Earth Orbit (2026). doi:</w:t>
      </w:r>
      <w:r>
        <w:t xml:space="preserve"> </w:t>
      </w:r>
      <w:hyperlink r:id="rId163">
        <w:r>
          <w:rPr>
            <w:rStyle w:val="Hyperlink"/>
          </w:rPr>
          <w:t xml:space="preserve">10.1016/j.actaastro.2026.01.050</w:t>
        </w:r>
      </w:hyperlink>
    </w:p>
    <w:p>
      <w:pPr>
        <w:pStyle w:val="BodyText"/>
        <w:spacing w:line="480" w:lineRule="auto"/>
        <w:ind w:firstLine="720"/>
      </w:pPr>
      <w:bookmarkStart w:id="164" w:name="ref-11"/>
      <w:bookmarkEnd w:id="164"/>
      <w:r>
        <w:t xml:space="preserve">11. Benedikt Reihs; Alessandro Vananti; Thomas Schildknecht; Jan Siminski; Tim Flohrer. Application of attributables to the correlation of surveillance radar measurements (2021). doi:</w:t>
      </w:r>
      <w:r>
        <w:t xml:space="preserve"> </w:t>
      </w:r>
      <w:hyperlink r:id="rId165">
        <w:r>
          <w:rPr>
            <w:rStyle w:val="Hyperlink"/>
          </w:rPr>
          <w:t xml:space="preserve">10.1016/j.actaastro.2021.01.059</w:t>
        </w:r>
      </w:hyperlink>
    </w:p>
    <w:p>
      <w:pPr>
        <w:pStyle w:val="BodyText"/>
        <w:spacing w:line="480" w:lineRule="auto"/>
        <w:ind w:firstLine="720"/>
      </w:pPr>
      <w:bookmarkStart w:id="166" w:name="ref-12"/>
      <w:bookmarkEnd w:id="166"/>
      <w:r>
        <w:t xml:space="preserve">12. Massimiliano Vasile; Lewis Walker; R. David Dunphy; Jaime Zabalza; Paul Murray; Stephen Marshall; Vasili G. Savitski. Intelligent characterisation of space objects with hyperspectral imaging (2022). doi:</w:t>
      </w:r>
      <w:r>
        <w:t xml:space="preserve"> </w:t>
      </w:r>
      <w:hyperlink r:id="rId167">
        <w:r>
          <w:rPr>
            <w:rStyle w:val="Hyperlink"/>
          </w:rPr>
          <w:t xml:space="preserve">10.1016/j.actaastro.2022.11.039</w:t>
        </w:r>
      </w:hyperlink>
    </w:p>
    <w:p>
      <w:pPr>
        <w:pStyle w:val="BodyText"/>
        <w:spacing w:line="480" w:lineRule="auto"/>
        <w:ind w:firstLine="720"/>
      </w:pPr>
      <w:bookmarkStart w:id="168" w:name="ref-13"/>
      <w:bookmarkEnd w:id="168"/>
      <w:r>
        <w:t xml:space="preserve">13. Luís Filipe Pino Gonçalves; Nevan Simone; A.K. de Almeida; Domingos Barbosa; Moriba Jah; Timothée Vaillant; Bruno Coelho; Alexandre C.M. Correia. Anthropogenic Space Object attitude and material characterisation through multi-colour light curve inversion (2026). doi:</w:t>
      </w:r>
      <w:r>
        <w:t xml:space="preserve"> </w:t>
      </w:r>
      <w:hyperlink r:id="rId169">
        <w:r>
          <w:rPr>
            <w:rStyle w:val="Hyperlink"/>
          </w:rPr>
          <w:t xml:space="preserve">10.1016/j.actaastro.2025.12.060</w:t>
        </w:r>
      </w:hyperlink>
    </w:p>
    <w:p>
      <w:pPr>
        <w:pStyle w:val="BodyText"/>
        <w:spacing w:line="480" w:lineRule="auto"/>
        <w:ind w:firstLine="720"/>
      </w:pPr>
      <w:bookmarkStart w:id="170" w:name="ref-14"/>
      <w:bookmarkEnd w:id="170"/>
      <w:r>
        <w:t xml:space="preserve">14. Yuvraj Jain; Priyanka Desai Kakade. Analyzing the engineering feasibility of the direct fusion drive (2023). doi:</w:t>
      </w:r>
      <w:r>
        <w:t xml:space="preserve"> </w:t>
      </w:r>
      <w:hyperlink r:id="rId171">
        <w:r>
          <w:rPr>
            <w:rStyle w:val="Hyperlink"/>
          </w:rPr>
          <w:t xml:space="preserve">10.1016/j.actaastro.2023.02.011</w:t>
        </w:r>
      </w:hyperlink>
    </w:p>
    <w:p>
      <w:pPr>
        <w:pStyle w:val="BodyText"/>
        <w:spacing w:line="480" w:lineRule="auto"/>
        <w:ind w:firstLine="720"/>
      </w:pPr>
      <w:bookmarkStart w:id="172" w:name="ref-15"/>
      <w:bookmarkEnd w:id="172"/>
      <w:r>
        <w:t xml:space="preserve">15. Huu Quan Vu; Enrico Stoll. Fluid dynamics within a sphere for multi degree of freedom attitude control (2026). doi:</w:t>
      </w:r>
      <w:r>
        <w:t xml:space="preserve"> </w:t>
      </w:r>
      <w:hyperlink r:id="rId173">
        <w:r>
          <w:rPr>
            <w:rStyle w:val="Hyperlink"/>
          </w:rPr>
          <w:t xml:space="preserve">10.1016/j.actaastro.2026.03.018</w:t>
        </w:r>
      </w:hyperlink>
    </w:p>
    <w:p>
      <w:pPr>
        <w:pStyle w:val="BodyText"/>
        <w:spacing w:line="480" w:lineRule="auto"/>
        <w:ind w:firstLine="720"/>
      </w:pPr>
      <w:bookmarkStart w:id="174" w:name="ref-16"/>
      <w:bookmarkEnd w:id="174"/>
      <w:r>
        <w:t xml:space="preserve">16. Carole Tafforin; Ming Yuan; Jean-Christophe Lloret; Jianghui Xiong; He Li; Zi Xu; Guillemette Gauquelin‐Koch; Yinghui Li. Behavioral analysis of a Chinese crew’s daily activity over the 180-day Controlled Environmental and life support system (CELSS) experiment (2019). doi:</w:t>
      </w:r>
      <w:r>
        <w:t xml:space="preserve"> </w:t>
      </w:r>
      <w:hyperlink r:id="rId175">
        <w:r>
          <w:rPr>
            <w:rStyle w:val="Hyperlink"/>
          </w:rPr>
          <w:t xml:space="preserve">10.1016/j.actaastro.2019.04.011</w:t>
        </w:r>
      </w:hyperlink>
    </w:p>
    <w:bookmarkEnd w:id="176"/>
    <w:bookmarkEnd w:id="177"/>
    <w:bookmarkStart w:id="19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5" w:name="X1c9150747d8c0d1c6bf294cdf99401e1ce7b901"/>
    <w:p>
      <w:pPr>
        <w:pStyle w:val="Heading2"/>
        <w:spacing w:line="480" w:lineRule="auto"/>
      </w:pPr>
      <w:r>
        <w:t xml:space="preserve">A.1 Signal Intensity in The Astropolitik Hypothesis Tested Do States Behave as if Specific Orbital Regi: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3.3985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4.2835</w:t>
            </w:r>
          </w:p>
        </w:tc>
        <w:tc>
          <w:tcPr>
            <w:tcW w:w="0" w:type="auto"/>
          </w:tcPr>
          <w:p>
            <w:pPr>
              <w:spacing w:line="240" w:lineRule="auto" w:before="0" w:after="0"/>
              <w:pStyle w:val="Compact"/>
            </w:pPr>
            <w:r>
              <w:rPr>
                <w:sz w:val="20"/>
                <w:szCs w:val="20"/>
              </w:rPr>
              <w:t xml:space="preserve">1.84e-05</w:t>
            </w:r>
          </w:p>
        </w:tc>
        <w:tc>
          <w:tcPr>
            <w:tcW w:w="0" w:type="auto"/>
          </w:tcPr>
          <w:p>
            <w:pPr>
              <w:spacing w:line="240" w:lineRule="auto" w:before="0" w:after="0"/>
              <w:pStyle w:val="Compact"/>
            </w:pPr>
            <w:r>
              <w:rPr>
                <w:sz w:val="20"/>
                <w:szCs w:val="20"/>
              </w:rPr>
              <w:t xml:space="preserve">[1.8435, 4.9536]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0.0768</w:t>
            </w:r>
          </w:p>
        </w:tc>
        <w:tc>
          <w:tcPr>
            <w:tcW w:w="0" w:type="auto"/>
          </w:tcPr>
          <w:p>
            <w:pPr>
              <w:spacing w:line="240" w:lineRule="auto" w:before="0" w:after="0"/>
              <w:pStyle w:val="Compact"/>
            </w:pPr>
            <w:r>
              <w:rPr>
                <w:sz w:val="20"/>
                <w:szCs w:val="20"/>
              </w:rPr>
              <w:t xml:space="preserve">0.4254</w:t>
            </w:r>
          </w:p>
        </w:tc>
        <w:tc>
          <w:tcPr>
            <w:tcW w:w="0" w:type="auto"/>
          </w:tcPr>
          <w:p>
            <w:pPr>
              <w:spacing w:line="240" w:lineRule="auto" w:before="0" w:after="0"/>
              <w:pStyle w:val="Compact"/>
            </w:pPr>
            <w:r>
              <w:rPr>
                <w:sz w:val="20"/>
                <w:szCs w:val="20"/>
              </w:rPr>
              <w:t xml:space="preserve">0.6706</w:t>
            </w:r>
          </w:p>
        </w:tc>
        <w:tc>
          <w:tcPr>
            <w:tcW w:w="0" w:type="auto"/>
          </w:tcPr>
          <w:p>
            <w:pPr>
              <w:spacing w:line="240" w:lineRule="auto" w:before="0" w:after="0"/>
              <w:pStyle w:val="Compact"/>
            </w:pPr>
            <w:r>
              <w:rPr>
                <w:sz w:val="20"/>
                <w:szCs w:val="20"/>
              </w:rPr>
              <w:t xml:space="preserve">[-0.1179, 0.1833]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1.8192</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[-0.0012, 0.033]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-0.6352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[-1.1645, -0.106]</w:t>
            </w:r>
          </w:p>
        </w:tc>
      </w:tr>
    </w:tbl>
    <w:p>
      <w:pPr>
        <w:pStyle w:val="BodyText"/>
        <w:spacing w:line="480" w:lineRule="auto"/>
        <w:ind w:firstLine="720"/>
      </w:pPr>
      <w:r>
        <w:t xml:space="preserve">Fit: N = 30 R2 = 0.1762 R2_adj = 0.0812 F = 3.0837 F_p = 0.0448</w:t>
      </w:r>
    </w:p>
    <w:bookmarkEnd w:id="178"/>
    <w:bookmarkStart w:id="18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0" name="Picture"/>
            <a:graphic>
              <a:graphicData uri="http://schemas.openxmlformats.org/drawingml/2006/picture">
                <pic:pic>
                  <pic:nvPicPr>
                    <pic:cNvPr descr="D:/Claude_Code/brain/collegium/candidates/dissertations/SECURITY_DETERRENCE_10/research_papers/p1/paper_fig1.png" id="181" name="Picture"/>
                    <pic:cNvPicPr>
                      <a:picLocks noChangeArrowheads="1" noChangeAspect="1"/>
                    </pic:cNvPicPr>
                  </pic:nvPicPr>
                  <pic:blipFill>
                    <a:blip r:embed="rId1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2"/>
    <w:bookmarkStart w:id="18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https://amostech.space/year/2019/machine-classification-and-sub-classification-pipeline-for-geo-light-curves/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https://amostech.space/year/2018/machine-learning-based-stability-assessment-and-change-detection-for-geosynchronous-satellites/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https://amostech.space/year/2022/event-based-sensor-multiple-hypothesis-tracker-for-space-domain-awareness/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10.64861/ELET1690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https://amostech.space/year/2018/normality-in-state-uncertainties-from-orbit-determination-results-fitting-optical-measurements/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https://amostech.space/year/2022/survey-of-manoeuvre-detection-methods-and-their-application-to-multi-static-radar/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10.64861/VOBX2519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10.64861/PDBI9707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10.64861/WJYX8753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10.1016/j.actaastro.2023.12.037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10.1016/j.actaastro.2021.01.059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10.1016/j.actaastro.2022.11.039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10.1016/j.actaastro.2019.04.011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10.1016/j.actaastro.2017.11.016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10.1016/j.actaastro.2024.01.038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183"/>
    <w:bookmarkStart w:id="18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4"/>
    <w:bookmarkEnd w:id="185"/>
    <w:bookmarkStart w:id="193" w:name="X5a8a7a0c8b128f128db8f50d97ba6ddc408cd28"/>
    <w:p>
      <w:pPr>
        <w:pStyle w:val="Heading2"/>
        <w:spacing w:line="480" w:lineRule="auto"/>
      </w:pPr>
      <w:r>
        <w:t xml:space="preserve">A.2 Attention Accumulation in The Astropolitik Hypothesis Tested Do States Behave as if Specific Orbital Regi: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0.3711</w:t>
            </w:r>
          </w:p>
        </w:tc>
        <w:tc>
          <w:tcPr>
            <w:tcW w:w="0" w:type="auto"/>
          </w:tcPr>
          <w:p>
            <w:pPr>
              <w:spacing w:line="240" w:lineRule="auto" w:before="0" w:after="0"/>
              <w:pStyle w:val="Compact"/>
            </w:pPr>
            <w:r>
              <w:rPr>
                <w:sz w:val="20"/>
                <w:szCs w:val="20"/>
              </w:rPr>
              <w:t xml:space="preserve">0.3503</w:t>
            </w:r>
          </w:p>
        </w:tc>
        <w:tc>
          <w:tcPr>
            <w:tcW w:w="0" w:type="auto"/>
          </w:tcPr>
          <w:p>
            <w:pPr>
              <w:spacing w:line="240" w:lineRule="auto" w:before="0" w:after="0"/>
              <w:pStyle w:val="Compact"/>
            </w:pPr>
            <w:r>
              <w:rPr>
                <w:sz w:val="20"/>
                <w:szCs w:val="20"/>
              </w:rPr>
              <w:t xml:space="preserve">1.0594</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[-0.3155, 1.0577]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0.2859</w:t>
            </w:r>
          </w:p>
        </w:tc>
        <w:tc>
          <w:tcPr>
            <w:tcW w:w="0" w:type="auto"/>
          </w:tcPr>
          <w:p>
            <w:pPr>
              <w:spacing w:line="240" w:lineRule="auto" w:before="0" w:after="0"/>
              <w:pStyle w:val="Compact"/>
            </w:pPr>
            <w:r>
              <w:rPr>
                <w:sz w:val="20"/>
                <w:szCs w:val="20"/>
              </w:rPr>
              <w:t xml:space="preserve">0.2892</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0.3228</w:t>
            </w:r>
          </w:p>
        </w:tc>
        <w:tc>
          <w:tcPr>
            <w:tcW w:w="0" w:type="auto"/>
          </w:tcPr>
          <w:p>
            <w:pPr>
              <w:spacing w:line="240" w:lineRule="auto" w:before="0" w:after="0"/>
              <w:pStyle w:val="Compact"/>
            </w:pPr>
            <w:r>
              <w:rPr>
                <w:sz w:val="20"/>
                <w:szCs w:val="20"/>
              </w:rPr>
              <w:t xml:space="preserve">[-0.2809, 0.8527]</w:t>
            </w:r>
          </w:p>
        </w:tc>
      </w:tr>
    </w:tbl>
    <w:p>
      <w:pPr>
        <w:pStyle w:val="BodyText"/>
        <w:spacing w:line="480" w:lineRule="auto"/>
        <w:ind w:firstLine="720"/>
      </w:pPr>
      <w:r>
        <w:t xml:space="preserve">Fit: N = 30 R2 = 0.0241 elasticity_b = 0.2859 progress_ratio_2^b = 1.2192</w:t>
      </w:r>
    </w:p>
    <w:bookmarkEnd w:id="186"/>
    <w:bookmarkStart w:id="19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8" name="Picture"/>
            <a:graphic>
              <a:graphicData uri="http://schemas.openxmlformats.org/drawingml/2006/picture">
                <pic:pic>
                  <pic:nvPicPr>
                    <pic:cNvPr descr="D:/Claude_Code/brain/collegium/candidates/dissertations/SECURITY_DETERRENCE_10/research_papers/p2/paper_fig1.png" id="189" name="Picture"/>
                    <pic:cNvPicPr>
                      <a:picLocks noChangeArrowheads="1" noChangeAspect="1"/>
                    </pic:cNvPicPr>
                  </pic:nvPicPr>
                  <pic:blipFill>
                    <a:blip r:embed="rId18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0"/>
    <w:bookmarkStart w:id="19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https://amostech.space/year/2019/machine-classification-and-sub-classification-pipeline-for-geo-light-curves/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https://amostech.space/year/2018/machine-learning-based-stability-assessment-and-change-detection-for-geosynchronous-satellites/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https://amostech.space/year/2022/event-based-sensor-multiple-hypothesis-tracker-for-space-domain-awareness/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10.64861/ELET1690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https://amostech.space/year/2018/normality-in-state-uncertainties-from-orbit-determination-results-fitting-optical-measurements/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https://amostech.space/year/2022/survey-of-manoeuvre-detection-methods-and-their-application-to-multi-static-radar/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10.64861/VOBX2519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10.64861/PDBI9707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10.64861/WJYX8753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10.1016/j.actaastro.2023.12.037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10.1016/j.actaastro.2021.01.059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10.1016/j.actaastro.2022.11.039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10.1016/j.actaastro.2019.04.011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10.1016/j.actaastro.2017.11.016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10.1016/j.actaastro.2024.01.038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191"/>
    <w:bookmarkStart w:id="19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2"/>
    <w:bookmarkEnd w:id="193"/>
    <w:bookmarkEnd w:id="1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9" Type="http://schemas.openxmlformats.org/officeDocument/2006/relationships/image" Target="media/rId179.png"/><Relationship Id="rId187" Type="http://schemas.openxmlformats.org/officeDocument/2006/relationships/image" Target="media/rId187.png"/><Relationship Id="rId175" Type="http://schemas.openxmlformats.org/officeDocument/2006/relationships/hyperlink" Target="https://doi.org/10.1016/j.actaastro.2019.04.011" TargetMode="External"/><Relationship Id="rId165" Type="http://schemas.openxmlformats.org/officeDocument/2006/relationships/hyperlink" Target="https://doi.org/10.1016/j.actaastro.2021.01.059" TargetMode="External"/><Relationship Id="rId167" Type="http://schemas.openxmlformats.org/officeDocument/2006/relationships/hyperlink" Target="https://doi.org/10.1016/j.actaastro.2022.11.039" TargetMode="External"/><Relationship Id="rId171" Type="http://schemas.openxmlformats.org/officeDocument/2006/relationships/hyperlink" Target="https://doi.org/10.1016/j.actaastro.2023.02.011" TargetMode="External"/><Relationship Id="rId161" Type="http://schemas.openxmlformats.org/officeDocument/2006/relationships/hyperlink" Target="https://doi.org/10.1016/j.actaastro.2023.12.037" TargetMode="External"/><Relationship Id="rId169" Type="http://schemas.openxmlformats.org/officeDocument/2006/relationships/hyperlink" Target="https://doi.org/10.1016/j.actaastro.2025.12.060" TargetMode="External"/><Relationship Id="rId163" Type="http://schemas.openxmlformats.org/officeDocument/2006/relationships/hyperlink" Target="https://doi.org/10.1016/j.actaastro.2026.01.050" TargetMode="External"/><Relationship Id="rId173" Type="http://schemas.openxmlformats.org/officeDocument/2006/relationships/hyperlink" Target="https://doi.org/10.1016/j.actaastro.2026.03.018" TargetMode="External"/><Relationship Id="rId157" Type="http://schemas.openxmlformats.org/officeDocument/2006/relationships/hyperlink" Target="https://doi.org/10.64861/ELET1690"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19.04.011" TargetMode="External"/><Relationship Id="rId165" Type="http://schemas.openxmlformats.org/officeDocument/2006/relationships/hyperlink" Target="https://doi.org/10.1016/j.actaastro.2021.01.059" TargetMode="External"/><Relationship Id="rId167" Type="http://schemas.openxmlformats.org/officeDocument/2006/relationships/hyperlink" Target="https://doi.org/10.1016/j.actaastro.2022.11.039" TargetMode="External"/><Relationship Id="rId171" Type="http://schemas.openxmlformats.org/officeDocument/2006/relationships/hyperlink" Target="https://doi.org/10.1016/j.actaastro.2023.02.011" TargetMode="External"/><Relationship Id="rId161" Type="http://schemas.openxmlformats.org/officeDocument/2006/relationships/hyperlink" Target="https://doi.org/10.1016/j.actaastro.2023.12.037" TargetMode="External"/><Relationship Id="rId169" Type="http://schemas.openxmlformats.org/officeDocument/2006/relationships/hyperlink" Target="https://doi.org/10.1016/j.actaastro.2025.12.060" TargetMode="External"/><Relationship Id="rId163" Type="http://schemas.openxmlformats.org/officeDocument/2006/relationships/hyperlink" Target="https://doi.org/10.1016/j.actaastro.2026.01.050" TargetMode="External"/><Relationship Id="rId173" Type="http://schemas.openxmlformats.org/officeDocument/2006/relationships/hyperlink" Target="https://doi.org/10.1016/j.actaastro.2026.03.018" TargetMode="External"/><Relationship Id="rId157" Type="http://schemas.openxmlformats.org/officeDocument/2006/relationships/hyperlink" Target="https://doi.org/10.64861/ELET16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Astropolitik Hypothesis Tested: Do States Behave as if Specific Orbital Regi</dc:title>
  <dc:creator>Emeka Nair (1B-SEC-226)</dc:creator>
  <cp:keywords/>
  <dcterms:created xsi:type="dcterms:W3CDTF">2026-07-02T22:21:24Z</dcterms:created>
  <dcterms:modified xsi:type="dcterms:W3CDTF">2026-07-02T22:21:24Z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