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5dd54ac6d974c886eebc9fdef1fee7dcac59bdd"/>
    <w:p>
      <w:pPr>
        <w:pStyle w:val="Heading1"/>
      </w:pPr>
      <w:r>
        <w:t xml:space="preserve">Signal Intensity in Does Commercial Proliferation Deter Testing Whether Distributed Mega-Constellat: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Aaron Calder (1B-SEC-219) and the dissertation project</w:t>
      </w:r>
      <w:r>
        <w:t xml:space="preserve"> </w:t>
      </w:r>
      <w:r>
        <w:rPr>
          <w:i/>
          <w:iCs/>
        </w:rPr>
        <w:t xml:space="preserve">Does Commercial Proliferation Deter? Testing Whether Distributed Mega-Constellat</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R2=0.40237672076351305, R2_adj=0.3334201885439184, F=12.956486122660955, F_p=2.283475725577938e-05. The exact term summary is: const coef=5.708520542191237 p=0.00016012404246339013; recency_index coef=0.09185952728160353 p=0.49952373585122345; cites_num coef=0.017070530969979077 p=0.05288284122818103; venue_score coef=-1.6025330031967349 p=4.400742708712333e-05.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Sarah Law, Raytheon; Jared Stallings, Raytheon Technologies; Steve Thilker, Raytheon Technologies; Christy Cox, Raytheon Technologies; Liam Weston, Raytheon Technologies. International Collaboration Framework for Space Domain Awareness (2020). [AMOS]</w:t>
      </w:r>
      <w:r>
        <w:t xml:space="preserve"> </w:t>
      </w:r>
      <w:bookmarkStart w:id="68" w:name="ref-2"/>
      <w:bookmarkEnd w:id="68"/>
      <w:r>
        <w:t xml:space="preserve">2. Ryan Hiles, Omitron, Inc.; Amos Alexander, U.S. Space Force; Nicholas Herzer, U.S. Space Force; Diana McKissock, U.S. Space Force; Aaron Mitchell, U.S. Space Force; Jontahan Sapinoso, U.S. Space Force. Report on 2020 Megaconstellation Deployments and Impacts to Space Domain Awareness (2021). [AMOS]</w:t>
      </w:r>
      <w:r>
        <w:t xml:space="preserve"> </w:t>
      </w:r>
      <w:bookmarkStart w:id="69" w:name="ref-3"/>
      <w:bookmarkEnd w:id="69"/>
      <w:r>
        <w:t xml:space="preserve">3. Matthew C. Britton, The Aerospace Corporation; Joseph Mazur, The Aerospace Corporation; Timothy P. Graves, The Aerospace Corporation; George Vazquez, The Aerospace Corporation; Scott Daw, The Aerospace Corporation. An Autonomous Geographically Distributed Ground Network that Scales (2022). [AMOS]</w:t>
      </w:r>
      <w:r>
        <w:t xml:space="preserve"> </w:t>
      </w:r>
      <w:bookmarkStart w:id="70" w:name="ref-4"/>
      <w:bookmarkEnd w:id="70"/>
      <w:r>
        <w:t xml:space="preserve">4. Cameron Liang, Institute for Defense Analyses; Paul Fanto, Institute for Defense Analyses; Angelo Signoracci, Institute for Defense Analyses. On the Increased Risk of Kessler Syndrome by Anti-Satellite Tests (2023). doi:</w:t>
      </w:r>
      <w:r>
        <w:t xml:space="preserve"> </w:t>
      </w:r>
      <w:hyperlink r:id="rId71">
        <w:r>
          <w:rPr>
            <w:rStyle w:val="Hyperlink"/>
          </w:rPr>
          <w:t xml:space="preserve">10.64861/CZGF7141</w:t>
        </w:r>
      </w:hyperlink>
      <w:r>
        <w:t xml:space="preserve"> </w:t>
      </w:r>
      <w:bookmarkStart w:id="72" w:name="ref-5"/>
      <w:bookmarkEnd w:id="72"/>
      <w:r>
        <w:t xml:space="preserve">5. Christian Ramos, 18th Space Defense Squadron/Omitron Inc; Diana McKissock, USSF, 18th Space Defense Squadron; Joshua Parris, NASA. Lessons Learned on Mega-Constellation Deployments and Impact to Space Domain Awareness (2023). doi:</w:t>
      </w:r>
      <w:r>
        <w:t xml:space="preserve"> </w:t>
      </w:r>
      <w:hyperlink r:id="rId73">
        <w:r>
          <w:rPr>
            <w:rStyle w:val="Hyperlink"/>
          </w:rPr>
          <w:t xml:space="preserve">10.64861/UKLE4659</w:t>
        </w:r>
      </w:hyperlink>
      <w:r>
        <w:t xml:space="preserve"> </w:t>
      </w:r>
      <w:bookmarkStart w:id="74" w:name="ref-6"/>
      <w:bookmarkEnd w:id="74"/>
      <w:r>
        <w:t xml:space="preserve">6. Dan Petrovich, RTX; Matt Sandnas, SEAKR Engineering; Jeff Pritchard, SEAKR Engineering; Elvis Silva, Blue Canyon Technologies; Ken Johnson, RTX; Sonny Tahiliani, Raytheon Ventures. A Case for Resilient Hosted Payloads in Proliferated MEO to support Space Domain Awareness (2023). doi:</w:t>
      </w:r>
      <w:r>
        <w:t xml:space="preserve"> </w:t>
      </w:r>
      <w:hyperlink r:id="rId75">
        <w:r>
          <w:rPr>
            <w:rStyle w:val="Hyperlink"/>
          </w:rPr>
          <w:t xml:space="preserve">10.64861/ENMJ6539</w:t>
        </w:r>
      </w:hyperlink>
      <w:r>
        <w:t xml:space="preserve"> </w:t>
      </w:r>
      <w:bookmarkStart w:id="76" w:name="ref-7"/>
      <w:bookmarkEnd w:id="76"/>
      <w:r>
        <w:t xml:space="preserve">7. Mark Werremeyer, Raytheon; Sheldon Clark, Raytheon; Jared Dorny, Raytheon; Vince Pascente, Raytheon. Sensor Network for Global Monitoring of Spacecraft Situational Awareness (2019). [AMOS]</w:t>
      </w:r>
      <w:r>
        <w:t xml:space="preserve"> </w:t>
      </w:r>
      <w:bookmarkStart w:id="77" w:name="ref-8"/>
      <w:bookmarkEnd w:id="77"/>
      <w:r>
        <w:t xml:space="preserve">8. Michael Kezirian, University of Southern California; Max Smith, University of Southern California; George Lloyd, ARCTOS. Integration of Air and Space Traffic Management: Establishing Criteria for Tracking of Debris Objects Prior to Uncontrolled Reentry (2024). doi:</w:t>
      </w:r>
      <w:r>
        <w:t xml:space="preserve"> </w:t>
      </w:r>
      <w:hyperlink r:id="rId78">
        <w:r>
          <w:rPr>
            <w:rStyle w:val="Hyperlink"/>
          </w:rPr>
          <w:t xml:space="preserve">10.64861/RCFO1556</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5.7085</w:t>
            </w:r>
          </w:p>
        </w:tc>
        <w:tc>
          <w:tcPr>
            <w:tcW w:w="0" w:type="auto"/>
          </w:tcPr>
          <w:p>
            <w:pPr>
              <w:spacing w:line="240" w:lineRule="auto" w:before="0" w:after="0"/>
              <w:pStyle w:val="Compact"/>
            </w:pPr>
            <w:r>
              <w:rPr>
                <w:sz w:val="20"/>
                <w:szCs w:val="20"/>
              </w:rPr>
              <w:t xml:space="preserve">1.5123</w:t>
            </w:r>
          </w:p>
        </w:tc>
        <w:tc>
          <w:tcPr>
            <w:tcW w:w="0" w:type="auto"/>
          </w:tcPr>
          <w:p>
            <w:pPr>
              <w:spacing w:line="240" w:lineRule="auto" w:before="0" w:after="0"/>
              <w:pStyle w:val="Compact"/>
            </w:pPr>
            <w:r>
              <w:rPr>
                <w:sz w:val="20"/>
                <w:szCs w:val="20"/>
              </w:rPr>
              <w:t xml:space="preserve">3.7748</w:t>
            </w:r>
          </w:p>
        </w:tc>
        <w:tc>
          <w:tcPr>
            <w:tcW w:w="0" w:type="auto"/>
          </w:tcPr>
          <w:p>
            <w:pPr>
              <w:spacing w:line="240" w:lineRule="auto" w:before="0" w:after="0"/>
              <w:pStyle w:val="Compact"/>
            </w:pPr>
            <w:r>
              <w:rPr>
                <w:sz w:val="20"/>
                <w:szCs w:val="20"/>
              </w:rPr>
              <w:t xml:space="preserve">0.0001601</w:t>
            </w:r>
          </w:p>
        </w:tc>
        <w:tc>
          <w:tcPr>
            <w:tcW w:w="0" w:type="auto"/>
          </w:tcPr>
          <w:p>
            <w:pPr>
              <w:spacing w:line="240" w:lineRule="auto" w:before="0" w:after="0"/>
              <w:pStyle w:val="Compact"/>
            </w:pPr>
            <w:r>
              <w:rPr>
                <w:sz w:val="20"/>
                <w:szCs w:val="20"/>
              </w:rPr>
              <w:t xml:space="preserve">[2.7445, 8.6725]</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0.0919</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0.6752</w:t>
            </w:r>
          </w:p>
        </w:tc>
        <w:tc>
          <w:tcPr>
            <w:tcW w:w="0" w:type="auto"/>
          </w:tcPr>
          <w:p>
            <w:pPr>
              <w:spacing w:line="240" w:lineRule="auto" w:before="0" w:after="0"/>
              <w:pStyle w:val="Compact"/>
            </w:pPr>
            <w:r>
              <w:rPr>
                <w:sz w:val="20"/>
                <w:szCs w:val="20"/>
              </w:rPr>
              <w:t xml:space="preserve">0.4995</w:t>
            </w:r>
          </w:p>
        </w:tc>
        <w:tc>
          <w:tcPr>
            <w:tcW w:w="0" w:type="auto"/>
          </w:tcPr>
          <w:p>
            <w:pPr>
              <w:spacing w:line="240" w:lineRule="auto" w:before="0" w:after="0"/>
              <w:pStyle w:val="Compact"/>
            </w:pPr>
            <w:r>
              <w:rPr>
                <w:sz w:val="20"/>
                <w:szCs w:val="20"/>
              </w:rPr>
              <w:t xml:space="preserve">[-0.1748, 0.3585]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0.0088</w:t>
            </w:r>
          </w:p>
        </w:tc>
        <w:tc>
          <w:tcPr>
            <w:tcW w:w="0" w:type="auto"/>
          </w:tcPr>
          <w:p>
            <w:pPr>
              <w:spacing w:line="240" w:lineRule="auto" w:before="0" w:after="0"/>
              <w:pStyle w:val="Compact"/>
            </w:pPr>
            <w:r>
              <w:rPr>
                <w:sz w:val="20"/>
                <w:szCs w:val="20"/>
              </w:rPr>
              <w:t xml:space="preserve">1.9359</w:t>
            </w:r>
          </w:p>
        </w:tc>
        <w:tc>
          <w:tcPr>
            <w:tcW w:w="0" w:type="auto"/>
          </w:tcPr>
          <w:p>
            <w:pPr>
              <w:spacing w:line="240" w:lineRule="auto" w:before="0" w:after="0"/>
              <w:pStyle w:val="Compact"/>
            </w:pPr>
            <w:r>
              <w:rPr>
                <w:sz w:val="20"/>
                <w:szCs w:val="20"/>
              </w:rPr>
              <w:t xml:space="preserve">0.0529</w:t>
            </w:r>
          </w:p>
        </w:tc>
        <w:tc>
          <w:tcPr>
            <w:tcW w:w="0" w:type="auto"/>
          </w:tcPr>
          <w:p>
            <w:pPr>
              <w:spacing w:line="240" w:lineRule="auto" w:before="0" w:after="0"/>
              <w:pStyle w:val="Compact"/>
            </w:pPr>
            <w:r>
              <w:rPr>
                <w:sz w:val="20"/>
                <w:szCs w:val="20"/>
              </w:rPr>
              <w:t xml:space="preserve">[-0.0002124, 0.0344]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-1.6025</w:t>
            </w:r>
          </w:p>
        </w:tc>
        <w:tc>
          <w:tcPr>
            <w:tcW w:w="0" w:type="auto"/>
          </w:tcPr>
          <w:p>
            <w:pPr>
              <w:spacing w:line="240" w:lineRule="auto" w:before="0" w:after="0"/>
              <w:pStyle w:val="Compact"/>
            </w:pPr>
            <w:r>
              <w:rPr>
                <w:sz w:val="20"/>
                <w:szCs w:val="20"/>
              </w:rPr>
              <w:t xml:space="preserve">0.3923</w:t>
            </w:r>
          </w:p>
        </w:tc>
        <w:tc>
          <w:tcPr>
            <w:tcW w:w="0" w:type="auto"/>
          </w:tcPr>
          <w:p>
            <w:pPr>
              <w:spacing w:line="240" w:lineRule="auto" w:before="0" w:after="0"/>
              <w:pStyle w:val="Compact"/>
            </w:pPr>
            <w:r>
              <w:rPr>
                <w:sz w:val="20"/>
                <w:szCs w:val="20"/>
              </w:rPr>
              <w:t xml:space="preserve">-4.0854</w:t>
            </w:r>
          </w:p>
        </w:tc>
        <w:tc>
          <w:tcPr>
            <w:tcW w:w="0" w:type="auto"/>
          </w:tcPr>
          <w:p>
            <w:pPr>
              <w:spacing w:line="240" w:lineRule="auto" w:before="0" w:after="0"/>
              <w:pStyle w:val="Compact"/>
            </w:pPr>
            <w:r>
              <w:rPr>
                <w:sz w:val="20"/>
                <w:szCs w:val="20"/>
              </w:rPr>
              <w:t xml:space="preserve">4.401e-05</w:t>
            </w:r>
          </w:p>
        </w:tc>
        <w:tc>
          <w:tcPr>
            <w:tcW w:w="0" w:type="auto"/>
          </w:tcPr>
          <w:p>
            <w:pPr>
              <w:spacing w:line="240" w:lineRule="auto" w:before="0" w:after="0"/>
              <w:pStyle w:val="Compact"/>
            </w:pPr>
            <w:r>
              <w:rPr>
                <w:sz w:val="20"/>
                <w:szCs w:val="20"/>
              </w:rPr>
              <w:t xml:space="preserve">[-2.3714, -0.8337]</w:t>
            </w:r>
          </w:p>
        </w:tc>
      </w:tr>
    </w:tbl>
    <w:p>
      <w:pPr>
        <w:pStyle w:val="BodyText"/>
      </w:pPr>
      <w:r>
        <w:t xml:space="preserve">Fit: N = 30 R2 = 0.4024 R2_adj = 0.3334 F = 12.9565 F_p = 2.283e-05</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ECURITY_DETERRENCE_09\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https://amostech.space/year/2020/international-collaboration-framework-for-space-domain-awareness/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https://amostech.space/year/2021/report-on-2020-megaconstellation-deployments-and-impacts-to-space-domain-awareness/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https://amostech.space/year/2022/an-autonomous-geographically-distributed-ground-network-that-scales/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10.64861/UKLE4659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10.64861/ENMJ6539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https://amostech.space/year/2019/sensor-network-for-global-monitoring-of-spacecraft-situational-awareness/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10.64861/RCFO1556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https://amostech.space/year/2021/comparing-photometric-behavior-of-leo-constellations-to-spacex-starlink-using-a-space-based-optical-sensor/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https://amostech.space/year/2022/all-sky-electro-optical-tracking-of-mega-constellations-in-low-earth-orbit/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10.1016/j.actaastro.2018.06.036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10.1016/j.actaastro.2026.01.033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10.1016/j.actaastro.2026.05.060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10.1016/j.actaastro.2022.12.014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Resilience of LEO Constellations to Fragmentation Events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5.7085</w:t>
            </w:r>
          </w:p>
        </w:tc>
        <w:tc>
          <w:tcPr>
            <w:tcW w:w="0" w:type="auto"/>
          </w:tcPr>
          <w:p>
            <w:pPr>
              <w:spacing w:line="240" w:lineRule="auto" w:before="0" w:after="0"/>
              <w:pStyle w:val="Compact"/>
            </w:pPr>
            <w:r>
              <w:rPr>
                <w:sz w:val="20"/>
                <w:szCs w:val="20"/>
              </w:rPr>
              <w:t xml:space="preserve">1.5123</w:t>
            </w:r>
          </w:p>
        </w:tc>
        <w:tc>
          <w:tcPr>
            <w:tcW w:w="0" w:type="auto"/>
          </w:tcPr>
          <w:p>
            <w:pPr>
              <w:spacing w:line="240" w:lineRule="auto" w:before="0" w:after="0"/>
              <w:pStyle w:val="Compact"/>
            </w:pPr>
            <w:r>
              <w:rPr>
                <w:sz w:val="20"/>
                <w:szCs w:val="20"/>
              </w:rPr>
              <w:t xml:space="preserve">3.7748</w:t>
            </w:r>
          </w:p>
        </w:tc>
        <w:tc>
          <w:tcPr>
            <w:tcW w:w="0" w:type="auto"/>
          </w:tcPr>
          <w:p>
            <w:pPr>
              <w:spacing w:line="240" w:lineRule="auto" w:before="0" w:after="0"/>
              <w:pStyle w:val="Compact"/>
            </w:pPr>
            <w:r>
              <w:rPr>
                <w:sz w:val="20"/>
                <w:szCs w:val="20"/>
              </w:rPr>
              <w:t xml:space="preserve">0.0001601</w:t>
            </w:r>
          </w:p>
        </w:tc>
        <w:tc>
          <w:tcPr>
            <w:tcW w:w="0" w:type="auto"/>
          </w:tcPr>
          <w:p>
            <w:pPr>
              <w:spacing w:line="240" w:lineRule="auto" w:before="0" w:after="0"/>
              <w:pStyle w:val="Compact"/>
            </w:pPr>
            <w:r>
              <w:rPr>
                <w:sz w:val="20"/>
                <w:szCs w:val="20"/>
              </w:rPr>
              <w:t xml:space="preserve">[2.7445, 8.6725]</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0.0919</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0.6752</w:t>
            </w:r>
          </w:p>
        </w:tc>
        <w:tc>
          <w:tcPr>
            <w:tcW w:w="0" w:type="auto"/>
          </w:tcPr>
          <w:p>
            <w:pPr>
              <w:spacing w:line="240" w:lineRule="auto" w:before="0" w:after="0"/>
              <w:pStyle w:val="Compact"/>
            </w:pPr>
            <w:r>
              <w:rPr>
                <w:sz w:val="20"/>
                <w:szCs w:val="20"/>
              </w:rPr>
              <w:t xml:space="preserve">0.4995</w:t>
            </w:r>
          </w:p>
        </w:tc>
        <w:tc>
          <w:tcPr>
            <w:tcW w:w="0" w:type="auto"/>
          </w:tcPr>
          <w:p>
            <w:pPr>
              <w:spacing w:line="240" w:lineRule="auto" w:before="0" w:after="0"/>
              <w:pStyle w:val="Compact"/>
            </w:pPr>
            <w:r>
              <w:rPr>
                <w:sz w:val="20"/>
                <w:szCs w:val="20"/>
              </w:rPr>
              <w:t xml:space="preserve">[-0.1748, 0.3585]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0.0088</w:t>
            </w:r>
          </w:p>
        </w:tc>
        <w:tc>
          <w:tcPr>
            <w:tcW w:w="0" w:type="auto"/>
          </w:tcPr>
          <w:p>
            <w:pPr>
              <w:spacing w:line="240" w:lineRule="auto" w:before="0" w:after="0"/>
              <w:pStyle w:val="Compact"/>
            </w:pPr>
            <w:r>
              <w:rPr>
                <w:sz w:val="20"/>
                <w:szCs w:val="20"/>
              </w:rPr>
              <w:t xml:space="preserve">1.9359</w:t>
            </w:r>
          </w:p>
        </w:tc>
        <w:tc>
          <w:tcPr>
            <w:tcW w:w="0" w:type="auto"/>
          </w:tcPr>
          <w:p>
            <w:pPr>
              <w:spacing w:line="240" w:lineRule="auto" w:before="0" w:after="0"/>
              <w:pStyle w:val="Compact"/>
            </w:pPr>
            <w:r>
              <w:rPr>
                <w:sz w:val="20"/>
                <w:szCs w:val="20"/>
              </w:rPr>
              <w:t xml:space="preserve">0.0529</w:t>
            </w:r>
          </w:p>
        </w:tc>
        <w:tc>
          <w:tcPr>
            <w:tcW w:w="0" w:type="auto"/>
          </w:tcPr>
          <w:p>
            <w:pPr>
              <w:spacing w:line="240" w:lineRule="auto" w:before="0" w:after="0"/>
              <w:pStyle w:val="Compact"/>
            </w:pPr>
            <w:r>
              <w:rPr>
                <w:sz w:val="20"/>
                <w:szCs w:val="20"/>
              </w:rPr>
              <w:t xml:space="preserve">[-0.0002124, 0.0344]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-1.6025</w:t>
            </w:r>
          </w:p>
        </w:tc>
        <w:tc>
          <w:tcPr>
            <w:tcW w:w="0" w:type="auto"/>
          </w:tcPr>
          <w:p>
            <w:pPr>
              <w:spacing w:line="240" w:lineRule="auto" w:before="0" w:after="0"/>
              <w:pStyle w:val="Compact"/>
            </w:pPr>
            <w:r>
              <w:rPr>
                <w:sz w:val="20"/>
                <w:szCs w:val="20"/>
              </w:rPr>
              <w:t xml:space="preserve">0.3923</w:t>
            </w:r>
          </w:p>
        </w:tc>
        <w:tc>
          <w:tcPr>
            <w:tcW w:w="0" w:type="auto"/>
          </w:tcPr>
          <w:p>
            <w:pPr>
              <w:spacing w:line="240" w:lineRule="auto" w:before="0" w:after="0"/>
              <w:pStyle w:val="Compact"/>
            </w:pPr>
            <w:r>
              <w:rPr>
                <w:sz w:val="20"/>
                <w:szCs w:val="20"/>
              </w:rPr>
              <w:t xml:space="preserve">-4.0854</w:t>
            </w:r>
          </w:p>
        </w:tc>
        <w:tc>
          <w:tcPr>
            <w:tcW w:w="0" w:type="auto"/>
          </w:tcPr>
          <w:p>
            <w:pPr>
              <w:spacing w:line="240" w:lineRule="auto" w:before="0" w:after="0"/>
              <w:pStyle w:val="Compact"/>
            </w:pPr>
            <w:r>
              <w:rPr>
                <w:sz w:val="20"/>
                <w:szCs w:val="20"/>
              </w:rPr>
              <w:t xml:space="preserve">4.401e-05</w:t>
            </w:r>
          </w:p>
        </w:tc>
        <w:tc>
          <w:tcPr>
            <w:tcW w:w="0" w:type="auto"/>
          </w:tcPr>
          <w:p>
            <w:pPr>
              <w:spacing w:line="240" w:lineRule="auto" w:before="0" w:after="0"/>
              <w:pStyle w:val="Compact"/>
            </w:pPr>
            <w:r>
              <w:rPr>
                <w:sz w:val="20"/>
                <w:szCs w:val="20"/>
              </w:rPr>
              <w:t xml:space="preserve">[-2.3714, -0.8337]</w:t>
            </w:r>
          </w:p>
        </w:tc>
      </w:tr>
    </w:tbl>
    <w:p>
      <w:pPr>
        <w:pStyle w:val="BodyText"/>
      </w:pPr>
      <w:r>
        <w:t xml:space="preserve">Fit: N = 30 R2 = 0.4024 R2_adj = 0.3334 F = 12.9565 F_p = 2.283e-05</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1" Target="https://doi.org/10.64861/CZGF7141" TargetMode="External" /><Relationship Type="http://schemas.openxmlformats.org/officeDocument/2006/relationships/hyperlink" Id="rId75" Target="https://doi.org/10.64861/ENMJ6539" TargetMode="External" /><Relationship Type="http://schemas.openxmlformats.org/officeDocument/2006/relationships/hyperlink" Id="rId78" Target="https://doi.org/10.64861/RCFO1556" TargetMode="External" /><Relationship Type="http://schemas.openxmlformats.org/officeDocument/2006/relationships/hyperlink" Id="rId73" Target="https://doi.org/10.64861/UKLE4659"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64861/CZGF7141" TargetMode="External" /><Relationship Type="http://schemas.openxmlformats.org/officeDocument/2006/relationships/hyperlink" Id="rId75" Target="https://doi.org/10.64861/ENMJ6539" TargetMode="External" /><Relationship Type="http://schemas.openxmlformats.org/officeDocument/2006/relationships/hyperlink" Id="rId78" Target="https://doi.org/10.64861/RCFO1556" TargetMode="External" /><Relationship Type="http://schemas.openxmlformats.org/officeDocument/2006/relationships/hyperlink" Id="rId73" Target="https://doi.org/10.64861/UKLE465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2026-06-29T09:43:04Z</dcterms:created>
  <dcterms:modified xsi:type="dcterms:W3CDTF">2026-06-29T09:43:04Z</dcterms:modified>
</cp:coreProperties>
</file>

<file path=docProps/custom.xml><?xml version="1.0" encoding="utf-8"?>
<Properties xmlns="http://schemas.openxmlformats.org/officeDocument/2006/custom-properties" xmlns:vt="http://schemas.openxmlformats.org/officeDocument/2006/docPropsVTypes"/>
</file>