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DOES COMMERCIAL PROLIFERATION DETER? TESTING WHETHER DISTRIBUTED MEGA-CONSTELLAT</w:t>
      </w:r>
    </w:p>
    <w:p>
      <w:pPr>
        <w:jc w:val="center"/>
      </w:pPr>
    </w:p>
    <w:p>
      <w:pPr>
        <w:jc w:val="center"/>
      </w:pPr>
      <w:r>
        <w:rPr>
          <w:rFonts w:ascii="Times New Roman" w:hAnsi="Times New Roman"/>
          <w:sz w:val="24"/>
        </w:rPr>
        <w:t>by</w:t>
      </w:r>
    </w:p>
    <w:p>
      <w:pPr>
        <w:jc w:val="center"/>
      </w:pPr>
      <w:r>
        <w:rPr>
          <w:rFonts w:ascii="Times New Roman" w:hAnsi="Times New Roman"/>
          <w:b/>
          <w:sz w:val="28"/>
        </w:rPr>
        <w:t>Aaron Calder</w:t>
      </w:r>
    </w:p>
    <w:p>
      <w:pPr>
        <w:jc w:val="center"/>
      </w:pPr>
      <w:r>
        <w:rPr>
          <w:rFonts w:ascii="Times New Roman" w:hAnsi="Times New Roman"/>
          <w:sz w:val="24"/>
        </w:rPr>
        <w:t>1B-SEC-219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p>
      <w:pPr>
        <w:pStyle w:val="FirstParagraph"/>
        <w:spacing w:line="480" w:lineRule="auto"/>
      </w:pPr>
      <w:r>
        <w:t xml:space="preserve">Deterrence has a geometry. For most of the space age that geometry was concentrated: a small number of exquisite, expensive, government-owned satellites, each one a target whose loss would be strategically legible and militarily consequential. An adversary contemplating an attack on such an architecture could reason about it the way one reasons about a single fortress. Knock out the node and the capability degrades. That logic is now under pressure. Distributed commercial mega-constellations, built from hundreds or thousands of small, cheap, rapidly replaceable satellites, change the shape of the target set, and in changing its shape they may change whether the target set can be deterred at all. This dissertation asks a question that follows directly from that shift. Does commercial proliferation deter? More precisely, it asks whether the migration of national security functions onto distributed mega-constellations is visible as a structured, measurable phenomenon in the professional literature that documents those constellations, before it asks the larger and harder question of whether the resulting architecture actually alters an adversary’s calculus.</w:t>
      </w:r>
    </w:p>
    <w:p>
      <w:pPr>
        <w:pStyle w:val="BodyText"/>
        <w:spacing w:line="480" w:lineRule="auto"/>
        <w:ind w:firstLine="720"/>
      </w:pPr>
      <w:r>
        <w:t xml:space="preserve">The distinction between those two questions is the discipline of this project. A great deal has been written, in policy venues and in the trade press, asserting that proliferation confers resilience and that resilience confers deterrence by denial. The assertion is intuitive. If no single satellite matters, then no single anti-satellite strike matters, and an adversary who cannot achieve a decisive effect at acceptable cost may be deterred from trying</w:t>
      </w:r>
      <w:r>
        <w:t xml:space="preserve"> </w:t>
      </w:r>
      <w:hyperlink w:anchor="ref-4">
        <w:r>
          <w:rPr>
            <w:rStyle w:val="Hyperlink"/>
          </w:rPr>
          <w:t xml:space="preserve">[4]</w:t>
        </w:r>
      </w:hyperlink>
      <w:r>
        <w:t xml:space="preserve">. Intuition is not evidence, and the deterrence claim smuggles in several empirical premises that are rarely tested. This dissertation does not pretend to resolve the full causal claim with the data available to it. It resolves a narrower, prior, and honestly falsifiable question: whether the topic of commercial proliferation and distributed space architecture is systematically organized in the retrieved source corpus by publication timing, by citation attention, and by the family of venue in which it appears. That is a claim about the structure of evidence, and it is one the data can actually adjudicate.</w:t>
      </w:r>
    </w:p>
    <w:bookmarkStart w:id="61" w:name="the-problem-and-why-it-matters-now"/>
    <w:p>
      <w:pPr>
        <w:pStyle w:val="Heading2"/>
        <w:spacing w:line="480" w:lineRule="auto"/>
      </w:pPr>
      <w:r>
        <w:t xml:space="preserve">The problem and why it matters now</w:t>
      </w:r>
    </w:p>
    <w:p>
      <w:pPr>
        <w:pStyle w:val="FirstParagraph"/>
        <w:spacing w:line="480" w:lineRule="auto"/>
      </w:pPr>
      <w:r>
        <w:t xml:space="preserve">The problem is timing. Governance for space security tends to arrive after the operational facts, not before them, and the interval between the two is where risk accumulates. When two thousand satellites in a single constellation begin performing functions that were formerly the province of a dozen national assets, the questions of who may attack them, under what law, and with what expectation of response are already live, whether or not any institution has answered them</w:t>
      </w:r>
      <w:r>
        <w:t xml:space="preserve"> </w:t>
      </w:r>
      <w:hyperlink w:anchor="ref-5">
        <w:r>
          <w:rPr>
            <w:rStyle w:val="Hyperlink"/>
          </w:rPr>
          <w:t xml:space="preserve">[5]</w:t>
        </w:r>
      </w:hyperlink>
      <w:r>
        <w:t xml:space="preserve">. The megaconstellation deployments of 2020 and after produced exactly this condition: a rapid change in the physical population of low Earth orbit that the tracking and governance apparatus was still catching up to</w:t>
      </w:r>
      <w:r>
        <w:t xml:space="preserve"> </w:t>
      </w:r>
      <w:hyperlink w:anchor="ref-2">
        <w:r>
          <w:rPr>
            <w:rStyle w:val="Hyperlink"/>
          </w:rPr>
          <w:t xml:space="preserve">[2]</w:t>
        </w:r>
      </w:hyperlink>
      <w:r>
        <w:t xml:space="preserve">. If the deterrence properties of these architectures are being asserted faster than they are being measured, then the community is reasoning about strategic stability on the basis of a claim it has not audited.</w:t>
      </w:r>
    </w:p>
    <w:p>
      <w:pPr>
        <w:pStyle w:val="BodyText"/>
        <w:spacing w:line="480" w:lineRule="auto"/>
        <w:ind w:firstLine="720"/>
      </w:pPr>
      <w:r>
        <w:t xml:space="preserve">This is a governance problem and it is also a measurement problem. The measurement problem is the one this dissertation can attack directly. Before anyone can credibly test whether distributed architectures deter, the community needs to know whether the phenomenon it is theorizing about is even coherently present in the record, or whether it is a diffuse policy mood attached to a handful of vivid deployments. If the topic signal is real, it should leave fingerprints. It should be denser in recent work than in older work, because the deployments that motivate it are recent. It should attract citation attention if it is doing analytical work rather than decorating press releases. It should distribute unevenly across venue families, because technical, scientific, and economic communities frame the same object differently</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4">
        <w:r>
          <w:rPr>
            <w:rStyle w:val="Hyperlink"/>
          </w:rPr>
          <w:t xml:space="preserve">[14]</w:t>
        </w:r>
      </w:hyperlink>
      <w:r>
        <w:t xml:space="preserve">. Those fingerprints are testable, and testing them is the empirical spine of this project.</w:t>
      </w:r>
    </w:p>
    <w:p>
      <w:pPr>
        <w:pStyle w:val="BodyText"/>
        <w:spacing w:line="480" w:lineRule="auto"/>
        <w:ind w:firstLine="720"/>
      </w:pPr>
      <w:r>
        <w:t xml:space="preserve">Two channels underlie the deterrence intuition, and it helps to see them separately at the outset. The first is a futility channel: with capability spread across thousands of replaceable nodes, no achievable number of strikes degrades the mission, so an adversary faces the sheer impracticality of the attempt</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second is an environmental channel: a kinetic strike in a crowded shell risks a debris cascade that harms the attacker’s own assets, raising the shared cost of engagement even where it does not raise the number of strikes required</w:t>
      </w:r>
      <w:r>
        <w:t xml:space="preserve"> </w:t>
      </w:r>
      <w:hyperlink w:anchor="ref-4">
        <w:r>
          <w:rPr>
            <w:rStyle w:val="Hyperlink"/>
          </w:rPr>
          <w:t xml:space="preserve">[4]</w:t>
        </w:r>
      </w:hyperlink>
      <w:r>
        <w:t xml:space="preserve"> </w:t>
      </w:r>
      <w:hyperlink w:anchor="ref-12">
        <w:r>
          <w:rPr>
            <w:rStyle w:val="Hyperlink"/>
          </w:rPr>
          <w:t xml:space="preserve">[12]</w:t>
        </w:r>
      </w:hyperlink>
      <w:r>
        <w:t xml:space="preserve">. Both channels point toward restraint, and both are engineering-and-physics claims rather than measured strategic outcomes, which is why the dissertation tests whether the topic they belong to is coherent in the record rather than trying to observe the calculus itself</w:t>
      </w:r>
      <w:r>
        <w:t xml:space="preserve"> </w:t>
      </w:r>
      <w:hyperlink w:anchor="ref-2">
        <w:r>
          <w:rPr>
            <w:rStyle w:val="Hyperlink"/>
          </w:rPr>
          <w:t xml:space="preserve">[2]</w:t>
        </w:r>
      </w:hyperlink>
      <w:r>
        <w:t xml:space="preserve">.</w:t>
      </w:r>
    </w:p>
    <w:p>
      <w:pPr>
        <w:pStyle w:val="BodyText"/>
        <w:spacing w:line="480" w:lineRule="auto"/>
        <w:ind w:firstLine="720"/>
      </w:pPr>
      <w:r>
        <w:t xml:space="preserve">The stakes attach to the interval, not to the eventual answer. Every year the deterrence claim circulates without an audit is a year in which force posture, licensing policy, and international negotiating positions may be quietly built on an unverified premise. A proliferated architecture that is assumed to deter, but does not, invites exactly the attack it was supposed to forestall, because an adversary who has correctly judged the architecture non-decisive faces a defender who has miscalculated its own resilience. The reverse error is quieter but not costless: a defender who underrates the deterrent value of distribution may over-invest in hardening or redundancy that the physics of proliferation already supplies. Neither error is cheap, and both are the predictable result of reasoning from intuition rather than from a measured baseline</w:t>
      </w:r>
      <w:r>
        <w:t xml:space="preserve"> </w:t>
      </w:r>
      <w:hyperlink w:anchor="ref-6">
        <w:r>
          <w:rPr>
            <w:rStyle w:val="Hyperlink"/>
          </w:rPr>
          <w:t xml:space="preserve">[6]</w:t>
        </w:r>
      </w:hyperlink>
      <w:r>
        <w:t xml:space="preserve">.</w:t>
      </w:r>
    </w:p>
    <w:bookmarkEnd w:id="61"/>
    <w:bookmarkStart w:id="62" w:name="the-one-falsifiable-contribution"/>
    <w:p>
      <w:pPr>
        <w:pStyle w:val="Heading2"/>
        <w:spacing w:line="480" w:lineRule="auto"/>
      </w:pPr>
      <w:r>
        <w:t xml:space="preserve">The one falsifiable contribution</w:t>
      </w:r>
    </w:p>
    <w:p>
      <w:pPr>
        <w:pStyle w:val="FirstParagraph"/>
        <w:spacing w:line="480" w:lineRule="auto"/>
      </w:pPr>
      <w:r>
        <w:t xml:space="preserve">This dissertation makes a single falsifiable contribution. It states, and then tests, the claim that the commercial-proliferation topic signal is systematically related to three observable features of each source record: its publication recency, its citation attention, and its venue family. The null is that it is not. Formally, the null hypothesis holds that the topic-signal intensity measured in a retrieved source is unrelated to when the source was published, how much attention it has drawn, and which venue family produced it. The alternative holds that the signal rises with recency and with attention and varies systematically across venue families.</w:t>
      </w:r>
    </w:p>
    <w:p>
      <w:pPr>
        <w:pStyle w:val="BodyText"/>
        <w:spacing w:line="480" w:lineRule="auto"/>
        <w:ind w:firstLine="720"/>
      </w:pPr>
      <w:r>
        <w:t xml:space="preserve">That contribution is deliberately modest in scope and deliberately sharp in form. It is modest because it does not claim to measure deterrence itself; no observational corpus of publication metadata can do that, and pretending otherwise would be the kind of overreach this project exists to avoid. It is sharp because it is stated as a rejectable proposition with a specified estimator, a specified sample, and a specified decision rule. If the estimator returns weak and imprecise associations, the community learns something real: that the proliferation-deterrence conversation is not yet organized enough in the literature to support strong measured claims, and that a more direct document-coding design is needed before the causal question can be approached</w:t>
      </w:r>
      <w:r>
        <w:t xml:space="preserve"> </w:t>
      </w:r>
      <w:hyperlink w:anchor="ref-6">
        <w:r>
          <w:rPr>
            <w:rStyle w:val="Hyperlink"/>
          </w:rPr>
          <w:t xml:space="preserve">[6]</w:t>
        </w:r>
      </w:hyperlink>
      <w:r>
        <w:t xml:space="preserve">. If the estimator returns signed and precise associations, the community learns that the topic has structure worth building on. Either outcome is informative, which is the mark of a genuine test rather than a rhetorical one.</w:t>
      </w:r>
    </w:p>
    <w:p>
      <w:pPr>
        <w:pStyle w:val="BodyText"/>
        <w:spacing w:line="480" w:lineRule="auto"/>
        <w:ind w:firstLine="720"/>
      </w:pPr>
      <w:r>
        <w:t xml:space="preserve">The falsifiability is not decorative. A claim that cannot fail cannot inform, and much of the proliferation-deterrence commentary is framed so that no observation could ever contradict it. When resilience is invoked as an all-purpose virtue, any survival of the constellation confirms it and any degradation is attributed to insufficient proliferation, so the proposition is unfalsifiable by construction. This project refuses that structure. It fixes the estimator before it sees the coefficients, it reports p-values whether or not they cooperate, and it commits in advance to reading an imprecise venue or recency coefficient as a limit on the claim rather than as an invitation to reinterpret</w:t>
      </w:r>
      <w:r>
        <w:t xml:space="preserve"> </w:t>
      </w:r>
      <w:hyperlink w:anchor="ref-2">
        <w:r>
          <w:rPr>
            <w:rStyle w:val="Hyperlink"/>
          </w:rPr>
          <w:t xml:space="preserve">[2]</w:t>
        </w:r>
      </w:hyperlink>
      <w:r>
        <w:t xml:space="preserve">.</w:t>
      </w:r>
    </w:p>
    <w:bookmarkEnd w:id="62"/>
    <w:bookmarkStart w:id="63" w:name="design-in-brief"/>
    <w:p>
      <w:pPr>
        <w:pStyle w:val="Heading2"/>
        <w:spacing w:line="480" w:lineRule="auto"/>
      </w:pPr>
      <w:r>
        <w:t xml:space="preserve">Design in brief</w:t>
      </w:r>
    </w:p>
    <w:p>
      <w:pPr>
        <w:pStyle w:val="FirstParagraph"/>
        <w:spacing w:line="480" w:lineRule="auto"/>
      </w:pPr>
      <w:r>
        <w:t xml:space="preserve">Two empirical screens carry the argument. The first is an ordinary least squares model of topic-signal intensity, regressed on a publication recency index, a reported citation count, and an ordinal venue-family score, estimated across thirty retrieved source records with robust standard errors. The second is a log-log learning-curve model of citation accumulation against document age, estimated on the same thirty records, which asks whether attention in this literature follows the age-based pattern that a maturing research field usually exhibits. Neither model settles the policy question. Together they discipline the evidence and expose the structure of the corpus that any later, more ambitious design would have to build on.</w:t>
      </w:r>
    </w:p>
    <w:p>
      <w:pPr>
        <w:pStyle w:val="BodyText"/>
        <w:spacing w:line="480" w:lineRule="auto"/>
        <w:ind w:firstLine="720"/>
      </w:pPr>
      <w:r>
        <w:t xml:space="preserve">The choice to report only what these estimators actually produce, rather than what the deterrence narrative would prefer them to produce, is the ethical center of the design. Every number reported in the results chapter is the deterministic output of an auditable workbook run on a source corpus whose provenance is preserved row by row. Where a coefficient is precise, it is read as structure. Where a coefficient is imprecise, it is read as a caution against strong claims, not quietly reinterpreted as support</w:t>
      </w:r>
      <w:r>
        <w:t xml:space="preserve"> </w:t>
      </w:r>
      <w:hyperlink w:anchor="ref-2">
        <w:r>
          <w:rPr>
            <w:rStyle w:val="Hyperlink"/>
          </w:rPr>
          <w:t xml:space="preserve">[2]</w:t>
        </w:r>
      </w:hyperlink>
      <w:r>
        <w:t xml:space="preserve">. This is a small dataset and a bounded question, and the writing tries throughout to keep the reader’s expectations calibrated to what thirty observations can honestly bear.</w:t>
      </w:r>
    </w:p>
    <w:p>
      <w:pPr>
        <w:pStyle w:val="BodyText"/>
        <w:spacing w:line="480" w:lineRule="auto"/>
        <w:ind w:firstLine="720"/>
      </w:pPr>
      <w:r>
        <w:t xml:space="preserve">The two screens are complementary rather than redundant. The first asks a cross-sectional question: holding attention and venue fixed, does the signal rise with recency, and does it differ across venue families? The second asks a dynamic question: does the attention a document accumulates scale with how long it has had to accumulate it, in the smooth power-law way that citation dynamics usually take? A field can pass one screen and fail the other, and the pattern of pass and fail is itself diagnostic. A cross-section with structure but no age-scaling of attention would suggest a topic that is organized by venue and framing but not yet cited enough to show maturation, which is precisely what one would expect of a young, fast-moving, operationally driven literature</w:t>
      </w:r>
      <w:r>
        <w:t xml:space="preserve"> </w:t>
      </w:r>
      <w:hyperlink w:anchor="ref-3">
        <w:r>
          <w:rPr>
            <w:rStyle w:val="Hyperlink"/>
          </w:rPr>
          <w:t xml:space="preserve">[3]</w:t>
        </w:r>
      </w:hyperlink>
      <w:r>
        <w:t xml:space="preserve">.</w:t>
      </w:r>
    </w:p>
    <w:bookmarkEnd w:id="63"/>
    <w:bookmarkStart w:id="64" w:name="Xca2edc746b72b55d6cdc7d7ed29c725e8d81524"/>
    <w:p>
      <w:pPr>
        <w:pStyle w:val="Heading2"/>
        <w:spacing w:line="480" w:lineRule="auto"/>
      </w:pPr>
      <w:r>
        <w:t xml:space="preserve">Scope and what this dissertation deliberately does not attempt</w:t>
      </w:r>
    </w:p>
    <w:p>
      <w:pPr>
        <w:pStyle w:val="FirstParagraph"/>
        <w:spacing w:line="480" w:lineRule="auto"/>
      </w:pPr>
      <w:r>
        <w:t xml:space="preserve">Setting the boundary early prevents the reader from expecting the wrong book. This is a study of the structure of a literature, not a study of a battle. It does not model attacks, it does not predict adversary behavior, and it does not adjudicate whether any particular constellation would survive a particular strike</w:t>
      </w:r>
      <w:r>
        <w:t xml:space="preserve"> </w:t>
      </w:r>
      <w:hyperlink w:anchor="ref-4">
        <w:r>
          <w:rPr>
            <w:rStyle w:val="Hyperlink"/>
          </w:rPr>
          <w:t xml:space="preserve">[4]</w:t>
        </w:r>
      </w:hyperlink>
      <w:r>
        <w:t xml:space="preserve">. Those questions are important and this project treats them as out of reach for the evidence at hand, because the observable, auditable material is documentary metadata and not crisis outcomes</w:t>
      </w:r>
      <w:r>
        <w:t xml:space="preserve"> </w:t>
      </w:r>
      <w:hyperlink w:anchor="ref-12">
        <w:r>
          <w:rPr>
            <w:rStyle w:val="Hyperlink"/>
          </w:rPr>
          <w:t xml:space="preserve">[12]</w:t>
        </w:r>
      </w:hyperlink>
      <w:r>
        <w:t xml:space="preserve">. A dissertation that pretended otherwise would be more exciting and less trustworthy, and the trade is not worth making at the design stage of a strategic question.</w:t>
      </w:r>
    </w:p>
    <w:p>
      <w:pPr>
        <w:pStyle w:val="BodyText"/>
        <w:spacing w:line="480" w:lineRule="auto"/>
        <w:ind w:firstLine="720"/>
      </w:pPr>
      <w:r>
        <w:t xml:space="preserve">The scope is bounded in a second way that matters. The corpus is an open, documentary one, retrieved from specific research indices, so the study speaks to the portion of the proliferation conversation that lives in accessible professional venues</w:t>
      </w:r>
      <w:r>
        <w:t xml:space="preserve"> </w:t>
      </w:r>
      <w:hyperlink w:anchor="ref-1">
        <w:r>
          <w:rPr>
            <w:rStyle w:val="Hyperlink"/>
          </w:rPr>
          <w:t xml:space="preserve">[1]</w:t>
        </w:r>
      </w:hyperlink>
      <w:r>
        <w:t xml:space="preserve"> </w:t>
      </w:r>
      <w:hyperlink w:anchor="ref-14">
        <w:r>
          <w:rPr>
            <w:rStyle w:val="Hyperlink"/>
          </w:rPr>
          <w:t xml:space="preserve">[14]</w:t>
        </w:r>
      </w:hyperlink>
      <w:r>
        <w:t xml:space="preserve">. Classified analysis, tacit operator knowledge, and discussion confined to venues the retrieval does not reach are outside the frame, and the conclusions are careful never to claim otherwise</w:t>
      </w:r>
      <w:r>
        <w:t xml:space="preserve"> </w:t>
      </w:r>
      <w:hyperlink w:anchor="ref-6">
        <w:r>
          <w:rPr>
            <w:rStyle w:val="Hyperlink"/>
          </w:rPr>
          <w:t xml:space="preserve">[6]</w:t>
        </w:r>
      </w:hyperlink>
      <w:r>
        <w:t xml:space="preserve">. Within that bounded frame the project aims to be complete and auditable rather than broad and impressionistic, which is the trade a design-stage inquiry should make</w:t>
      </w:r>
      <w:r>
        <w:t xml:space="preserve"> </w:t>
      </w:r>
      <w:hyperlink w:anchor="ref-5">
        <w:r>
          <w:rPr>
            <w:rStyle w:val="Hyperlink"/>
          </w:rPr>
          <w:t xml:space="preserve">[5]</w:t>
        </w:r>
      </w:hyperlink>
      <w:r>
        <w:t xml:space="preserve">.</w:t>
      </w:r>
    </w:p>
    <w:p>
      <w:pPr>
        <w:pStyle w:val="BodyText"/>
        <w:spacing w:line="480" w:lineRule="auto"/>
        <w:ind w:firstLine="720"/>
      </w:pPr>
      <w:r>
        <w:t xml:space="preserve">A third boundary concerns causation. Nothing in the two screens licenses a causal claim, and the writing does not sneak one in through interpretive back doors</w:t>
      </w:r>
      <w:r>
        <w:t xml:space="preserve"> </w:t>
      </w:r>
      <w:hyperlink w:anchor="ref-3">
        <w:r>
          <w:rPr>
            <w:rStyle w:val="Hyperlink"/>
          </w:rPr>
          <w:t xml:space="preserve">[3]</w:t>
        </w:r>
      </w:hyperlink>
      <w:r>
        <w:t xml:space="preserve">. The estimators recover structure in a corpus under an exogeneity assumption stated plainly in the methodology chapter, and structure is not effect</w:t>
      </w:r>
      <w:r>
        <w:t xml:space="preserve"> </w:t>
      </w:r>
      <w:hyperlink w:anchor="ref-2">
        <w:r>
          <w:rPr>
            <w:rStyle w:val="Hyperlink"/>
          </w:rPr>
          <w:t xml:space="preserve">[2]</w:t>
        </w:r>
      </w:hyperlink>
      <w:r>
        <w:t xml:space="preserve">. When the results chapter reports that topic signal falls across venue families, that is a statement about how the retrieved record is organized, not a claim that venue causes signal, and the discipline of holding that line is part of what the dissertation is trying to demonstrate as much as any particular number</w:t>
      </w:r>
      <w:r>
        <w:t xml:space="preserve"> </w:t>
      </w:r>
      <w:hyperlink w:anchor="ref-6">
        <w:r>
          <w:rPr>
            <w:rStyle w:val="Hyperlink"/>
          </w:rPr>
          <w:t xml:space="preserve">[6]</w:t>
        </w:r>
      </w:hyperlink>
      <w:r>
        <w:t xml:space="preserve">.</w:t>
      </w:r>
    </w:p>
    <w:bookmarkEnd w:id="64"/>
    <w:bookmarkStart w:id="65" w:name="roadmap"/>
    <w:p>
      <w:pPr>
        <w:pStyle w:val="Heading2"/>
        <w:spacing w:line="480" w:lineRule="auto"/>
      </w:pPr>
      <w:r>
        <w:t xml:space="preserve">Roadmap</w:t>
      </w:r>
    </w:p>
    <w:p>
      <w:pPr>
        <w:pStyle w:val="FirstParagraph"/>
        <w:spacing w:line="480" w:lineRule="auto"/>
      </w:pPr>
      <w:r>
        <w:t xml:space="preserve">The chapters that follow build the argument in order. Chapter 2 situates the project against the prior literature on space domain awareness, megaconstellation deployment, debris and collision risk, and the emerging economics of the low Earth orbit environment, and it identifies the two gaps the design is meant to occupy</w:t>
      </w:r>
      <w:r>
        <w:t xml:space="preserve"> </w:t>
      </w:r>
      <w:hyperlink w:anchor="ref-1">
        <w:r>
          <w:rPr>
            <w:rStyle w:val="Hyperlink"/>
          </w:rPr>
          <w:t xml:space="preserve">[1]</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Chapter 3 develops the theory: the mechanism by which distributed architecture might alter deterrence, and the testable predictions that mechanism implies for the structure of the literature</w:t>
      </w:r>
      <w:r>
        <w:t xml:space="preserve"> </w:t>
      </w:r>
      <w:hyperlink w:anchor="ref-4">
        <w:r>
          <w:rPr>
            <w:rStyle w:val="Hyperlink"/>
          </w:rPr>
          <w:t xml:space="preserve">[4]</w:t>
        </w:r>
      </w:hyperlink>
      <w:r>
        <w:t xml:space="preserve"> </w:t>
      </w:r>
      <w:hyperlink w:anchor="ref-5">
        <w:r>
          <w:rPr>
            <w:rStyle w:val="Hyperlink"/>
          </w:rPr>
          <w:t xml:space="preserve">[5]</w:t>
        </w:r>
      </w:hyperlink>
      <w:r>
        <w:t xml:space="preserve">. Chapter 4 sets out the methodology and the identification logic, explaining why ordinary least squares and the learning-curve specification recover the associations they claim to and what they cannot claim. Chapter 5 describes the data: the source corpus, the construction of every variable, the venue-family coding, and the sample size. Chapter 6 reports the results of both papers exactly as the workbooks produced them, with no adjustment, and interprets the signs and magnitudes. Chapter 7 discusses what the findings mean, states the threats to validity plainly, and marks the boundary of what this corpus can and cannot show. Chapter 8 draws the conclusions, connects them to governance and program relevance, and lays out the more direct design the evidence recommends as a next step</w:t>
      </w:r>
      <w:r>
        <w:t xml:space="preserve"> </w:t>
      </w:r>
      <w:hyperlink w:anchor="ref-8">
        <w:r>
          <w:rPr>
            <w:rStyle w:val="Hyperlink"/>
          </w:rPr>
          <w:t xml:space="preserve">[8]</w:t>
        </w:r>
      </w:hyperlink>
      <w:r>
        <w:t xml:space="preserve">.</w:t>
      </w:r>
    </w:p>
    <w:bookmarkEnd w:id="65"/>
    <w:bookmarkStart w:id="66" w:name="X407e9172760bd1481e0d7d160e2a57307ae5d71"/>
    <w:p>
      <w:pPr>
        <w:pStyle w:val="Heading2"/>
        <w:spacing w:line="480" w:lineRule="auto"/>
      </w:pPr>
      <w:r>
        <w:t xml:space="preserve">The candidate’s stance and the reader’s expectations</w:t>
      </w:r>
    </w:p>
    <w:p>
      <w:pPr>
        <w:pStyle w:val="FirstParagraph"/>
        <w:spacing w:line="480" w:lineRule="auto"/>
      </w:pPr>
      <w:r>
        <w:t xml:space="preserve">A word about posture will help the reader calibrate everything that follows. This dissertation adopts the stance of a skeptic who wants the deterrence claim to be testable, not the stance of an advocate who wants it to be true or a debunker who wants it to be false</w:t>
      </w:r>
      <w:r>
        <w:t xml:space="preserve"> </w:t>
      </w:r>
      <w:hyperlink w:anchor="ref-4">
        <w:r>
          <w:rPr>
            <w:rStyle w:val="Hyperlink"/>
          </w:rPr>
          <w:t xml:space="preserve">[4]</w:t>
        </w:r>
      </w:hyperlink>
      <w:r>
        <w:t xml:space="preserve">. The difference shows up in how nulls are handled. An advocate reinterprets an imprecise coefficient as encouraging; a debunker treats it as proof of absence; a skeptic reports it as a limit on what this evidence can say and moves on</w:t>
      </w:r>
      <w:r>
        <w:t xml:space="preserve"> </w:t>
      </w:r>
      <w:hyperlink w:anchor="ref-2">
        <w:r>
          <w:rPr>
            <w:rStyle w:val="Hyperlink"/>
          </w:rPr>
          <w:t xml:space="preserve">[2]</w:t>
        </w:r>
      </w:hyperlink>
      <w:r>
        <w:t xml:space="preserve">. The reader should expect the third posture throughout, and should hold the writing to it, because the whole value of the exercise collapses if a favored coefficient is quietly promoted or an inconvenient one quietly buried</w:t>
      </w:r>
      <w:r>
        <w:t xml:space="preserve"> </w:t>
      </w:r>
      <w:hyperlink w:anchor="ref-6">
        <w:r>
          <w:rPr>
            <w:rStyle w:val="Hyperlink"/>
          </w:rPr>
          <w:t xml:space="preserve">[6]</w:t>
        </w:r>
      </w:hyperlink>
      <w:r>
        <w:t xml:space="preserve">.</w:t>
      </w:r>
    </w:p>
    <w:p>
      <w:pPr>
        <w:pStyle w:val="BodyText"/>
        <w:spacing w:line="480" w:lineRule="auto"/>
        <w:ind w:firstLine="720"/>
      </w:pPr>
      <w:r>
        <w:t xml:space="preserve">That posture also sets a modest expectation about the payoff. A reader hoping for a dramatic verdict on whether mega-constellations deter will not find one here, and should not, because the evidence cannot support a verdict at that altitude</w:t>
      </w:r>
      <w:r>
        <w:t xml:space="preserve"> </w:t>
      </w:r>
      <w:hyperlink w:anchor="ref-12">
        <w:r>
          <w:rPr>
            <w:rStyle w:val="Hyperlink"/>
          </w:rPr>
          <w:t xml:space="preserve">[12]</w:t>
        </w:r>
      </w:hyperlink>
      <w:r>
        <w:t xml:space="preserve">. What the reader will find is a precise account of whether the topic underlying the verdict is coherent in the record, an honest report of where it is structured and where it is not, and a specification of the stronger study the evidence recommends</w:t>
      </w:r>
      <w:r>
        <w:t xml:space="preserve"> </w:t>
      </w:r>
      <w:hyperlink w:anchor="ref-5">
        <w:r>
          <w:rPr>
            <w:rStyle w:val="Hyperlink"/>
          </w:rPr>
          <w:t xml:space="preserve">[5]</w:t>
        </w:r>
      </w:hyperlink>
      <w:r>
        <w:t xml:space="preserve"> </w:t>
      </w:r>
      <w:hyperlink w:anchor="ref-14">
        <w:r>
          <w:rPr>
            <w:rStyle w:val="Hyperlink"/>
          </w:rPr>
          <w:t xml:space="preserve">[14]</w:t>
        </w:r>
      </w:hyperlink>
      <w:r>
        <w:t xml:space="preserve">. For a strategic question this young, a well-built prior check is worth more than a bold answer resting on a thin base, and the dissertation asks to be judged by that standard rather than by the excitement of its conclusion</w:t>
      </w:r>
      <w:r>
        <w:t xml:space="preserve"> </w:t>
      </w:r>
      <w:hyperlink w:anchor="ref-6">
        <w:r>
          <w:rPr>
            <w:rStyle w:val="Hyperlink"/>
          </w:rPr>
          <w:t xml:space="preserve">[6]</w:t>
        </w:r>
      </w:hyperlink>
      <w:r>
        <w:t xml:space="preserve">.</w:t>
      </w:r>
    </w:p>
    <w:p>
      <w:pPr>
        <w:pStyle w:val="BodyText"/>
        <w:spacing w:line="480" w:lineRule="auto"/>
        <w:ind w:firstLine="720"/>
      </w:pPr>
      <w:r>
        <w:t xml:space="preserve">A reader who wants the single sentence can have it here. This dissertation does not prove that commercial proliferation deters; it tests whether the phenomenon that the deterrence claim depends on is coherently present and structured in the record, reports honestly that the structure it finds is partial, and specifies exactly what a stronger test would require. The value of the exercise lies less in a dramatic finding than in the traceability of the chain from source to variable to estimate to interpretation, and in the refusal to let a small corpus carry more strategic weight than it can bear</w:t>
      </w:r>
      <w:r>
        <w:t xml:space="preserve"> </w:t>
      </w:r>
      <w:hyperlink w:anchor="ref-6">
        <w:r>
          <w:rPr>
            <w:rStyle w:val="Hyperlink"/>
          </w:rPr>
          <w:t xml:space="preserve">[6]</w:t>
        </w:r>
      </w:hyperlink>
      <w:r>
        <w:t xml:space="preserve">. That refusal is the through-line of every chapter that follows, and the reader is invited to hold the argument to it at each step, from the framing of the hypotheses to the reporting of the last coefficient</w:t>
      </w:r>
      <w:r>
        <w:t xml:space="preserve"> </w:t>
      </w:r>
      <w:hyperlink w:anchor="ref-2">
        <w:r>
          <w:rPr>
            <w:rStyle w:val="Hyperlink"/>
          </w:rPr>
          <w:t xml:space="preserve">[2]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One image captures the whole undertaking. The deterrence community is standing at the edge of a change in the geometry of its own strategic problem, and it is describing that change with confidence, in trade venues and policy commentary, faster than it is measuring it</w:t>
      </w:r>
      <w:r>
        <w:t xml:space="preserve"> </w:t>
      </w:r>
      <w:hyperlink w:anchor="ref-5">
        <w:r>
          <w:rPr>
            <w:rStyle w:val="Hyperlink"/>
          </w:rPr>
          <w:t xml:space="preserve">[5]</w:t>
        </w:r>
      </w:hyperlink>
      <w:r>
        <w:t xml:space="preserve">. This dissertation does not tell the community that its intuition is wrong; distribution may well reshape deterrence in the ways the resilience story imagines</w:t>
      </w:r>
      <w:r>
        <w:t xml:space="preserve"> </w:t>
      </w:r>
      <w:hyperlink w:anchor="ref-4">
        <w:r>
          <w:rPr>
            <w:rStyle w:val="Hyperlink"/>
          </w:rPr>
          <w:t xml:space="preserve">[4]</w:t>
        </w:r>
      </w:hyperlink>
      <w:r>
        <w:t xml:space="preserve"> </w:t>
      </w:r>
      <w:hyperlink w:anchor="ref-6">
        <w:r>
          <w:rPr>
            <w:rStyle w:val="Hyperlink"/>
          </w:rPr>
          <w:t xml:space="preserve">[6]</w:t>
        </w:r>
      </w:hyperlink>
      <w:r>
        <w:t xml:space="preserve">. What it does is check whether the literature underneath the intuition is coherent enough to bear the weight being placed on it, and it reports, with auditable numbers, that the literature is real and structured but young and community-bound rather than matured and consolidated</w:t>
      </w:r>
      <w:r>
        <w:t xml:space="preserve"> </w:t>
      </w:r>
      <w:hyperlink w:anchor="ref-2">
        <w:r>
          <w:rPr>
            <w:rStyle w:val="Hyperlink"/>
          </w:rPr>
          <w:t xml:space="preserve">[2]</w:t>
        </w:r>
      </w:hyperlink>
      <w:r>
        <w:t xml:space="preserve"> </w:t>
      </w:r>
      <w:hyperlink w:anchor="ref-12">
        <w:r>
          <w:rPr>
            <w:rStyle w:val="Hyperlink"/>
          </w:rPr>
          <w:t xml:space="preserve">[12]</w:t>
        </w:r>
      </w:hyperlink>
      <w:r>
        <w:t xml:space="preserve">. That is a small, honest thing to establish at the outset of a large question, and establishing it well is the work the rest of these chapters undertake</w:t>
      </w:r>
      <w:r>
        <w:t xml:space="preserve"> </w:t>
      </w:r>
      <w:hyperlink w:anchor="ref-14">
        <w:r>
          <w:rPr>
            <w:rStyle w:val="Hyperlink"/>
          </w:rPr>
          <w:t xml:space="preserve">[14]</w:t>
        </w:r>
      </w:hyperlink>
      <w:r>
        <w:t xml:space="preserve">.</w:t>
      </w:r>
    </w:p>
    <w:bookmarkEnd w:id="66"/>
    <w:bookmarkEnd w:id="67"/>
    <w:bookmarkStart w:id="76" w:name="chapter-2-literature-review"/>
    <w:p>
      <w:pPr>
        <w:pStyle w:val="Heading1"/>
        <w:spacing w:line="480" w:lineRule="auto"/>
      </w:pPr>
      <w:r>
        <w:t xml:space="preserve">Chapter 2: Literature Review</w:t>
      </w:r>
    </w:p>
    <w:p>
      <w:pPr>
        <w:pStyle w:val="FirstParagraph"/>
        <w:spacing w:line="480" w:lineRule="auto"/>
      </w:pPr>
      <w:r>
        <w:t xml:space="preserve">The literature that bears on commercial proliferation and deterrence does not sit in one place. It is scattered across at least four communities that rarely cite one another and that frame the same physical object in incompatible vocabularies. There is a space domain awareness community, largely engineering and defense in orientation, concerned with tracking, sensing, and the operational strain that large constellations place on surveillance systems. There is an orbital-safety community, largely astrodynamical, concerned with collision probability, debris generation, and the long-run stability of the low Earth orbit environment. There is an economics and markets community, concerned with the commercial value that distributed space systems create and capture. And there is a governance and law community, concerned with the rules, norms, and institutions that lag behind all of the above. This chapter reads across those communities, not to synthesize them into a false consensus, but to locate the two specific gaps that this dissertation’s design is built to occupy.</w:t>
      </w:r>
    </w:p>
    <w:bookmarkStart w:id="68" w:name="X4e8379f86b395303c44df882c9f94deb0c93080"/>
    <w:p>
      <w:pPr>
        <w:pStyle w:val="Heading2"/>
        <w:spacing w:line="480" w:lineRule="auto"/>
      </w:pPr>
      <w:r>
        <w:t xml:space="preserve">Distributed architecture as an operational fact</w:t>
      </w:r>
    </w:p>
    <w:p>
      <w:pPr>
        <w:pStyle w:val="FirstParagraph"/>
        <w:spacing w:line="480" w:lineRule="auto"/>
      </w:pPr>
      <w:r>
        <w:t xml:space="preserve">The starting point is the physical reality that the deterrence conversation presupposes. The megaconstellation deployments of 2020 onward were not incremental; they were a step change in the number of objects that the surveillance enterprise had to hold custody of, and the space domain awareness community documented that strain in real time</w:t>
      </w:r>
      <w:r>
        <w:t xml:space="preserve"> </w:t>
      </w:r>
      <w:hyperlink w:anchor="ref-2">
        <w:r>
          <w:rPr>
            <w:rStyle w:val="Hyperlink"/>
          </w:rPr>
          <w:t xml:space="preserve">[2]</w:t>
        </w:r>
      </w:hyperlink>
      <w:r>
        <w:t xml:space="preserve">. Reporting on the 2020 deployments described the direct impact on custody and cataloging workloads, framing proliferation first as a tracking burden rather than as a strategic asset</w:t>
      </w:r>
      <w:r>
        <w:t xml:space="preserve"> </w:t>
      </w:r>
      <w:hyperlink w:anchor="ref-2">
        <w:r>
          <w:rPr>
            <w:rStyle w:val="Hyperlink"/>
          </w:rPr>
          <w:t xml:space="preserve">[2]</w:t>
        </w:r>
      </w:hyperlink>
      <w:r>
        <w:t xml:space="preserve">. Subsequent lessons-learned analysis extended the point, treating each new deployment wave as a test of whether the awareness infrastructure could keep pace with the commercial launch cadence</w:t>
      </w:r>
      <w:r>
        <w:t xml:space="preserve"> </w:t>
      </w:r>
      <w:hyperlink w:anchor="ref-5">
        <w:r>
          <w:rPr>
            <w:rStyle w:val="Hyperlink"/>
          </w:rPr>
          <w:t xml:space="preserve">[5]</w:t>
        </w:r>
      </w:hyperlink>
      <w:r>
        <w:t xml:space="preserve">. The recurring theme in this strand is capacity: distribution multiplies the objects to be watched faster than the watching improves.</w:t>
      </w:r>
    </w:p>
    <w:p>
      <w:pPr>
        <w:pStyle w:val="BodyText"/>
        <w:spacing w:line="480" w:lineRule="auto"/>
        <w:ind w:firstLine="720"/>
      </w:pPr>
      <w:r>
        <w:t xml:space="preserve">Alongside the burden narrative runs an architecture narrative. If the population of tracked objects is going to grow without bound, then the sensing and processing systems must themselves become distributed and autonomous, because centralized ground networks do not scale to the new object counts</w:t>
      </w:r>
      <w:r>
        <w:t xml:space="preserve"> </w:t>
      </w:r>
      <w:hyperlink w:anchor="ref-3">
        <w:r>
          <w:rPr>
            <w:rStyle w:val="Hyperlink"/>
          </w:rPr>
          <w:t xml:space="preserve">[3]</w:t>
        </w:r>
      </w:hyperlink>
      <w:r>
        <w:t xml:space="preserve">. Proposals for geographically distributed, autonomously coordinated ground networks are a direct response to the proliferation problem, and they mirror on the ground the same design logic that proliferation imposes in orbit: resilience through numbers and distribution rather than through the excellence of any single node</w:t>
      </w:r>
      <w:r>
        <w:t xml:space="preserve"> </w:t>
      </w:r>
      <w:hyperlink w:anchor="ref-3">
        <w:r>
          <w:rPr>
            <w:rStyle w:val="Hyperlink"/>
          </w:rPr>
          <w:t xml:space="preserve">[3]</w:t>
        </w:r>
      </w:hyperlink>
      <w:r>
        <w:t xml:space="preserve">. The same logic appears in proposals for resilient hosted payloads in proliferated medium Earth orbit, which explicitly treat distribution and redundancy as the design answer to a threat environment in which any single asset is vulnerable</w:t>
      </w:r>
      <w:r>
        <w:t xml:space="preserve"> </w:t>
      </w:r>
      <w:hyperlink w:anchor="ref-6">
        <w:r>
          <w:rPr>
            <w:rStyle w:val="Hyperlink"/>
          </w:rPr>
          <w:t xml:space="preserve">[6]</w:t>
        </w:r>
      </w:hyperlink>
      <w:r>
        <w:t xml:space="preserve">. International-collaboration frameworks for space domain awareness push the distribution logic further still, arguing that no single nation’s sensor architecture can achieve global custody and that shared, federated observation is the only tractable path</w:t>
      </w:r>
      <w:r>
        <w:t xml:space="preserve"> </w:t>
      </w:r>
      <w:hyperlink w:anchor="ref-1">
        <w:r>
          <w:rPr>
            <w:rStyle w:val="Hyperlink"/>
          </w:rPr>
          <w:t xml:space="preserve">[1]</w:t>
        </w:r>
      </w:hyperlink>
      <w:r>
        <w:t xml:space="preserve">.</w:t>
      </w:r>
    </w:p>
    <w:p>
      <w:pPr>
        <w:pStyle w:val="BodyText"/>
        <w:spacing w:line="480" w:lineRule="auto"/>
        <w:ind w:firstLine="720"/>
      </w:pPr>
      <w:r>
        <w:t xml:space="preserve">Read together, this strand establishes something the deterrence claim needs: distribution is not merely a commercial cost-cutting choice but a genuine architectural response to vulnerability, adopted deliberately, on the ground and in orbit alike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What the strand does not do is test whether that architectural response translates into strategic deterrence. It documents resilience as an engineering property. Whether resilience deters is a different proposition that the engineering literature does not, and cannot, settle on its own.</w:t>
      </w:r>
    </w:p>
    <w:bookmarkEnd w:id="68"/>
    <w:bookmarkStart w:id="69" w:name="the-safety-and-stability-strand"/>
    <w:p>
      <w:pPr>
        <w:pStyle w:val="Heading2"/>
        <w:spacing w:line="480" w:lineRule="auto"/>
      </w:pPr>
      <w:r>
        <w:t xml:space="preserve">The safety and stability strand</w:t>
      </w:r>
    </w:p>
    <w:p>
      <w:pPr>
        <w:pStyle w:val="FirstParagraph"/>
        <w:spacing w:line="480" w:lineRule="auto"/>
      </w:pPr>
      <w:r>
        <w:t xml:space="preserve">A second body of work approaches proliferation from the standpoint of orbital safety, and it complicates the resilience story in a way the deterrence narrative tends to ignore. Collision-probability analysis of proposed global broadband constellations showed, well before the largest deployments matured, that the sheer density of objects raises conjunction rates and imposes a standing collision-management burden on the whole environment</w:t>
      </w:r>
      <w:r>
        <w:t xml:space="preserve"> </w:t>
      </w:r>
      <w:hyperlink w:anchor="ref-12">
        <w:r>
          <w:rPr>
            <w:rStyle w:val="Hyperlink"/>
          </w:rPr>
          <w:t xml:space="preserve">[12]</w:t>
        </w:r>
      </w:hyperlink>
      <w:r>
        <w:t xml:space="preserve">. The same distribution that confers resilience against a deliberate attack also raises the ambient risk of accidental loss, and those two effects are not independent: a debris-generating event in a crowded shell threatens the constellation that created the crowding</w:t>
      </w:r>
      <w:r>
        <w:t xml:space="preserve"> </w:t>
      </w:r>
      <w:hyperlink w:anchor="ref-12">
        <w:r>
          <w:rPr>
            <w:rStyle w:val="Hyperlink"/>
          </w:rPr>
          <w:t xml:space="preserve">[12]</w:t>
        </w:r>
      </w:hyperlink>
      <w:r>
        <w:t xml:space="preserve">.</w:t>
      </w:r>
    </w:p>
    <w:p>
      <w:pPr>
        <w:pStyle w:val="BodyText"/>
        <w:spacing w:line="480" w:lineRule="auto"/>
        <w:ind w:firstLine="720"/>
      </w:pPr>
      <w:r>
        <w:t xml:space="preserve">The debris literature sharpens the point by attending to deliberate destruction. Analysis of the increased risk of Kessler-syndrome dynamics following anti-satellite tests treats kinetic attacks not as clean, node-level events but as environment-level shocks whose consequences fall on attacker and defender alike</w:t>
      </w:r>
      <w:r>
        <w:t xml:space="preserve"> </w:t>
      </w:r>
      <w:hyperlink w:anchor="ref-4">
        <w:r>
          <w:rPr>
            <w:rStyle w:val="Hyperlink"/>
          </w:rPr>
          <w:t xml:space="preserve">[4]</w:t>
        </w:r>
      </w:hyperlink>
      <w:r>
        <w:t xml:space="preserve">. This matters enormously for the deterrence argument. If an anti-satellite strike against a proliferated constellation cannot achieve a decisive effect but can seed a debris cascade that endangers the attacker’s own assets, then the deterrent may operate through shared environmental risk rather than through the resilience of the target</w:t>
      </w:r>
      <w:r>
        <w:t xml:space="preserve"> </w:t>
      </w:r>
      <w:hyperlink w:anchor="ref-4">
        <w:r>
          <w:rPr>
            <w:rStyle w:val="Hyperlink"/>
          </w:rPr>
          <w:t xml:space="preserve">[4]</w:t>
        </w:r>
      </w:hyperlink>
      <w:r>
        <w:t xml:space="preserve">. That is a different mechanism from the one the resilience narrative usually names, and the safety literature is where it becomes visible.</w:t>
      </w:r>
    </w:p>
    <w:p>
      <w:pPr>
        <w:pStyle w:val="BodyText"/>
        <w:spacing w:line="480" w:lineRule="auto"/>
        <w:ind w:firstLine="720"/>
      </w:pPr>
      <w:r>
        <w:t xml:space="preserve">The reentry and airspace strand extends the stability concern downward. Work on the ground and airspace risk posed by uncontrolled reentries asks whether the growth in objects, and therefore in reentering mass, should be considered worrying, and it frames the answer as a governance question that current institutions have not resolved</w:t>
      </w:r>
      <w:r>
        <w:t xml:space="preserve"> </w:t>
      </w:r>
      <w:hyperlink w:anchor="ref-13">
        <w:r>
          <w:rPr>
            <w:rStyle w:val="Hyperlink"/>
          </w:rPr>
          <w:t xml:space="preserve">[13]</w:t>
        </w:r>
      </w:hyperlink>
      <w:r>
        <w:t xml:space="preserve">. Related work on integrating air and space traffic management, establishing criteria for tracking debris objects prior to uncontrolled reentry, treats the proliferation of objects as a cross-domain coordination problem that spills out of the space sector entirely</w:t>
      </w:r>
      <w:r>
        <w:t xml:space="preserve"> </w:t>
      </w:r>
      <w:hyperlink w:anchor="ref-8">
        <w:r>
          <w:rPr>
            <w:rStyle w:val="Hyperlink"/>
          </w:rPr>
          <w:t xml:space="preserve">[8]</w:t>
        </w:r>
      </w:hyperlink>
      <w:r>
        <w:t xml:space="preserve">. The safety strand, taken as a whole, refuses the clean picture in which distribution is simply good. It shows distribution as a source of ambient risk, of cross-domain externalities, and of a deterrent mechanism that may run through the environment rather than through the target</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bookmarkEnd w:id="69"/>
    <w:bookmarkStart w:id="70" w:name="the-economics-and-markets-strand"/>
    <w:p>
      <w:pPr>
        <w:pStyle w:val="Heading2"/>
        <w:spacing w:line="480" w:lineRule="auto"/>
      </w:pPr>
      <w:r>
        <w:t xml:space="preserve">The economics and markets strand</w:t>
      </w:r>
    </w:p>
    <w:p>
      <w:pPr>
        <w:pStyle w:val="FirstParagraph"/>
        <w:spacing w:line="480" w:lineRule="auto"/>
      </w:pPr>
      <w:r>
        <w:t xml:space="preserve">A third strand reframes proliferation as an economic phenomenon, and it supplies the reason the whole conversation has momentum. The migration toward a low Earth orbit economy has been assessed as a value-creation event for both space and non-space users, with commercial stations and distributed services generating benefits that pull capability, and therefore strategic dependence, into commercial hands</w:t>
      </w:r>
      <w:r>
        <w:t xml:space="preserve"> </w:t>
      </w:r>
      <w:hyperlink w:anchor="ref-14">
        <w:r>
          <w:rPr>
            <w:rStyle w:val="Hyperlink"/>
          </w:rPr>
          <w:t xml:space="preserve">[14]</w:t>
        </w:r>
      </w:hyperlink>
      <w:r>
        <w:t xml:space="preserve">. The point that matters for deterrence is the migration of function. As national security services come to ride on commercially owned, commercially operated distributed systems, the target set is no longer sovereign in any simple sense, and the deterrence question becomes entangled with questions of ownership, liability, and commercial risk tolerance</w:t>
      </w:r>
      <w:r>
        <w:t xml:space="preserve"> </w:t>
      </w:r>
      <w:hyperlink w:anchor="ref-14">
        <w:r>
          <w:rPr>
            <w:rStyle w:val="Hyperlink"/>
          </w:rPr>
          <w:t xml:space="preserve">[14]</w:t>
        </w:r>
      </w:hyperlink>
      <w:r>
        <w:t xml:space="preserve">.</w:t>
      </w:r>
    </w:p>
    <w:p>
      <w:pPr>
        <w:pStyle w:val="BodyText"/>
        <w:spacing w:line="480" w:lineRule="auto"/>
        <w:ind w:firstLine="720"/>
      </w:pPr>
      <w:r>
        <w:t xml:space="preserve">Earlier work on disruptions in Earth observation anticipated this entanglement, mapping how new distributed observation systems and evolving markets would reshape who provides strategic data and on what terms</w:t>
      </w:r>
      <w:r>
        <w:t xml:space="preserve"> </w:t>
      </w:r>
      <w:hyperlink w:anchor="ref-9">
        <w:r>
          <w:rPr>
            <w:rStyle w:val="Hyperlink"/>
          </w:rPr>
          <w:t xml:space="preserve">[9]</w:t>
        </w:r>
      </w:hyperlink>
      <w:r>
        <w:t xml:space="preserve">. Analysis of space as an enabler of sustainable digital transformation framed the new space race as a competition whose benefits accrue substantially to newcomers, which is to say to commercial entrants rather than to incumbent national programs</w:t>
      </w:r>
      <w:r>
        <w:t xml:space="preserve"> </w:t>
      </w:r>
      <w:hyperlink w:anchor="ref-16">
        <w:r>
          <w:rPr>
            <w:rStyle w:val="Hyperlink"/>
          </w:rPr>
          <w:t xml:space="preserve">[16]</w:t>
        </w:r>
      </w:hyperlink>
      <w:r>
        <w:t xml:space="preserve">. Governance-by-acknowledgment analyses of the NewSpace age describe institutions adapting to commercial primacy by recognizing facts on the ground rather than by directing them, which is exactly the after-the-fact governance pattern that motivates this project’s concern with timing</w:t>
      </w:r>
      <w:r>
        <w:t xml:space="preserve"> </w:t>
      </w:r>
      <w:hyperlink w:anchor="ref-15">
        <w:r>
          <w:rPr>
            <w:rStyle w:val="Hyperlink"/>
          </w:rPr>
          <w:t xml:space="preserve">[15]</w:t>
        </w:r>
      </w:hyperlink>
      <w:r>
        <w:t xml:space="preserve">. The economics strand establishes the stakes: proliferation is not a niche defense choice but a structural shift in who owns strategic capability, and that shift is what makes the deterrence question urgent rather than academic</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70"/>
    <w:bookmarkStart w:id="71" w:name="X6a991911995eb9907cd261e4eec838cde87039a"/>
    <w:p>
      <w:pPr>
        <w:pStyle w:val="Heading2"/>
        <w:spacing w:line="480" w:lineRule="auto"/>
      </w:pPr>
      <w:r>
        <w:t xml:space="preserve">The governance strand and the problem of timing</w:t>
      </w:r>
    </w:p>
    <w:p>
      <w:pPr>
        <w:pStyle w:val="FirstParagraph"/>
        <w:spacing w:line="480" w:lineRule="auto"/>
      </w:pPr>
      <w:r>
        <w:t xml:space="preserve">A fourth substantive community, the governance and law strand, threads through the others and sharpens the timing concern that animates this project. Governance-by-acknowledgment analyses of the NewSpace age describe institutions that adapt to commercial primacy by recognizing accomplished facts rather than by directing outcomes in advance, which is a polite way of saying that the rules arrive after the systems</w:t>
      </w:r>
      <w:r>
        <w:t xml:space="preserve"> </w:t>
      </w:r>
      <w:hyperlink w:anchor="ref-15">
        <w:r>
          <w:rPr>
            <w:rStyle w:val="Hyperlink"/>
          </w:rPr>
          <w:t xml:space="preserve">[15]</w:t>
        </w:r>
      </w:hyperlink>
      <w:r>
        <w:t xml:space="preserve">. The reentry-risk literature makes the same point from a different angle, framing the growth in reentering mass as a governance question that current institutions have not resolved and treating the lag between operational fact and institutional response as the site where risk accumulates</w:t>
      </w:r>
      <w:r>
        <w:t xml:space="preserve"> </w:t>
      </w:r>
      <w:hyperlink w:anchor="ref-13">
        <w:r>
          <w:rPr>
            <w:rStyle w:val="Hyperlink"/>
          </w:rPr>
          <w:t xml:space="preserve">[13]</w:t>
        </w:r>
      </w:hyperlink>
      <w:r>
        <w:t xml:space="preserve">. Air and space traffic integration proposals extend the concern into cross-domain coordination, where the absence of settled rules for tracking debris before uncontrolled reentry is itself the hazard</w:t>
      </w:r>
      <w:r>
        <w:t xml:space="preserve"> </w:t>
      </w:r>
      <w:hyperlink w:anchor="ref-8">
        <w:r>
          <w:rPr>
            <w:rStyle w:val="Hyperlink"/>
          </w:rPr>
          <w:t xml:space="preserve">[8]</w:t>
        </w:r>
      </w:hyperlink>
      <w:r>
        <w:t xml:space="preserve">.</w:t>
      </w:r>
    </w:p>
    <w:p>
      <w:pPr>
        <w:pStyle w:val="BodyText"/>
        <w:spacing w:line="480" w:lineRule="auto"/>
        <w:ind w:firstLine="720"/>
      </w:pPr>
      <w:r>
        <w:t xml:space="preserve">Read against the engineering and economics strands, the governance literature supplies the reason the whole conversation is urgent rather than academic. Distribution is being deployed, function is migrating to commercial hands, and the rules are lagging, so any claim about whether the resulting architecture deters is being made in an institutional vacuum that governance has not yet filled</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 This is the timing problem in its sharpest form: the deterrence properties of proliferated architectures are asserted in the interval before governance has caught up, and that interval is exactly where an unaudited claim can do the most damage</w:t>
      </w:r>
      <w:r>
        <w:t xml:space="preserve"> </w:t>
      </w:r>
      <w:hyperlink w:anchor="ref-5">
        <w:r>
          <w:rPr>
            <w:rStyle w:val="Hyperlink"/>
          </w:rPr>
          <w:t xml:space="preserve">[5]</w:t>
        </w:r>
      </w:hyperlink>
      <w:r>
        <w:t xml:space="preserve">. The governance strand does not measure whether the topic is structured; it establishes why measuring it matters now rather than later</w:t>
      </w:r>
      <w:r>
        <w:t xml:space="preserve"> </w:t>
      </w:r>
      <w:hyperlink w:anchor="ref-6">
        <w:r>
          <w:rPr>
            <w:rStyle w:val="Hyperlink"/>
          </w:rPr>
          <w:t xml:space="preserve">[6]</w:t>
        </w:r>
      </w:hyperlink>
      <w:r>
        <w:t xml:space="preserve">.</w:t>
      </w:r>
    </w:p>
    <w:bookmarkEnd w:id="71"/>
    <w:bookmarkStart w:id="72" w:name="adjacent-framings-that-widen-the-field"/>
    <w:p>
      <w:pPr>
        <w:pStyle w:val="Heading2"/>
        <w:spacing w:line="480" w:lineRule="auto"/>
      </w:pPr>
      <w:r>
        <w:t xml:space="preserve">Adjacent framings that widen the field</w:t>
      </w:r>
    </w:p>
    <w:p>
      <w:pPr>
        <w:pStyle w:val="FirstParagraph"/>
        <w:spacing w:line="480" w:lineRule="auto"/>
      </w:pPr>
      <w:r>
        <w:t xml:space="preserve">Two further threads deserve mention because they show how broad the proliferation conversation has become. Analysis of gamification as a tool for surfacing space-debris mitigation challenges demonstrates that the community is now reaching for behavioral and engagement mechanisms to make distributed-environment risks legible to non-specialists, which is itself evidence that the topic has outgrown its original technical audience</w:t>
      </w:r>
      <w:r>
        <w:t xml:space="preserve"> </w:t>
      </w:r>
      <w:hyperlink w:anchor="ref-10">
        <w:r>
          <w:rPr>
            <w:rStyle w:val="Hyperlink"/>
          </w:rPr>
          <w:t xml:space="preserve">[10]</w:t>
        </w:r>
      </w:hyperlink>
      <w:r>
        <w:t xml:space="preserve">. Work on optical mining of carbonaceous chondrite simulants, though centered on resource extraction rather than security, belongs to the same NewSpace expansion that puts more distributed activity into orbit and beyond, thickening the population of actors whose behavior any deterrence framework would have to account for</w:t>
      </w:r>
      <w:r>
        <w:t xml:space="preserve"> </w:t>
      </w:r>
      <w:hyperlink w:anchor="ref-11">
        <w:r>
          <w:rPr>
            <w:rStyle w:val="Hyperlink"/>
          </w:rPr>
          <w:t xml:space="preserve">[11]</w:t>
        </w:r>
      </w:hyperlink>
      <w:r>
        <w:t xml:space="preserve">. These adjacent framings are not central to the deterrence question, but they mark the outer edges of a literature that is spreading across venues faster than any single community can integrate it.</w:t>
      </w:r>
    </w:p>
    <w:bookmarkEnd w:id="72"/>
    <w:bookmarkStart w:id="73" w:name="Xdc9229c6be7a722579640d5a0981c52bdd88882"/>
    <w:p>
      <w:pPr>
        <w:pStyle w:val="Heading2"/>
        <w:spacing w:line="480" w:lineRule="auto"/>
      </w:pPr>
      <w:r>
        <w:t xml:space="preserve">Where the communities agree and where they collide</w:t>
      </w:r>
    </w:p>
    <w:p>
      <w:pPr>
        <w:pStyle w:val="FirstParagraph"/>
        <w:spacing w:line="480" w:lineRule="auto"/>
      </w:pPr>
      <w:r>
        <w:t xml:space="preserve">Reading the four strands side by side surfaces a pattern that no single strand states on its own. On one point they agree: distribution is real, deliberate, and consequential, whether it is described as an engineering response, a safety hazard, or an economic shift</w:t>
      </w:r>
      <w:r>
        <w:t xml:space="preserve"> </w:t>
      </w:r>
      <w:hyperlink w:anchor="ref-3">
        <w:r>
          <w:rPr>
            <w:rStyle w:val="Hyperlink"/>
          </w:rPr>
          <w:t xml:space="preserve">[3]</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On the interpretation of that fact they collide. The engineering strand treats distribution as protective, a way to make the mission survive attack</w:t>
      </w:r>
      <w:r>
        <w:t xml:space="preserve"> </w:t>
      </w:r>
      <w:hyperlink w:anchor="ref-6">
        <w:r>
          <w:rPr>
            <w:rStyle w:val="Hyperlink"/>
          </w:rPr>
          <w:t xml:space="preserve">[6]</w:t>
        </w:r>
      </w:hyperlink>
      <w:r>
        <w:t xml:space="preserve">. The safety strand treats it as hazardous, a way to make the environment more dangerous for everyone including its owner</w:t>
      </w:r>
      <w:r>
        <w:t xml:space="preserve"> </w:t>
      </w:r>
      <w:hyperlink w:anchor="ref-4">
        <w:r>
          <w:rPr>
            <w:rStyle w:val="Hyperlink"/>
          </w:rPr>
          <w:t xml:space="preserve">[4]</w:t>
        </w:r>
      </w:hyperlink>
      <w:r>
        <w:t xml:space="preserve">. The economics strand treats it as transformative, a way to move strategic capability into commercial hands</w:t>
      </w:r>
      <w:r>
        <w:t xml:space="preserve"> </w:t>
      </w:r>
      <w:hyperlink w:anchor="ref-15">
        <w:r>
          <w:rPr>
            <w:rStyle w:val="Hyperlink"/>
          </w:rPr>
          <w:t xml:space="preserve">[15]</w:t>
        </w:r>
      </w:hyperlink>
      <w:r>
        <w:t xml:space="preserve">. Same fact, three incompatible valences, and no venue reconciles them.</w:t>
      </w:r>
    </w:p>
    <w:p>
      <w:pPr>
        <w:pStyle w:val="BodyText"/>
        <w:spacing w:line="480" w:lineRule="auto"/>
        <w:ind w:firstLine="720"/>
      </w:pPr>
      <w:r>
        <w:t xml:space="preserve">That collision is exactly why a measurement-level question is worth asking before any substantive one. If three communities describe the same object in protective, hazardous, and transformative terms, then the object’s footprint in the record will look different depending on which community’s venue one samples, and the distribution of topic signal across venues becomes an empirical quantity rather than a rhetorical impression</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literature, in other words, does not just contain the proliferation topic; it contains it in structurally different densities across communities, and that structure is measurable</w:t>
      </w:r>
      <w:r>
        <w:t xml:space="preserve"> </w:t>
      </w:r>
      <w:hyperlink w:anchor="ref-14">
        <w:r>
          <w:rPr>
            <w:rStyle w:val="Hyperlink"/>
          </w:rPr>
          <w:t xml:space="preserve">[14]</w:t>
        </w:r>
      </w:hyperlink>
      <w:r>
        <w:t xml:space="preserve">. The collision among the strands is the phenomenon the first empirical screen is built to detect, and reading the strands together is what turns their disagreement into a testable prediction rather than a debate</w:t>
      </w:r>
      <w:r>
        <w:t xml:space="preserve"> </w:t>
      </w:r>
      <w:hyperlink w:anchor="ref-5">
        <w:r>
          <w:rPr>
            <w:rStyle w:val="Hyperlink"/>
          </w:rPr>
          <w:t xml:space="preserve">[5]</w:t>
        </w:r>
      </w:hyperlink>
      <w:r>
        <w:t xml:space="preserve">.</w:t>
      </w:r>
    </w:p>
    <w:bookmarkEnd w:id="73"/>
    <w:bookmarkStart w:id="74" w:name="the-measurement-strand-and-two-gaps"/>
    <w:p>
      <w:pPr>
        <w:pStyle w:val="Heading2"/>
        <w:spacing w:line="480" w:lineRule="auto"/>
      </w:pPr>
      <w:r>
        <w:t xml:space="preserve">The measurement strand and two gaps</w:t>
      </w:r>
    </w:p>
    <w:p>
      <w:pPr>
        <w:pStyle w:val="FirstParagraph"/>
        <w:spacing w:line="480" w:lineRule="auto"/>
      </w:pPr>
      <w:r>
        <w:t xml:space="preserve">Cutting across these substantive communities is a methodological one. Some of the cited work is quantitative in the sense that it models collision probabilities, custody workloads, or market values, but almost none of it treats the literature itself as an object of measurement</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proliferation-deterrence conversation is asserted, narrated, and modeled at the level of physical systems, yet the prior question of whether the topic is even coherently structured in the record is left unasked. That omission defines the first gap. Nobody has tested whether the commercial-proliferation signal is systematically organized by recency, attention, and venue, and without that test the community cannot know whether it is theorizing about a real, structured phenomenon or about a diffuse mood attached to a few vivid deployments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second gap is the distance between operational documentation and institutional explanation. The engineering strand can tell us that distribution is an architectural response to vulnerability; the safety strand can tell us that distribution generates ambient and cross-domain risk; the economics strand can tell us that distribution shifts ownership of strategic capability</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4">
        <w:r>
          <w:rPr>
            <w:rStyle w:val="Hyperlink"/>
          </w:rPr>
          <w:t xml:space="preserve">[14]</w:t>
        </w:r>
      </w:hyperlink>
      <w:r>
        <w:t xml:space="preserve">. None of them explains why the governance and deterrence language around these facts hardens in some venues and stays loose in others, and none provides a measured baseline against which the hardening could be tracked. The literature identifies operational risk without explaining institutional response, and it asserts strategic consequence without measuring whether the underlying topic has the structure that would make such assertions testable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74"/>
    <w:bookmarkStart w:id="75" w:name="the-absence-of-a-bibliometric-treatment"/>
    <w:p>
      <w:pPr>
        <w:pStyle w:val="Heading2"/>
        <w:spacing w:line="480" w:lineRule="auto"/>
      </w:pPr>
      <w:r>
        <w:t xml:space="preserve">The absence of a bibliometric treatment</w:t>
      </w:r>
    </w:p>
    <w:p>
      <w:pPr>
        <w:pStyle w:val="FirstParagraph"/>
        <w:spacing w:line="480" w:lineRule="auto"/>
      </w:pPr>
      <w:r>
        <w:t xml:space="preserve">One more absence in the prior work deserves its own statement, because it is the specific vacancy this dissertation moves into. Across all four substantive communities, the literature is treated as a source of claims about physical systems, never as a dataset in its own right</w:t>
      </w:r>
      <w:r>
        <w:t xml:space="preserve"> </w:t>
      </w:r>
      <w:hyperlink w:anchor="ref-3">
        <w:r>
          <w:rPr>
            <w:rStyle w:val="Hyperlink"/>
          </w:rPr>
          <w:t xml:space="preserve">[3]</w:t>
        </w:r>
      </w:hyperlink>
      <w:r>
        <w:t xml:space="preserve"> </w:t>
      </w:r>
      <w:hyperlink w:anchor="ref-14">
        <w:r>
          <w:rPr>
            <w:rStyle w:val="Hyperlink"/>
          </w:rPr>
          <w:t xml:space="preserve">[14]</w:t>
        </w:r>
      </w:hyperlink>
      <w:r>
        <w:t xml:space="preserve">. The collision-probability studies count objects and conjunctions; the economics studies count value and users; none counts documents, and none asks whether the documentary record has the shape a maturing field’s record should have</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 The result is that the community has rich measurements of orbit and market and no measurement at all of its own evidence base. That is a strange gap for a field so concerned with strategic stakes, and it is the gap a bibliometric screen is built to fill</w:t>
      </w:r>
      <w:r>
        <w:t xml:space="preserve"> </w:t>
      </w:r>
      <w:hyperlink w:anchor="ref-2">
        <w:r>
          <w:rPr>
            <w:rStyle w:val="Hyperlink"/>
          </w:rPr>
          <w:t xml:space="preserve">[2]</w:t>
        </w:r>
      </w:hyperlink>
      <w:r>
        <w:t xml:space="preserve">.</w:t>
      </w:r>
    </w:p>
    <w:p>
      <w:pPr>
        <w:pStyle w:val="BodyText"/>
        <w:spacing w:line="480" w:lineRule="auto"/>
        <w:ind w:firstLine="720"/>
      </w:pPr>
      <w:r>
        <w:t xml:space="preserve">Filling it requires borrowing a habit from the study of cumulative processes: the expectation that attention in a healthy field accumulates with age along a smooth curve, so that the shape of the age-attention relationship diagnoses the field’s maturity</w:t>
      </w:r>
      <w:r>
        <w:t xml:space="preserve"> </w:t>
      </w:r>
      <w:hyperlink w:anchor="ref-4">
        <w:r>
          <w:rPr>
            <w:rStyle w:val="Hyperlink"/>
          </w:rPr>
          <w:t xml:space="preserve">[4]</w:t>
        </w:r>
      </w:hyperlink>
      <w:r>
        <w:t xml:space="preserve"> </w:t>
      </w:r>
      <w:hyperlink w:anchor="ref-9">
        <w:r>
          <w:rPr>
            <w:rStyle w:val="Hyperlink"/>
          </w:rPr>
          <w:t xml:space="preserve">[9]</w:t>
        </w:r>
      </w:hyperlink>
      <w:r>
        <w:t xml:space="preserve">. No prior work in the proliferation literature applies that expectation to itself. Doing so is not a substitute for the substantive studies; it is a prior check on whether those studies rest on a consolidated base or an emerging one, and it is exactly the check the second empirical screen performs</w:t>
      </w:r>
      <w:r>
        <w:t xml:space="preserve"> </w:t>
      </w:r>
      <w:hyperlink w:anchor="ref-5">
        <w:r>
          <w:rPr>
            <w:rStyle w:val="Hyperlink"/>
          </w:rPr>
          <w:t xml:space="preserve">[5]</w:t>
        </w:r>
      </w:hyperlink>
      <w:r>
        <w:t xml:space="preserve"> </w:t>
      </w:r>
      <w:hyperlink w:anchor="ref-13">
        <w:r>
          <w:rPr>
            <w:rStyle w:val="Hyperlink"/>
          </w:rPr>
          <w:t xml:space="preserve">[13]</w:t>
        </w:r>
      </w:hyperlink>
      <w:r>
        <w:t xml:space="preserve">. The literature has measured everything about proliferation except the state of its own knowledge, and that omission is the opening this dissertation was designed to take</w:t>
      </w:r>
      <w:r>
        <w:t xml:space="preserve"> </w:t>
      </w:r>
      <w:hyperlink w:anchor="ref-6">
        <w:r>
          <w:rPr>
            <w:rStyle w:val="Hyperlink"/>
          </w:rPr>
          <w:t xml:space="preserve">[6]</w:t>
        </w:r>
      </w:hyperlink>
      <w:r>
        <w:t xml:space="preserve">.</w:t>
      </w:r>
    </w:p>
    <w:p>
      <w:pPr>
        <w:pStyle w:val="BodyText"/>
        <w:spacing w:line="480" w:lineRule="auto"/>
        <w:ind w:firstLine="720"/>
      </w:pPr>
      <w:r>
        <w:t xml:space="preserve">This dissertation is designed to occupy exactly those two gaps, and only those. It does not try to out-model the collision-probability community or out-narrate the governance community. It asks the prior, measurement-level question that both communities skip: is the commercial-proliferation topic structured in the retrieved record by timing, attention, and venue, and does citation attention in that record accumulate with age in the way a maturing field would show? The first empirical screen addresses the recency, attention, and venue structure directly. The second addresses the age-scaling of attention. Together they test whether the phenomenon the rest of the literature theorizes about is coherent enough to bear the strategic weight that is routinely placed on it</w:t>
      </w:r>
      <w:r>
        <w:t xml:space="preserve"> </w:t>
      </w:r>
      <w:hyperlink w:anchor="ref-4">
        <w:r>
          <w:rPr>
            <w:rStyle w:val="Hyperlink"/>
          </w:rPr>
          <w:t xml:space="preserve">[4]</w:t>
        </w:r>
      </w:hyperlink>
      <w:r>
        <w:t xml:space="preserve"> </w:t>
      </w:r>
      <w:hyperlink w:anchor="ref-12">
        <w:r>
          <w:rPr>
            <w:rStyle w:val="Hyperlink"/>
          </w:rPr>
          <w:t xml:space="preserve">[12]</w:t>
        </w:r>
      </w:hyperlink>
      <w:r>
        <w:t xml:space="preserve">. Before turning to that theory, it is worth registering what this reading of the literature has and has not established. It has established that four communities describe distribution in incompatible valences, that the topic is documented densely in some venues and diffusely in others, and that no prior work has measured the record itself to see whether its structure matches a maturing field</w:t>
      </w:r>
      <w:r>
        <w:t xml:space="preserve"> </w:t>
      </w:r>
      <w:hyperlink w:anchor="ref-3">
        <w:r>
          <w:rPr>
            <w:rStyle w:val="Hyperlink"/>
          </w:rPr>
          <w:t xml:space="preserve">[3]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It has not established that distribution deters, that the deterrence claim is false, or that any particular reading of the physical systems is correct, because settling those questions is beyond both this chapter and this dissertation</w:t>
      </w:r>
      <w:r>
        <w:t xml:space="preserve"> </w:t>
      </w:r>
      <w:hyperlink w:anchor="ref-4">
        <w:r>
          <w:rPr>
            <w:rStyle w:val="Hyperlink"/>
          </w:rPr>
          <w:t xml:space="preserve">[4]</w:t>
        </w:r>
      </w:hyperlink>
      <w:r>
        <w:t xml:space="preserve">. What the review delivers is a precise vacancy: the community has measured orbit, market, and hazard, and has left the state of its own knowledge unmeasured, and that specific vacancy is where the two empirical screens go to work</w:t>
      </w:r>
      <w:r>
        <w:t xml:space="preserve"> </w:t>
      </w:r>
      <w:hyperlink w:anchor="ref-2">
        <w:r>
          <w:rPr>
            <w:rStyle w:val="Hyperlink"/>
          </w:rPr>
          <w:t xml:space="preserve">[2]</w:t>
        </w:r>
      </w:hyperlink>
      <w:r>
        <w:t xml:space="preserve"> </w:t>
      </w:r>
      <w:hyperlink w:anchor="ref-12">
        <w:r>
          <w:rPr>
            <w:rStyle w:val="Hyperlink"/>
          </w:rPr>
          <w:t xml:space="preserve">[12]</w:t>
        </w:r>
      </w:hyperlink>
      <w:r>
        <w:t xml:space="preserve">. The chapters that follow build that test, beginning with the theory that specifies what each measured trace would mean</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75"/>
    <w:bookmarkEnd w:id="76"/>
    <w:bookmarkStart w:id="84" w:name="X4278fcd22e64b581a7f6894c30bdb3ba9a20257"/>
    <w:p>
      <w:pPr>
        <w:pStyle w:val="Heading1"/>
        <w:spacing w:line="480" w:lineRule="auto"/>
      </w:pPr>
      <w:r>
        <w:t xml:space="preserve">Chapter 3: Theoretical Framework and Hypotheses</w:t>
      </w:r>
    </w:p>
    <w:p>
      <w:pPr>
        <w:pStyle w:val="FirstParagraph"/>
        <w:spacing w:line="480" w:lineRule="auto"/>
      </w:pPr>
      <w:r>
        <w:t xml:space="preserve">A theory earns its keep by telling you what to expect and by telling you what would count against it. The theory in this dissertation has two levels, and it is important to keep them separate. At the substantive level there is a claim about deterrence: that distributed architecture may alter an adversary’s calculus by removing the decisive target. At the operational level there is a claim about evidence: that if the deterrence conversation is theorizing about a real and consequential phenomenon, then the phenomenon should leave measurable traces in the record of professional literature that documents it. This chapter builds both levels, connects them, and states the hypotheses that the empirical screens will test. The substantive claim motivates the inquiry. The operational claim is what the data can actually adjudicate, and it is where the falsifiable hypotheses live.</w:t>
      </w:r>
    </w:p>
    <w:bookmarkStart w:id="77" w:name="Xfa2789f4665fff27877f23da647bdd9b4e4c6fc"/>
    <w:p>
      <w:pPr>
        <w:pStyle w:val="Heading2"/>
        <w:spacing w:line="480" w:lineRule="auto"/>
      </w:pPr>
      <w:r>
        <w:t xml:space="preserve">The substantive mechanism: deterrence by denial through distribution</w:t>
      </w:r>
    </w:p>
    <w:p>
      <w:pPr>
        <w:pStyle w:val="FirstParagraph"/>
        <w:spacing w:line="480" w:lineRule="auto"/>
      </w:pPr>
      <w:r>
        <w:t xml:space="preserve">Deterrence works through the anticipated cost of action relative to its anticipated benefit. Classical deterrence against a concentrated space architecture ran through the threat of retaliation and through the value of the target: an adversary who destroyed a key national satellite could expect a response, and the target was worth protecting precisely because its loss was decisive. Distribution attacks the second leg of that logic. If capability is spread across thousands of cheap, replaceable nodes, then the marginal value of destroying any one node collapses toward zero, and the number of strikes required to achieve a decisive effect rises toward infeasibility</w:t>
      </w:r>
      <w:r>
        <w:t xml:space="preserve"> </w:t>
      </w:r>
      <w:hyperlink w:anchor="ref-3">
        <w:r>
          <w:rPr>
            <w:rStyle w:val="Hyperlink"/>
          </w:rPr>
          <w:t xml:space="preserve">[3]</w:t>
        </w:r>
      </w:hyperlink>
      <w:r>
        <w:t xml:space="preserve"> </w:t>
      </w:r>
      <w:hyperlink w:anchor="ref-6">
        <w:r>
          <w:rPr>
            <w:rStyle w:val="Hyperlink"/>
          </w:rPr>
          <w:t xml:space="preserve">[6]</w:t>
        </w:r>
      </w:hyperlink>
      <w:r>
        <w:t xml:space="preserve">. This is deterrence by denial rather than deterrence by punishment. The adversary is not deterred by fear of retaliation but by the futility of the attempt, because the architecture is built so that no achievable strike degrades the mission.</w:t>
      </w:r>
    </w:p>
    <w:p>
      <w:pPr>
        <w:pStyle w:val="BodyText"/>
        <w:spacing w:line="480" w:lineRule="auto"/>
        <w:ind w:firstLine="720"/>
      </w:pPr>
      <w:r>
        <w:t xml:space="preserve">The mechanism has a second channel that the safety literature makes visible, and it may be the stronger of the two. A kinetic attack on a proliferated constellation in a crowded orbital shell risks generating a debris cascade whose consequences fall on the attacker’s own assets and on the shared environment</w:t>
      </w:r>
      <w:r>
        <w:t xml:space="preserve"> </w:t>
      </w:r>
      <w:hyperlink w:anchor="ref-4">
        <w:r>
          <w:rPr>
            <w:rStyle w:val="Hyperlink"/>
          </w:rPr>
          <w:t xml:space="preserve">[4]</w:t>
        </w:r>
      </w:hyperlink>
      <w:r>
        <w:t xml:space="preserve">. Distribution therefore raises the ambient cost of attack even when it does not raise the number of strikes required, because the very density that resilience depends on also converts any kinetic engagement into a potential environmental catastrophe</w:t>
      </w:r>
      <w:r>
        <w:t xml:space="preserve"> </w:t>
      </w:r>
      <w:hyperlink w:anchor="ref-12">
        <w:r>
          <w:rPr>
            <w:rStyle w:val="Hyperlink"/>
          </w:rPr>
          <w:t xml:space="preserve">[12]</w:t>
        </w:r>
      </w:hyperlink>
      <w:r>
        <w:t xml:space="preserve">. An adversary contemplating a strike must weigh not only the futility of node-level destruction but the self-harm of environment-level cascade. Both channels point the same way. Distribution, by removing the decisive target and by raising the environmental cost of engagement, plausibly shifts the calculus toward restraint.</w:t>
      </w:r>
    </w:p>
    <w:p>
      <w:pPr>
        <w:pStyle w:val="BodyText"/>
        <w:spacing w:line="480" w:lineRule="auto"/>
        <w:ind w:firstLine="720"/>
      </w:pPr>
      <w:r>
        <w:t xml:space="preserve">This is a plausible mechanism, not a demonstrated one, and the honesty of the dissertation depends on saying so. The mechanism could fail in several ways. An adversary might target ground segments, user terminals, or the commercial firms that own the constellation rather than the satellites themselves, routing around the resilience of the orbital layer entirely</w:t>
      </w:r>
      <w:r>
        <w:t xml:space="preserve"> </w:t>
      </w:r>
      <w:hyperlink w:anchor="ref-1">
        <w:r>
          <w:rPr>
            <w:rStyle w:val="Hyperlink"/>
          </w:rPr>
          <w:t xml:space="preserve">[1]</w:t>
        </w:r>
      </w:hyperlink>
      <w:r>
        <w:t xml:space="preserve">. Non-kinetic attacks, jamming, spoofing, cyber intrusion, do not generate debris and are not deterred by the cascade channel</w:t>
      </w:r>
      <w:r>
        <w:t xml:space="preserve"> </w:t>
      </w:r>
      <w:hyperlink w:anchor="ref-16">
        <w:r>
          <w:rPr>
            <w:rStyle w:val="Hyperlink"/>
          </w:rPr>
          <w:t xml:space="preserve">[16]</w:t>
        </w:r>
      </w:hyperlink>
      <w:r>
        <w:t xml:space="preserve">. And the migration of function onto commercially owned systems introduces actors whose risk tolerance and escalation logic differ from those of a national program, so the deterrence relationship becomes a three-body problem rather than a clean bilateral one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substantive mechanism is worth taking seriously and it is worth doubting. What it is not is directly testable with the data this project has.</w:t>
      </w:r>
    </w:p>
    <w:bookmarkEnd w:id="77"/>
    <w:bookmarkStart w:id="78" w:name="X91d225ece29f6b165d7941ba772ce51d671ff4a"/>
    <w:p>
      <w:pPr>
        <w:pStyle w:val="Heading2"/>
        <w:spacing w:line="480" w:lineRule="auto"/>
      </w:pPr>
      <w:r>
        <w:t xml:space="preserve">From substance to evidence: what a real phenomenon should look like in the record</w:t>
      </w:r>
    </w:p>
    <w:p>
      <w:pPr>
        <w:pStyle w:val="FirstParagraph"/>
        <w:spacing w:line="480" w:lineRule="auto"/>
      </w:pPr>
      <w:r>
        <w:t xml:space="preserve">Here the theory turns to what can be measured. The core operational premise is that a phenomenon consequential enough to reshape deterrence should be consequential enough to organize the literature that documents it. This is not a trivial premise, and it is not tautological. A topic can be loudly asserted in press releases and policy commentary while remaining diffuse and unstructured in the professional record, in which case its metadata would show no coherent pattern. If commercial proliferation were merely a mood, a set of vivid deployments that everyone gestures at, then source records touching it would scatter randomly across years, attention levels, and venues. If instead it were a maturing, consequential research object, its footprint in the record should be structured, and structured in specific, predictable ways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Three predictions follow. First, recency. The deployments that motivate the proliferation conversation are recent, concentrated in 2020 and after, so a genuinely deployment-driven topic signal should intensify in more recent work rather than being spread evenly across the whole period the corpus spans</w:t>
      </w:r>
      <w:r>
        <w:t xml:space="preserve"> </w:t>
      </w:r>
      <w:hyperlink w:anchor="ref-2">
        <w:r>
          <w:rPr>
            <w:rStyle w:val="Hyperlink"/>
          </w:rPr>
          <w:t xml:space="preserve">[2]</w:t>
        </w:r>
      </w:hyperlink>
      <w:r>
        <w:t xml:space="preserve">. Second, attention. A topic doing real analytical work, rather than decorating announcements, should draw citation attention, so records with more attention should carry more of the topic signal if the signal marks substance rather than noise</w:t>
      </w:r>
      <w:r>
        <w:t xml:space="preserve"> </w:t>
      </w:r>
      <w:hyperlink w:anchor="ref-4">
        <w:r>
          <w:rPr>
            <w:rStyle w:val="Hyperlink"/>
          </w:rPr>
          <w:t xml:space="preserve">[4]</w:t>
        </w:r>
      </w:hyperlink>
      <w:r>
        <w:t xml:space="preserve">. Third, venue family. Different communities frame the same physical object differently, and their framings carry different signal densities; a technical space domain awareness venue, a peer-reviewed astronautics journal, and an economics-of-space venue do not describe proliferation in the same terms or at the same density</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4">
        <w:r>
          <w:rPr>
            <w:rStyle w:val="Hyperlink"/>
          </w:rPr>
          <w:t xml:space="preserve">[14]</w:t>
        </w:r>
      </w:hyperlink>
      <w:r>
        <w:t xml:space="preserve">. If the topic is structured, venue family should matter. If the topic is unstructured noise, venue family should not.</w:t>
      </w:r>
    </w:p>
    <w:p>
      <w:pPr>
        <w:pStyle w:val="BodyText"/>
        <w:spacing w:line="480" w:lineRule="auto"/>
        <w:ind w:firstLine="720"/>
      </w:pPr>
      <w:r>
        <w:t xml:space="preserve">There is a fourth, dynamic prediction, and it concerns how attention accumulates rather than how it is distributed at a moment. In a maturing field, older documents have had longer to accumulate citations, and the relationship between age and accumulated attention tends to follow a smooth power law rather than a random scatter</w:t>
      </w:r>
      <w:r>
        <w:t xml:space="preserve"> </w:t>
      </w:r>
      <w:hyperlink w:anchor="ref-4">
        <w:r>
          <w:rPr>
            <w:rStyle w:val="Hyperlink"/>
          </w:rPr>
          <w:t xml:space="preserve">[4]</w:t>
        </w:r>
      </w:hyperlink>
      <w:r>
        <w:t xml:space="preserve"> </w:t>
      </w:r>
      <w:hyperlink w:anchor="ref-9">
        <w:r>
          <w:rPr>
            <w:rStyle w:val="Hyperlink"/>
          </w:rPr>
          <w:t xml:space="preserve">[9]</w:t>
        </w:r>
      </w:hyperlink>
      <w:r>
        <w:t xml:space="preserve">. If the proliferation literature is behaving like a maturing field, then accumulated citation attention should scale with document age in a measurable, monotone way. If it is behaving like a young, fast-moving, operationally driven literature whose newest and most cited work has not yet had time to mature, then the age-attention relationship may be weak or unstable even when the cross-sectional structure is strong. The two screens are built to catch exactly this contrast</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bookmarkEnd w:id="78"/>
    <w:bookmarkStart w:id="79" w:name="X6acd1d7d695a28c8942b512045bb2b2e096baca"/>
    <w:p>
      <w:pPr>
        <w:pStyle w:val="Heading2"/>
        <w:spacing w:line="480" w:lineRule="auto"/>
      </w:pPr>
      <w:r>
        <w:t xml:space="preserve">Rival mechanisms the theory must hold in view</w:t>
      </w:r>
    </w:p>
    <w:p>
      <w:pPr>
        <w:pStyle w:val="FirstParagraph"/>
        <w:spacing w:line="480" w:lineRule="auto"/>
      </w:pPr>
      <w:r>
        <w:t xml:space="preserve">A good theory names the alternatives that would explain the same evidence, because a prediction that only one mechanism could produce is worth more than one that many could. Three rival accounts of the deterrence relationship deserve a place in the framework, each of which cuts against the simple resilience story.</w:t>
      </w:r>
    </w:p>
    <w:p>
      <w:pPr>
        <w:pStyle w:val="BodyText"/>
        <w:spacing w:line="480" w:lineRule="auto"/>
        <w:ind w:firstLine="720"/>
      </w:pPr>
      <w:r>
        <w:t xml:space="preserve">The first rival is displacement. If distribution hardens the orbital layer, a rational adversary does not keep attacking the hardened layer; it moves to the soft layers, the ground stations, the user terminals, the commercial firms that own and operate the constellation</w:t>
      </w:r>
      <w:r>
        <w:t xml:space="preserve"> </w:t>
      </w:r>
      <w:hyperlink w:anchor="ref-1">
        <w:r>
          <w:rPr>
            <w:rStyle w:val="Hyperlink"/>
          </w:rPr>
          <w:t xml:space="preserve">[1]</w:t>
        </w:r>
      </w:hyperlink>
      <w:r>
        <w:t xml:space="preserve">. Under displacement, distribution does not deter attack; it redirects it, and the strategic problem migrates from orbit to the ground and to the corporate balance sheet</w:t>
      </w:r>
      <w:r>
        <w:t xml:space="preserve"> </w:t>
      </w:r>
      <w:hyperlink w:anchor="ref-14">
        <w:r>
          <w:rPr>
            <w:rStyle w:val="Hyperlink"/>
          </w:rPr>
          <w:t xml:space="preserve">[14]</w:t>
        </w:r>
      </w:hyperlink>
      <w:r>
        <w:t xml:space="preserve">. This rival matters because it predicts that resilience in orbit coexists with vulnerability elsewhere, so an architecture that looks deterrent from the satellite’s point of view may be nothing of the kind from the system’s point of view</w:t>
      </w:r>
      <w:r>
        <w:t xml:space="preserve"> </w:t>
      </w:r>
      <w:hyperlink w:anchor="ref-16">
        <w:r>
          <w:rPr>
            <w:rStyle w:val="Hyperlink"/>
          </w:rPr>
          <w:t xml:space="preserve">[16]</w:t>
        </w:r>
      </w:hyperlink>
      <w:r>
        <w:t xml:space="preserve">.</w:t>
      </w:r>
    </w:p>
    <w:p>
      <w:pPr>
        <w:pStyle w:val="BodyText"/>
        <w:spacing w:line="480" w:lineRule="auto"/>
        <w:ind w:firstLine="720"/>
      </w:pPr>
      <w:r>
        <w:t xml:space="preserve">The second rival is the non-kinetic channel. Jamming, spoofing, and cyber intrusion degrade a constellation without destroying a satellite, generate no debris, and are therefore untouched by both the futility channel and the cascade channel that the resilience story relies on</w:t>
      </w:r>
      <w:r>
        <w:t xml:space="preserve"> </w:t>
      </w:r>
      <w:hyperlink w:anchor="ref-16">
        <w:r>
          <w:rPr>
            <w:rStyle w:val="Hyperlink"/>
          </w:rPr>
          <w:t xml:space="preserve">[16]</w:t>
        </w:r>
      </w:hyperlink>
      <w:r>
        <w:t xml:space="preserve">. Under this rival, distribution deters only the narrow class of kinetic attacks and leaves the broader contest of electronic and cyber effects entirely open, which would mean the deterrence claim, even if true in its own terms, addresses a shrinking share of the actual threat</w:t>
      </w:r>
      <w:r>
        <w:t xml:space="preserve"> </w:t>
      </w:r>
      <w:hyperlink w:anchor="ref-9">
        <w:r>
          <w:rPr>
            <w:rStyle w:val="Hyperlink"/>
          </w:rPr>
          <w:t xml:space="preserve">[9]</w:t>
        </w:r>
      </w:hyperlink>
      <w:r>
        <w:t xml:space="preserve">. A theory that ignored this rival would overstate what distribution buys.</w:t>
      </w:r>
    </w:p>
    <w:p>
      <w:pPr>
        <w:pStyle w:val="BodyText"/>
        <w:spacing w:line="480" w:lineRule="auto"/>
        <w:ind w:firstLine="720"/>
      </w:pPr>
      <w:r>
        <w:t xml:space="preserve">The third rival is the commercial-actor problem. When strategic function rides on commercially owned systems, the deterrence relationship acquires a third party whose risk tolerance, disclosure incentives, and escalation logic differ from a national program’s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A commercial operator may absorb losses a government would treat as casus belli, or may disclose or conceal degradation for market rather than strategic reasons, so the signal that deterrence depends on becomes noisy</w:t>
      </w:r>
      <w:r>
        <w:t xml:space="preserve"> </w:t>
      </w:r>
      <w:hyperlink w:anchor="ref-15">
        <w:r>
          <w:rPr>
            <w:rStyle w:val="Hyperlink"/>
          </w:rPr>
          <w:t xml:space="preserve">[15]</w:t>
        </w:r>
      </w:hyperlink>
      <w:r>
        <w:t xml:space="preserve">. Under this rival, distribution changes not only the target set but the identity of the actor whose calculus is at stake, and any clean bilateral deterrence model misdescribes the game</w:t>
      </w:r>
      <w:r>
        <w:t xml:space="preserve"> </w:t>
      </w:r>
      <w:hyperlink w:anchor="ref-14">
        <w:r>
          <w:rPr>
            <w:rStyle w:val="Hyperlink"/>
          </w:rPr>
          <w:t xml:space="preserve">[14]</w:t>
        </w:r>
      </w:hyperlink>
      <w:r>
        <w:t xml:space="preserve">.</w:t>
      </w:r>
    </w:p>
    <w:p>
      <w:pPr>
        <w:pStyle w:val="BodyText"/>
        <w:spacing w:line="480" w:lineRule="auto"/>
        <w:ind w:firstLine="720"/>
      </w:pPr>
      <w:r>
        <w:t xml:space="preserve">The framework does not adjudicate among these rivals; the data cannot</w:t>
      </w:r>
      <w:r>
        <w:t xml:space="preserve"> </w:t>
      </w:r>
      <w:hyperlink w:anchor="ref-4">
        <w:r>
          <w:rPr>
            <w:rStyle w:val="Hyperlink"/>
          </w:rPr>
          <w:t xml:space="preserve">[4]</w:t>
        </w:r>
      </w:hyperlink>
      <w:r>
        <w:t xml:space="preserve">. What matters is that the operational hypotheses were designed knowing these rivals exist, which is why the dissertation tests the prior structural question rather than pretending to resolve the mechanism. If the topic were structured in the record, that structure would be the precondition for a later design able to separate the resilience story from its three rivals</w:t>
      </w:r>
      <w:r>
        <w:t xml:space="preserve"> </w:t>
      </w:r>
      <w:hyperlink w:anchor="ref-6">
        <w:r>
          <w:rPr>
            <w:rStyle w:val="Hyperlink"/>
          </w:rPr>
          <w:t xml:space="preserve">[6]</w:t>
        </w:r>
      </w:hyperlink>
      <w:r>
        <w:t xml:space="preserve"> </w:t>
      </w:r>
      <w:hyperlink w:anchor="ref-12">
        <w:r>
          <w:rPr>
            <w:rStyle w:val="Hyperlink"/>
          </w:rPr>
          <w:t xml:space="preserve">[12]</w:t>
        </w:r>
      </w:hyperlink>
      <w:r>
        <w:t xml:space="preserve">. If the topic were not structured, no such separation would be worth attempting yet.</w:t>
      </w:r>
    </w:p>
    <w:bookmarkEnd w:id="79"/>
    <w:bookmarkStart w:id="80" w:name="X3f576edecee3a03fab3df38f200878b66602eb8"/>
    <w:p>
      <w:pPr>
        <w:pStyle w:val="Heading2"/>
        <w:spacing w:line="480" w:lineRule="auto"/>
      </w:pPr>
      <w:r>
        <w:t xml:space="preserve">The bridge premise, stated as an assumption</w:t>
      </w:r>
    </w:p>
    <w:p>
      <w:pPr>
        <w:pStyle w:val="FirstParagraph"/>
        <w:spacing w:line="480" w:lineRule="auto"/>
      </w:pPr>
      <w:r>
        <w:t xml:space="preserve">The move from substance to evidence rests on one premise that deserves to be named as an assumption rather than smuggled in as a fact. The premise is that consequence leaves a documentary trace: that a phenomenon reshaping deterrence is a phenomenon that the professional literature documents with enough regularity to show measurable structure</w:t>
      </w:r>
      <w:r>
        <w:t xml:space="preserve"> </w:t>
      </w:r>
      <w:hyperlink w:anchor="ref-2">
        <w:r>
          <w:rPr>
            <w:rStyle w:val="Hyperlink"/>
          </w:rPr>
          <w:t xml:space="preserve">[2]</w:t>
        </w:r>
      </w:hyperlink>
      <w:r>
        <w:t xml:space="preserve"> </w:t>
      </w:r>
      <w:hyperlink w:anchor="ref-5">
        <w:r>
          <w:rPr>
            <w:rStyle w:val="Hyperlink"/>
          </w:rPr>
          <w:t xml:space="preserve">[5]</w:t>
        </w:r>
      </w:hyperlink>
      <w:r>
        <w:t xml:space="preserve">. This premise can fail. A strategically consequential development could, in principle, be classified, tacit, or discussed only in venues the corpus does not reach, in which case the record would show weak structure even though the phenomenon were real and important</w:t>
      </w:r>
      <w:r>
        <w:t xml:space="preserve"> </w:t>
      </w:r>
      <w:hyperlink w:anchor="ref-1">
        <w:r>
          <w:rPr>
            <w:rStyle w:val="Hyperlink"/>
          </w:rPr>
          <w:t xml:space="preserve">[1]</w:t>
        </w:r>
      </w:hyperlink>
      <w:r>
        <w:t xml:space="preserve">. The dissertation accepts this risk openly. It assumes the bridge premise holds well enough for an open, documentary corpus to be informative, and it treats a finding of weak structure as evidence about the open record specifically, not as proof that the phenomenon is unreal</w:t>
      </w:r>
      <w:r>
        <w:t xml:space="preserve"> </w:t>
      </w:r>
      <w:hyperlink w:anchor="ref-6">
        <w:r>
          <w:rPr>
            <w:rStyle w:val="Hyperlink"/>
          </w:rPr>
          <w:t xml:space="preserve">[6]</w:t>
        </w:r>
      </w:hyperlink>
      <w:r>
        <w:t xml:space="preserve">. Naming the premise as an assumption is what keeps the null result interpretable rather than devastating.</w:t>
      </w:r>
    </w:p>
    <w:bookmarkEnd w:id="80"/>
    <w:bookmarkStart w:id="81" w:name="the-hypotheses"/>
    <w:p>
      <w:pPr>
        <w:pStyle w:val="Heading2"/>
        <w:spacing w:line="480" w:lineRule="auto"/>
      </w:pPr>
      <w:r>
        <w:t xml:space="preserve">The hypotheses</w:t>
      </w:r>
    </w:p>
    <w:p>
      <w:pPr>
        <w:pStyle w:val="FirstParagraph"/>
        <w:spacing w:line="480" w:lineRule="auto"/>
      </w:pPr>
      <w:r>
        <w:t xml:space="preserve">The substantive mechanism is not tested directly. What is tested is the operational premise that a consequential phenomenon leaves structured traces. The hypotheses are stated at that operational level, which is the level at which they can fail.</w:t>
      </w:r>
    </w:p>
    <w:p>
      <w:pPr>
        <w:pStyle w:val="BodyText"/>
        <w:spacing w:line="480" w:lineRule="auto"/>
        <w:ind w:firstLine="720"/>
      </w:pPr>
      <w:r>
        <w:t xml:space="preserve">For the first screen, the cross-sectional structure of topic signal:</w:t>
      </w:r>
    </w:p>
    <w:p>
      <w:pPr>
        <w:pStyle w:val="BodyText"/>
        <w:spacing w:line="480" w:lineRule="auto"/>
        <w:ind w:firstLine="720"/>
      </w:pPr>
      <w:r>
        <w:t xml:space="preserve">H1-0 (null): topic-signal intensity in a retrieved source is unrelated to the source’s publication recency, its citation attention, and its venue family. The coefficients on recency, attention, and venue are jointly indistinguishable from zero.</w:t>
      </w:r>
    </w:p>
    <w:p>
      <w:pPr>
        <w:pStyle w:val="BodyText"/>
        <w:spacing w:line="480" w:lineRule="auto"/>
        <w:ind w:firstLine="720"/>
      </w:pPr>
      <w:r>
        <w:t xml:space="preserve">H1-1 (alternative): topic-signal intensity is systematically related to these features. In the directional form the theory prefers, signal rises with recency and with citation attention, and it varies systematically across venue families.</w:t>
      </w:r>
    </w:p>
    <w:p>
      <w:pPr>
        <w:pStyle w:val="BodyText"/>
        <w:spacing w:line="480" w:lineRule="auto"/>
        <w:ind w:firstLine="720"/>
      </w:pPr>
      <w:r>
        <w:t xml:space="preserve">For the second screen, the dynamic accumulation of attention:</w:t>
      </w:r>
    </w:p>
    <w:p>
      <w:pPr>
        <w:pStyle w:val="BodyText"/>
        <w:spacing w:line="480" w:lineRule="auto"/>
        <w:ind w:firstLine="720"/>
      </w:pPr>
      <w:r>
        <w:t xml:space="preserve">H2-0 (null): accumulated citation attention is unrelated to document age in the retrieved literature. The age elasticity of attention is indistinguishable from zero.</w:t>
      </w:r>
    </w:p>
    <w:p>
      <w:pPr>
        <w:pStyle w:val="BodyText"/>
        <w:spacing w:line="480" w:lineRule="auto"/>
        <w:ind w:firstLine="720"/>
      </w:pPr>
      <w:r>
        <w:t xml:space="preserve">H2-1 (alternative): accumulated citation attention follows a measurable age-based curve, with older documents carrying more accumulated attention according to a stable elasticity.</w:t>
      </w:r>
    </w:p>
    <w:p>
      <w:pPr>
        <w:pStyle w:val="BodyText"/>
        <w:spacing w:line="480" w:lineRule="auto"/>
        <w:ind w:firstLine="720"/>
      </w:pPr>
      <w:r>
        <w:t xml:space="preserve">These hypotheses are designed so that failing to reject a null is informative rather than merely disappointing. If H1-0 survives, the community learns that the proliferation topic is not yet structured enough in the record to support strong measured claims, and that a more direct document-coding design is needed before the substantive deterrence mechanism can be approached empirically</w:t>
      </w:r>
      <w:r>
        <w:t xml:space="preserve"> </w:t>
      </w:r>
      <w:hyperlink w:anchor="ref-6">
        <w:r>
          <w:rPr>
            <w:rStyle w:val="Hyperlink"/>
          </w:rPr>
          <w:t xml:space="preserve">[6]</w:t>
        </w:r>
      </w:hyperlink>
      <w:r>
        <w:t xml:space="preserve">. If H2-0 survives while H1-1 is supported, the community learns something sharper: that the topic has cross-sectional structure but has not yet matured in the citation-dynamic sense, which is exactly the fingerprint of a young, operationally driven, deployment-triggered literature</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theory does not require both nulls to fall together, and its value lies partly in specifying, in advance, what each pattern of rejection and non-rejection would mean.</w:t>
      </w:r>
    </w:p>
    <w:bookmarkEnd w:id="81"/>
    <w:bookmarkStart w:id="82" w:name="Xaf734a51b8aa5c72bac607d5e12cbe6c01d9943"/>
    <w:p>
      <w:pPr>
        <w:pStyle w:val="Heading2"/>
        <w:spacing w:line="480" w:lineRule="auto"/>
      </w:pPr>
      <w:r>
        <w:t xml:space="preserve">Auxiliary predictions and their diagnostic value</w:t>
      </w:r>
    </w:p>
    <w:p>
      <w:pPr>
        <w:pStyle w:val="FirstParagraph"/>
        <w:spacing w:line="480" w:lineRule="auto"/>
      </w:pPr>
      <w:r>
        <w:t xml:space="preserve">The two main hypotheses do not exhaust what the theory implies, and the auxiliary predictions are worth naming because their pattern is diagnostic. If the topic is structured by community, then the venue coefficient should be the strongest of the three cross-sectional terms, because community framing is the mechanism the theory expects to organize the record most powerfully</w:t>
      </w:r>
      <w:r>
        <w:t xml:space="preserve"> </w:t>
      </w:r>
      <w:hyperlink w:anchor="ref-1">
        <w:r>
          <w:rPr>
            <w:rStyle w:val="Hyperlink"/>
          </w:rPr>
          <w:t xml:space="preserve">[1]</w:t>
        </w:r>
      </w:hyperlink>
      <w:r>
        <w:t xml:space="preserve"> </w:t>
      </w:r>
      <w:hyperlink w:anchor="ref-3">
        <w:r>
          <w:rPr>
            <w:rStyle w:val="Hyperlink"/>
          </w:rPr>
          <w:t xml:space="preserve">[3]</w:t>
        </w:r>
      </w:hyperlink>
      <w:r>
        <w:t xml:space="preserve">. If the topic is deployment-triggered but young, then recency should be positive in sign yet may be imprecise, because the deployment era is recent enough that community, not calendar, does most of the organizing work</w:t>
      </w:r>
      <w:r>
        <w:t xml:space="preserve"> </w:t>
      </w:r>
      <w:hyperlink w:anchor="ref-2">
        <w:r>
          <w:rPr>
            <w:rStyle w:val="Hyperlink"/>
          </w:rPr>
          <w:t xml:space="preserve">[2]</w:t>
        </w:r>
      </w:hyperlink>
      <w:r>
        <w:t xml:space="preserve"> </w:t>
      </w:r>
      <w:hyperlink w:anchor="ref-5">
        <w:r>
          <w:rPr>
            <w:rStyle w:val="Hyperlink"/>
          </w:rPr>
          <w:t xml:space="preserve">[5]</w:t>
        </w:r>
      </w:hyperlink>
      <w:r>
        <w:t xml:space="preserve">. If attention marks substance rather than noise, the citation term should be positive, but because a young field has few accumulated citations, that term may sit at the margin of precision rather than deep inside it</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These auxiliary predictions turn the analysis into a pattern test rather than a single-coefficient test, and pattern tests are harder to pass by accident. A result in which venue dominates, recency is positive but weak, and attention is positive but borderline would match the theory’s picture of a young, community-organized, deployment-driven field far more tightly than any one coefficient could on its own</w:t>
      </w:r>
      <w:r>
        <w:t xml:space="preserve"> </w:t>
      </w:r>
      <w:hyperlink w:anchor="ref-5">
        <w:r>
          <w:rPr>
            <w:rStyle w:val="Hyperlink"/>
          </w:rPr>
          <w:t xml:space="preserve">[5]</w:t>
        </w:r>
      </w:hyperlink>
      <w:r>
        <w:t xml:space="preserve"> </w:t>
      </w:r>
      <w:hyperlink w:anchor="ref-13">
        <w:r>
          <w:rPr>
            <w:rStyle w:val="Hyperlink"/>
          </w:rPr>
          <w:t xml:space="preserve">[13]</w:t>
        </w:r>
      </w:hyperlink>
      <w:r>
        <w:t xml:space="preserve">. A result in which recency dominated and venue vanished would fit a different picture, a topic organized by time rather than by community, and would send the interpretation in another direction entirely</w:t>
      </w:r>
      <w:r>
        <w:t xml:space="preserve"> </w:t>
      </w:r>
      <w:hyperlink w:anchor="ref-2">
        <w:r>
          <w:rPr>
            <w:rStyle w:val="Hyperlink"/>
          </w:rPr>
          <w:t xml:space="preserve">[2]</w:t>
        </w:r>
      </w:hyperlink>
      <w:r>
        <w:t xml:space="preserve">. Specifying the whole pattern in advance is what lets the results chapter read the coefficients as a coherent portrait rather than as a list of separate significance tests</w:t>
      </w:r>
      <w:r>
        <w:t xml:space="preserve"> </w:t>
      </w:r>
      <w:hyperlink w:anchor="ref-6">
        <w:r>
          <w:rPr>
            <w:rStyle w:val="Hyperlink"/>
          </w:rPr>
          <w:t xml:space="preserve">[6]</w:t>
        </w:r>
      </w:hyperlink>
      <w:r>
        <w:t xml:space="preserve">.</w:t>
      </w:r>
    </w:p>
    <w:bookmarkEnd w:id="82"/>
    <w:bookmarkStart w:id="83" w:name="why-this-framework-and-not-a-bolder-one"/>
    <w:p>
      <w:pPr>
        <w:pStyle w:val="Heading2"/>
        <w:spacing w:line="480" w:lineRule="auto"/>
      </w:pPr>
      <w:r>
        <w:t xml:space="preserve">Why this framework and not a bolder one</w:t>
      </w:r>
    </w:p>
    <w:p>
      <w:pPr>
        <w:pStyle w:val="FirstParagraph"/>
        <w:spacing w:line="480" w:lineRule="auto"/>
      </w:pPr>
      <w:r>
        <w:t xml:space="preserve">A reader might reasonably ask why the dissertation does not simply model deterrence outcomes directly, coding attacks, restraint, and adversary statements against constellation characteristics. The answer is that the data to do so credibly do not exist in observable, auditable form, and building a bold causal claim on unavailable data would violate the discipline the whole project is organized around</w:t>
      </w:r>
      <w:r>
        <w:t xml:space="preserve"> </w:t>
      </w:r>
      <w:hyperlink w:anchor="ref-4">
        <w:r>
          <w:rPr>
            <w:rStyle w:val="Hyperlink"/>
          </w:rPr>
          <w:t xml:space="preserve">[4]</w:t>
        </w:r>
      </w:hyperlink>
      <w:r>
        <w:t xml:space="preserve">. The proliferation era is young, deliberate anti-satellite engagements against commercial constellations are, mercifully, rare, and adversary calculus is not directly observable. A responsible design begins where the evidence can actually support inference. The prior, measurement-level question, whether the phenomenon is even structured in the record, is answerable now, and answering it well is the precondition for any later, bolder test</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framework is modest on purpose. It buys credibility by matching its ambition to its evidence, and it hands the next researcher a clear specification of what a stronger design would require.</w:t>
      </w:r>
    </w:p>
    <w:p>
      <w:pPr>
        <w:pStyle w:val="BodyText"/>
        <w:spacing w:line="480" w:lineRule="auto"/>
        <w:ind w:firstLine="720"/>
      </w:pPr>
      <w:r>
        <w:t xml:space="preserve">A last word on the logic that ties the two levels together. The substantive mechanism and the operational hypotheses are connected by a single inference: if distribution really is reshaping deterrence, the community of practitioners who build and operate these systems will be writing about it densely and consistently, and that density will register as structure in the record</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operational test is therefore a proxy for the seriousness of the substantive phenomenon, not a measure of the phenomenon itself</w:t>
      </w:r>
      <w:r>
        <w:t xml:space="preserve"> </w:t>
      </w:r>
      <w:hyperlink w:anchor="ref-2">
        <w:r>
          <w:rPr>
            <w:rStyle w:val="Hyperlink"/>
          </w:rPr>
          <w:t xml:space="preserve">[2]</w:t>
        </w:r>
      </w:hyperlink>
      <w:r>
        <w:t xml:space="preserve">. A strongly structured record would raise the prior that something real is underway and would justify the expense of a direct, outcome-linked study; a weakly structured record would counsel patience and a better data-collection design before any strategic weight is placed on the claim</w:t>
      </w:r>
      <w:r>
        <w:t xml:space="preserve"> </w:t>
      </w:r>
      <w:hyperlink w:anchor="ref-6">
        <w:r>
          <w:rPr>
            <w:rStyle w:val="Hyperlink"/>
          </w:rPr>
          <w:t xml:space="preserve">[6]</w:t>
        </w:r>
      </w:hyperlink>
      <w:r>
        <w:t xml:space="preserve"> </w:t>
      </w:r>
      <w:hyperlink w:anchor="ref-12">
        <w:r>
          <w:rPr>
            <w:rStyle w:val="Hyperlink"/>
          </w:rPr>
          <w:t xml:space="preserve">[12]</w:t>
        </w:r>
      </w:hyperlink>
      <w:r>
        <w:t xml:space="preserve">. The theory, in the end, is a theory about when the community should trust its own literature enough to build on it, and the hypotheses are the test of whether that moment has arrived</w:t>
      </w:r>
      <w:r>
        <w:t xml:space="preserve"> </w:t>
      </w:r>
      <w:hyperlink w:anchor="ref-14">
        <w:r>
          <w:rPr>
            <w:rStyle w:val="Hyperlink"/>
          </w:rPr>
          <w:t xml:space="preserve">[14]</w:t>
        </w:r>
      </w:hyperlink>
      <w:r>
        <w:t xml:space="preserve">. Read that way, the framework is not a retreat from the deterrence question but a disciplined approach to it: it insists on knowing whether the evidence base is ready before asking the base to answer a question that could reshape force posture and international negotiation</w:t>
      </w:r>
      <w:r>
        <w:t xml:space="preserve"> </w:t>
      </w:r>
      <w:hyperlink w:anchor="ref-5">
        <w:r>
          <w:rPr>
            <w:rStyle w:val="Hyperlink"/>
          </w:rPr>
          <w:t xml:space="preserve">[5]</w:t>
        </w:r>
      </w:hyperlink>
      <w:r>
        <w:t xml:space="preserve"> </w:t>
      </w:r>
      <w:hyperlink w:anchor="ref-16">
        <w:r>
          <w:rPr>
            <w:rStyle w:val="Hyperlink"/>
          </w:rPr>
          <w:t xml:space="preserve">[16]</w:t>
        </w:r>
      </w:hyperlink>
      <w:r>
        <w:t xml:space="preserve">. A theory that told the community to trust an immature literature would be worse than no theory at all, and a theory that specified exactly when trust is warranted is the useful thing a design-stage inquiry can actually build</w:t>
      </w:r>
      <w:r>
        <w:t xml:space="preserve"> </w:t>
      </w:r>
      <w:hyperlink w:anchor="ref-6">
        <w:r>
          <w:rPr>
            <w:rStyle w:val="Hyperlink"/>
          </w:rPr>
          <w:t xml:space="preserve">[6]</w:t>
        </w:r>
      </w:hyperlink>
      <w:r>
        <w:t xml:space="preserve">.</w:t>
      </w:r>
    </w:p>
    <w:p>
      <w:pPr>
        <w:pStyle w:val="BodyText"/>
        <w:spacing w:line="480" w:lineRule="auto"/>
        <w:ind w:firstLine="720"/>
      </w:pPr>
      <w:r>
        <w:t xml:space="preserve">The framework also fixes the interpretive stakes for the results that follow. Because the hypotheses are stated as a pattern rather than as a single claim, the results chapter can read the joint behavior of the coefficients as a portrait of the field’s developmental stage: strong community structure with weak temporal and dynamic structure would mark a young, deployment-driven literature, while strong structure on every axis would mark a matured one</w:t>
      </w:r>
      <w:r>
        <w:t xml:space="preserve"> </w:t>
      </w:r>
      <w:hyperlink w:anchor="ref-2">
        <w:r>
          <w:rPr>
            <w:rStyle w:val="Hyperlink"/>
          </w:rPr>
          <w:t xml:space="preserve">[2]</w:t>
        </w:r>
      </w:hyperlink>
      <w:r>
        <w:t xml:space="preserve"> </w:t>
      </w:r>
      <w:hyperlink w:anchor="ref-5">
        <w:r>
          <w:rPr>
            <w:rStyle w:val="Hyperlink"/>
          </w:rPr>
          <w:t xml:space="preserve">[5]</w:t>
        </w:r>
      </w:hyperlink>
      <w:r>
        <w:t xml:space="preserve">. Neither outcome would confirm or deny the substantive deterrence mechanism, and the theory is careful never to let the reader expect that it would</w:t>
      </w:r>
      <w:r>
        <w:t xml:space="preserve"> </w:t>
      </w:r>
      <w:hyperlink w:anchor="ref-4">
        <w:r>
          <w:rPr>
            <w:rStyle w:val="Hyperlink"/>
          </w:rPr>
          <w:t xml:space="preserve">[4]</w:t>
        </w:r>
      </w:hyperlink>
      <w:r>
        <w:t xml:space="preserve">. What the pattern would do is tell the community how far it can currently trust its own record, which is the precise, bounded thing this framework was built to deliver, and the thing the next chapters set out to measure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bookmarkEnd w:id="83"/>
    <w:bookmarkEnd w:id="84"/>
    <w:bookmarkStart w:id="92" w:name="chapter-4-methodology-and-identification"/>
    <w:p>
      <w:pPr>
        <w:pStyle w:val="Heading1"/>
        <w:spacing w:line="480" w:lineRule="auto"/>
      </w:pPr>
      <w:r>
        <w:t xml:space="preserve">Chapter 4: Methodology and Identification</w:t>
      </w:r>
    </w:p>
    <w:p>
      <w:pPr>
        <w:pStyle w:val="FirstParagraph"/>
        <w:spacing w:line="480" w:lineRule="auto"/>
      </w:pPr>
      <w:r>
        <w:t xml:space="preserve">The empirical work rests on two estimators, and both were chosen for the same reason: they are the simplest tools that can answer the question honestly, and their assumptions are easy to state and easy to check. This chapter sets out each estimator, explains what it identifies and under what conditions, and, just as important, says plainly what it does not identify. Identification is the discipline of knowing which of your associations you are entitled to interpret. In a small observational corpus, that discipline is not a formality; it is the difference between a defensible finding and an overreach dressed up in a coefficient.</w:t>
      </w:r>
    </w:p>
    <w:bookmarkStart w:id="85" w:name="X1554872f886ae8cc85b36121d9f6f14fb096834"/>
    <w:p>
      <w:pPr>
        <w:pStyle w:val="Heading2"/>
        <w:spacing w:line="480" w:lineRule="auto"/>
      </w:pPr>
      <w:r>
        <w:t xml:space="preserve">The first estimator: ordinary least squares on topic signal</w:t>
      </w:r>
    </w:p>
    <w:p>
      <w:pPr>
        <w:pStyle w:val="FirstParagraph"/>
        <w:spacing w:line="480" w:lineRule="auto"/>
      </w:pPr>
      <w:r>
        <w:t xml:space="preserve">The first screen is an ordinary least squares regression. The outcome is the topic-signal score of each retrieved source record, a composite count built deterministically from candidate-theme term hits in the record’s title, snippet, keyword field, and author metadata. The predictors are three: a publication recency index, computed as the source’s publication year minus the earliest publication year in the sample plus one; the reported citation count from the local index; and an ordinal venue-family score coding the venue as space domain awareness, astronautics journal, or space economy. The specification is linear and additive. Each coefficient is read as the average change in topic signal associated with a one-unit change in its predictor, holding the other two fixed.</w:t>
      </w:r>
    </w:p>
    <w:p>
      <w:pPr>
        <w:pStyle w:val="BodyText"/>
        <w:spacing w:line="480" w:lineRule="auto"/>
        <w:ind w:firstLine="720"/>
      </w:pPr>
      <w:r>
        <w:t xml:space="preserve">The estimator is fitted with robust standard errors of the HC1 form. This choice matters and it is deliberate. A composite count outcome built across heterogeneous venues is very likely to have error variance that differs across records, and homoskedastic standard errors would understate uncertainty exactly where the data are most heterogeneous</w:t>
      </w:r>
      <w:r>
        <w:t xml:space="preserve"> </w:t>
      </w:r>
      <w:hyperlink w:anchor="ref-1">
        <w:r>
          <w:rPr>
            <w:rStyle w:val="Hyperlink"/>
          </w:rPr>
          <w:t xml:space="preserve">[1]</w:t>
        </w:r>
      </w:hyperlink>
      <w:r>
        <w:t xml:space="preserve"> </w:t>
      </w:r>
      <w:hyperlink w:anchor="ref-3">
        <w:r>
          <w:rPr>
            <w:rStyle w:val="Hyperlink"/>
          </w:rPr>
          <w:t xml:space="preserve">[3]</w:t>
        </w:r>
      </w:hyperlink>
      <w:r>
        <w:t xml:space="preserve">. Robust standard errors do not fix bias in the coefficients; they correct the inference about those coefficients so that the p-values reported in the results chapter are not artificially small. In a thirty-observation sample, being conservative about inference is not optional. It is the price of taking the small sample seriously.</w:t>
      </w:r>
    </w:p>
    <w:p>
      <w:pPr>
        <w:pStyle w:val="BodyText"/>
        <w:spacing w:line="480" w:lineRule="auto"/>
        <w:ind w:firstLine="720"/>
      </w:pPr>
      <w:r>
        <w:t xml:space="preserve">What does this estimator identify? Under the standard exogeneity assumption, that the predictors are uncorrelated with the regression error, the coefficients identify the partial associations between each predictor and topic signal within this corpus. That is the honest description of the target. The coefficient on recency identifies whether, holding attention and venue fixed, more recent records carry more topic signal on average. The coefficient on venue identifies whether the three venue families differ systematically in signal density. The coefficient on citation count identifies whether more-attended records carry more signal. None of these is a causal effect in the interventionist sense. Nobody is assigning recency or venue to records. The estimator recovers structure in the corpus, and structure in the corpus is exactly what the operational hypotheses are about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exogeneity assumption is where candor is owed. It could fail. If some unmeasured feature of a record, say its topical breadth or its authorship community, drives both its venue placement and its signal score, then the venue coefficient absorbs that feature and cannot be read as a clean venue effect. The design does not claim otherwise. This is why the results are framed throughout as corpus-screen evidence rather than as causal estimates: the estimator is trusted to describe the joint structure of the retrieved metadata, and it is not trusted to isolate a mechanism. That distinction is enforced in the interpretation, not merely asserted here</w:t>
      </w:r>
      <w:r>
        <w:t xml:space="preserve"> </w:t>
      </w:r>
      <w:hyperlink w:anchor="ref-6">
        <w:r>
          <w:rPr>
            <w:rStyle w:val="Hyperlink"/>
          </w:rPr>
          <w:t xml:space="preserve">[6]</w:t>
        </w:r>
      </w:hyperlink>
      <w:r>
        <w:t xml:space="preserve">.</w:t>
      </w:r>
    </w:p>
    <w:bookmarkEnd w:id="85"/>
    <w:bookmarkStart w:id="86" w:name="Xd77e4186e474d2347d192740278d1c3dfccfe2a"/>
    <w:p>
      <w:pPr>
        <w:pStyle w:val="Heading2"/>
        <w:spacing w:line="480" w:lineRule="auto"/>
      </w:pPr>
      <w:r>
        <w:t xml:space="preserve">The second estimator: a log-log learning curve</w:t>
      </w:r>
    </w:p>
    <w:p>
      <w:pPr>
        <w:pStyle w:val="FirstParagraph"/>
        <w:spacing w:line="480" w:lineRule="auto"/>
      </w:pPr>
      <w:r>
        <w:t xml:space="preserve">The second screen is a learning-curve model, estimated as a log-log regression of accumulated citation attention on document age. The outcome is the natural log of citation count plus one, where the plus-one keeps the transform defined for the many records that report zero citations. The single predictor is the natural log of a document-age index, computed as 2026 minus the publication year plus one. The slope coefficient on log-age is an elasticity: the percentage change in accumulated attention associated with a one-percent change in age. Its exponential base-two transform gives a progress ratio, the factor by which accumulated attention scales as age doubles.</w:t>
      </w:r>
    </w:p>
    <w:p>
      <w:pPr>
        <w:pStyle w:val="BodyText"/>
        <w:spacing w:line="480" w:lineRule="auto"/>
        <w:ind w:firstLine="720"/>
      </w:pPr>
      <w:r>
        <w:t xml:space="preserve">The learning-curve form is borrowed deliberately from the study of cumulative processes, where output or attention accumulates as a power function of exposure or time</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 reason to use it here is that citation accumulation, when a field is maturing normally, tends to follow exactly this shape: older work has had more time to be cited, and the relationship between age and citations is smooth and monotone rather than random. Fitting the log-log form lets the data say whether the proliferation literature behaves that way. A precise, positive elasticity would indicate maturation. A weak or imprecise elasticity would indicate that the field is too young, too fast-moving, or too dominated by a few anomalously cited older records to show the normal accumulation pattern</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This estimator also carries HC1 robust standard errors, and for the same reason. Citation counts are notoriously heteroskedastic: a handful of records carry very large counts while most carry none, so the error variance is wildly uneven across the age range</w:t>
      </w:r>
      <w:r>
        <w:t xml:space="preserve"> </w:t>
      </w:r>
      <w:hyperlink w:anchor="ref-4">
        <w:r>
          <w:rPr>
            <w:rStyle w:val="Hyperlink"/>
          </w:rPr>
          <w:t xml:space="preserve">[4]</w:t>
        </w:r>
      </w:hyperlink>
      <w:r>
        <w:t xml:space="preserve">. Robust inference is the only defensible choice. What the learning curve identifies, under its own exogeneity assumption, is the average scaling relationship between age and accumulated attention within this corpus. It does not identify why any particular record was cited, and it certainly does not identify a causal effect of aging on attention. It identifies a shape, and the shape is the object of the second hypothesis</w:t>
      </w:r>
      <w:r>
        <w:t xml:space="preserve"> </w:t>
      </w:r>
      <w:hyperlink w:anchor="ref-9">
        <w:r>
          <w:rPr>
            <w:rStyle w:val="Hyperlink"/>
          </w:rPr>
          <w:t xml:space="preserve">[9]</w:t>
        </w:r>
      </w:hyperlink>
      <w:r>
        <w:t xml:space="preserve">.</w:t>
      </w:r>
    </w:p>
    <w:bookmarkEnd w:id="86"/>
    <w:bookmarkStart w:id="87" w:name="X19d1a21de9fa1b9f4b0d005db541e9209011a23"/>
    <w:p>
      <w:pPr>
        <w:pStyle w:val="Heading2"/>
        <w:spacing w:line="480" w:lineRule="auto"/>
      </w:pPr>
      <w:r>
        <w:t xml:space="preserve">Why these estimators and not fancier ones</w:t>
      </w:r>
    </w:p>
    <w:p>
      <w:pPr>
        <w:pStyle w:val="FirstParagraph"/>
        <w:spacing w:line="480" w:lineRule="auto"/>
      </w:pPr>
      <w:r>
        <w:t xml:space="preserve">There is always a temptation, in a doctoral project, to reach for a more sophisticated estimator, a panel model, an instrumented specification, a machine-learned predictor. The temptation is resisted here for a principled reason. With thirty observations and a bounded, honestly descriptive question, added complexity buys the appearance of rigor at the cost of real interpretability and real degrees of freedom</w:t>
      </w:r>
      <w:r>
        <w:t xml:space="preserve"> </w:t>
      </w:r>
      <w:hyperlink w:anchor="ref-6">
        <w:r>
          <w:rPr>
            <w:rStyle w:val="Hyperlink"/>
          </w:rPr>
          <w:t xml:space="preserve">[6]</w:t>
        </w:r>
      </w:hyperlink>
      <w:r>
        <w:t xml:space="preserve">. An instrument would require an exclusion restriction the corpus cannot support. A panel model would require repeated observation of the same units over time, which the cross-sectional source corpus does not provide. A flexible learner would overfit thirty rows and report structure that is an artifact of the fit rather than a property of the field</w:t>
      </w:r>
      <w:r>
        <w:t xml:space="preserve"> </w:t>
      </w:r>
      <w:hyperlink w:anchor="ref-12">
        <w:r>
          <w:rPr>
            <w:rStyle w:val="Hyperlink"/>
          </w:rPr>
          <w:t xml:space="preserve">[12]</w:t>
        </w:r>
      </w:hyperlink>
      <w:r>
        <w:t xml:space="preserve">. The two chosen estimators are the largest models the data can actually support without deceiving the reader. Matching the tool to the sample is itself an identification decision.</w:t>
      </w:r>
    </w:p>
    <w:bookmarkEnd w:id="87"/>
    <w:bookmarkStart w:id="88" w:name="X5a2df0df52582595d5c83882226e1c1acd1112e"/>
    <w:p>
      <w:pPr>
        <w:pStyle w:val="Heading2"/>
        <w:spacing w:line="480" w:lineRule="auto"/>
      </w:pPr>
      <w:r>
        <w:t xml:space="preserve">Functional form and the arithmetic of interpretation</w:t>
      </w:r>
    </w:p>
    <w:p>
      <w:pPr>
        <w:pStyle w:val="FirstParagraph"/>
        <w:spacing w:line="480" w:lineRule="auto"/>
      </w:pPr>
      <w:r>
        <w:t xml:space="preserve">The two estimators embody different functional-form commitments, and each commitment is a claim about how the world works that the reader is entitled to inspect. The first model is linear in levels: it asserts that a one-unit change in recency, or in citation count, or in venue score, shifts topic signal by a constant amount regardless of where on the scale that change occurs</w:t>
      </w:r>
      <w:r>
        <w:t xml:space="preserve"> </w:t>
      </w:r>
      <w:hyperlink w:anchor="ref-1">
        <w:r>
          <w:rPr>
            <w:rStyle w:val="Hyperlink"/>
          </w:rPr>
          <w:t xml:space="preserve">[1]</w:t>
        </w:r>
      </w:hyperlink>
      <w:r>
        <w:t xml:space="preserve">. This is a strong assumption, and it is defensible here for a specific reason. The predictors are low-dimensional and bounded, recency runs one to ten, venue runs one to three, and within those narrow ranges a linear approximation is a reasonable first description of the joint structure</w:t>
      </w:r>
      <w:r>
        <w:t xml:space="preserve"> </w:t>
      </w:r>
      <w:hyperlink w:anchor="ref-3">
        <w:r>
          <w:rPr>
            <w:rStyle w:val="Hyperlink"/>
          </w:rPr>
          <w:t xml:space="preserve">[3]</w:t>
        </w:r>
      </w:hyperlink>
      <w:r>
        <w:t xml:space="preserve">. A quadratic or spline elaboration would consume degrees of freedom the thirty-record sample cannot spare and would fit wiggles that are almost certainly noise</w:t>
      </w:r>
      <w:r>
        <w:t xml:space="preserve"> </w:t>
      </w:r>
      <w:hyperlink w:anchor="ref-6">
        <w:r>
          <w:rPr>
            <w:rStyle w:val="Hyperlink"/>
          </w:rPr>
          <w:t xml:space="preserve">[6]</w:t>
        </w:r>
      </w:hyperlink>
      <w:r>
        <w:t xml:space="preserve">. Linearity is the honest default when the sample is small and the predictors are narrow.</w:t>
      </w:r>
    </w:p>
    <w:p>
      <w:pPr>
        <w:pStyle w:val="BodyText"/>
        <w:spacing w:line="480" w:lineRule="auto"/>
        <w:ind w:firstLine="720"/>
      </w:pPr>
      <w:r>
        <w:t xml:space="preserve">The second model is linear in logs, which is a very different claim. Taking logs of both accumulated attention and age converts a multiplicative, power-law relationship into an additive one that ordinary least squares can fit, and the slope becomes an elasticity that is scale-free</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 virtue of the log-log form is that it matches the actual shape of citation accumulation, which grows multiplicatively rather than additively as a field ages, and it tames the extreme skew of the raw citation counts by compressing the heavy tail</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plus-one inside the log is not a cosmetic fix; it is what keeps the many zero-citation records in the sample rather than dropping them, which matters enormously when zeros are the majority</w:t>
      </w:r>
      <w:r>
        <w:t xml:space="preserve"> </w:t>
      </w:r>
      <w:hyperlink w:anchor="ref-4">
        <w:r>
          <w:rPr>
            <w:rStyle w:val="Hyperlink"/>
          </w:rPr>
          <w:t xml:space="preserve">[4]</w:t>
        </w:r>
      </w:hyperlink>
      <w:r>
        <w:t xml:space="preserve">. Dropping the zeros would bias the elasticity toward the behavior of the cited tail alone, so the plus-one transform is a substantive choice about which records the model is allowed to see.</w:t>
      </w:r>
    </w:p>
    <w:p>
      <w:pPr>
        <w:pStyle w:val="BodyText"/>
        <w:spacing w:line="480" w:lineRule="auto"/>
        <w:ind w:firstLine="720"/>
      </w:pPr>
      <w:r>
        <w:t xml:space="preserve">Interpreting the coefficients requires keeping these forms straight. In the level model, the venue coefficient is read directly as a signal-point change per venue step, and the recency coefficient as a signal-point change per year of recency</w:t>
      </w:r>
      <w:r>
        <w:t xml:space="preserve"> </w:t>
      </w:r>
      <w:hyperlink w:anchor="ref-1">
        <w:r>
          <w:rPr>
            <w:rStyle w:val="Hyperlink"/>
          </w:rPr>
          <w:t xml:space="preserve">[1]</w:t>
        </w:r>
      </w:hyperlink>
      <w:r>
        <w:t xml:space="preserve">. In the log model, the age coefficient is read as a percentage-scaling, an elasticity, and its base-two transform reports the multiplicative factor by which attention scales as age doubles</w:t>
      </w:r>
      <w:r>
        <w:t xml:space="preserve"> </w:t>
      </w:r>
      <w:hyperlink w:anchor="ref-9">
        <w:r>
          <w:rPr>
            <w:rStyle w:val="Hyperlink"/>
          </w:rPr>
          <w:t xml:space="preserve">[9]</w:t>
        </w:r>
      </w:hyperlink>
      <w:r>
        <w:t xml:space="preserve">. Confusing the two readings would produce nonsense, so the results chapter is careful to label each coefficient by the form that produced it. This is bookkeeping, but bookkeeping is where interpretive errors are prevented.</w:t>
      </w:r>
    </w:p>
    <w:bookmarkEnd w:id="88"/>
    <w:bookmarkStart w:id="89" w:name="X0d6500095770ad11543e9e3c572902c114dd0e4"/>
    <w:p>
      <w:pPr>
        <w:pStyle w:val="Heading2"/>
        <w:spacing w:line="480" w:lineRule="auto"/>
      </w:pPr>
      <w:r>
        <w:t xml:space="preserve">Diagnostics and the honesty of small-sample inference</w:t>
      </w:r>
    </w:p>
    <w:p>
      <w:pPr>
        <w:pStyle w:val="FirstParagraph"/>
        <w:spacing w:line="480" w:lineRule="auto"/>
      </w:pPr>
      <w:r>
        <w:t xml:space="preserve">A responsible design says in advance how it will handle the pathologies a small heterogeneous sample invites. Heteroskedasticity is the first and most certain: a composite count outcome and a zero-dominated citation predictor guarantee that error variance differs across records, which is exactly why HC1 robust standard errors are used rather than the classical homoskedastic form</w:t>
      </w:r>
      <w:r>
        <w:t xml:space="preserve"> </w:t>
      </w:r>
      <w:hyperlink w:anchor="ref-3">
        <w:r>
          <w:rPr>
            <w:rStyle w:val="Hyperlink"/>
          </w:rPr>
          <w:t xml:space="preserve">[3]</w:t>
        </w:r>
      </w:hyperlink>
      <w:r>
        <w:t xml:space="preserve"> </w:t>
      </w:r>
      <w:hyperlink w:anchor="ref-12">
        <w:r>
          <w:rPr>
            <w:rStyle w:val="Hyperlink"/>
          </w:rPr>
          <w:t xml:space="preserve">[12]</w:t>
        </w:r>
      </w:hyperlink>
      <w:r>
        <w:t xml:space="preserve">. The robust correction does not repair the point estimates; it widens the intervals where the data are noisiest, so the reported p-values are not artificially confident. In a thirty-record sample the difference between naive and robust inference can be the difference between a spurious star and an honest null, so the choice is load-bearing</w:t>
      </w:r>
      <w:r>
        <w:t xml:space="preserve"> </w:t>
      </w:r>
      <w:hyperlink w:anchor="ref-4">
        <w:r>
          <w:rPr>
            <w:rStyle w:val="Hyperlink"/>
          </w:rPr>
          <w:t xml:space="preserve">[4]</w:t>
        </w:r>
      </w:hyperlink>
      <w:r>
        <w:t xml:space="preserve">.</w:t>
      </w:r>
    </w:p>
    <w:p>
      <w:pPr>
        <w:pStyle w:val="BodyText"/>
        <w:spacing w:line="480" w:lineRule="auto"/>
        <w:ind w:firstLine="720"/>
      </w:pPr>
      <w:r>
        <w:t xml:space="preserve">Influence is the second pathology, and the second screen is especially exposed to it. Two older journal articles carry citation counts near one hundred against a background of zeros, so the age elasticity is at the mercy of a few high-leverage points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design does not pretend this away. It reports the fit statistic honestly, and the discussion reads the imprecise elasticity as evidence of exactly this fragility rather than as a clean estimate of a maturation rate</w:t>
      </w:r>
      <w:r>
        <w:t xml:space="preserve"> </w:t>
      </w:r>
      <w:hyperlink w:anchor="ref-9">
        <w:r>
          <w:rPr>
            <w:rStyle w:val="Hyperlink"/>
          </w:rPr>
          <w:t xml:space="preserve">[9]</w:t>
        </w:r>
      </w:hyperlink>
      <w:r>
        <w:t xml:space="preserve">. Naming the influence problem in advance is what lets the eventual null be interpreted as a property of an immature field rather than mistaken for a discovery of no relationship</w:t>
      </w:r>
      <w:r>
        <w:t xml:space="preserve"> </w:t>
      </w:r>
      <w:hyperlink w:anchor="ref-4">
        <w:r>
          <w:rPr>
            <w:rStyle w:val="Hyperlink"/>
          </w:rPr>
          <w:t xml:space="preserve">[4]</w:t>
        </w:r>
      </w:hyperlink>
      <w:r>
        <w:t xml:space="preserve">. The two are different, and the difference is preserved by candor about leverage.</w:t>
      </w:r>
    </w:p>
    <w:p>
      <w:pPr>
        <w:pStyle w:val="BodyText"/>
        <w:spacing w:line="480" w:lineRule="auto"/>
        <w:ind w:firstLine="720"/>
      </w:pPr>
      <w:r>
        <w:t xml:space="preserve">Multicollinearity is the third concern, and it is mild here but worth stating. Recency and venue are not strongly entangled in the first model, so their coefficients can be read as reasonably distinct partial associations</w:t>
      </w:r>
      <w:r>
        <w:t xml:space="preserve"> </w:t>
      </w:r>
      <w:hyperlink w:anchor="ref-1">
        <w:r>
          <w:rPr>
            <w:rStyle w:val="Hyperlink"/>
          </w:rPr>
          <w:t xml:space="preserve">[1]</w:t>
        </w:r>
      </w:hyperlink>
      <w:r>
        <w:t xml:space="preserve"> </w:t>
      </w:r>
      <w:hyperlink w:anchor="ref-3">
        <w:r>
          <w:rPr>
            <w:rStyle w:val="Hyperlink"/>
          </w:rPr>
          <w:t xml:space="preserve">[3]</w:t>
        </w:r>
      </w:hyperlink>
      <w:r>
        <w:t xml:space="preserve">. If they were tightly correlated, the venue coefficient and the recency coefficient would trade variance and neither could be interpreted cleanly, and the results chapter would have to say so. Because they are not, the strong venue effect and the imprecise recency effect can be read as genuinely separate facts about the corpus rather than as artifacts of a shared predictor</w:t>
      </w:r>
      <w:r>
        <w:t xml:space="preserve"> </w:t>
      </w:r>
      <w:hyperlink w:anchor="ref-5">
        <w:r>
          <w:rPr>
            <w:rStyle w:val="Hyperlink"/>
          </w:rPr>
          <w:t xml:space="preserve">[5]</w:t>
        </w:r>
      </w:hyperlink>
      <w:r>
        <w:t xml:space="preserve">.</w:t>
      </w:r>
    </w:p>
    <w:bookmarkEnd w:id="89"/>
    <w:bookmarkStart w:id="90" w:name="why-not-a-bolder-identification-claim"/>
    <w:p>
      <w:pPr>
        <w:pStyle w:val="Heading2"/>
        <w:spacing w:line="480" w:lineRule="auto"/>
      </w:pPr>
      <w:r>
        <w:t xml:space="preserve">Why not a bolder identification claim</w:t>
      </w:r>
    </w:p>
    <w:p>
      <w:pPr>
        <w:pStyle w:val="FirstParagraph"/>
        <w:spacing w:line="480" w:lineRule="auto"/>
      </w:pPr>
      <w:r>
        <w:t xml:space="preserve">The final methodological point is the one most likely to draw a skeptical question at a defense. Why not instrument for venue, or for attention, and claim a causal effect? The answer is that a credible instrument requires a variable that shifts the predictor without touching the outcome except through that predictor, and the corpus contains no such variable</w:t>
      </w:r>
      <w:r>
        <w:t xml:space="preserve"> </w:t>
      </w:r>
      <w:hyperlink w:anchor="ref-6">
        <w:r>
          <w:rPr>
            <w:rStyle w:val="Hyperlink"/>
          </w:rPr>
          <w:t xml:space="preserve">[6]</w:t>
        </w:r>
      </w:hyperlink>
      <w:r>
        <w:t xml:space="preserve">. Any candidate instrument for venue placement, for instance an author’s institution, plainly also relates to how densely a document uses the theme vocabulary, so the exclusion restriction fails on inspection</w:t>
      </w:r>
      <w:r>
        <w:t xml:space="preserve"> </w:t>
      </w:r>
      <w:hyperlink w:anchor="ref-1">
        <w:r>
          <w:rPr>
            <w:rStyle w:val="Hyperlink"/>
          </w:rPr>
          <w:t xml:space="preserve">[1]</w:t>
        </w:r>
      </w:hyperlink>
      <w:r>
        <w:t xml:space="preserve">. Rather than dress up a broken instrument in the language of causal identification, the design states its exogeneity assumption openly and interprets its coefficients as corpus structure, which is all the assumption can honestly support</w:t>
      </w:r>
      <w:r>
        <w:t xml:space="preserve"> </w:t>
      </w:r>
      <w:hyperlink w:anchor="ref-3">
        <w:r>
          <w:rPr>
            <w:rStyle w:val="Hyperlink"/>
          </w:rPr>
          <w:t xml:space="preserve">[3]</w:t>
        </w:r>
      </w:hyperlink>
      <w:r>
        <w:t xml:space="preserve">. The refusal to overclaim identification is itself a methodological decision, and it is the one that keeps the whole project defensible</w:t>
      </w:r>
      <w:r>
        <w:t xml:space="preserve"> </w:t>
      </w:r>
      <w:hyperlink w:anchor="ref-14">
        <w:r>
          <w:rPr>
            <w:rStyle w:val="Hyperlink"/>
          </w:rPr>
          <w:t xml:space="preserve">[14]</w:t>
        </w:r>
      </w:hyperlink>
      <w:r>
        <w:t xml:space="preserve">.</w:t>
      </w:r>
    </w:p>
    <w:bookmarkEnd w:id="90"/>
    <w:bookmarkStart w:id="91" w:name="X906b157e35a88540c53880dc19ff3ba00b6482e"/>
    <w:p>
      <w:pPr>
        <w:pStyle w:val="Heading2"/>
        <w:spacing w:line="480" w:lineRule="auto"/>
      </w:pPr>
      <w:r>
        <w:t xml:space="preserve">The identification logic, stated as a whole</w:t>
      </w:r>
    </w:p>
    <w:p>
      <w:pPr>
        <w:pStyle w:val="FirstParagraph"/>
        <w:spacing w:line="480" w:lineRule="auto"/>
      </w:pPr>
      <w:r>
        <w:t xml:space="preserve">Pulling the threads together, the identification logic is this. The operational hypotheses are claims about the joint structure of retrieved metadata: whether topic signal is organized by recency, attention, and venue, and whether attention accumulates with age. Ordinary least squares with robust inference identifies the first structure under exogeneity, delivering partial associations that are interpretable as corpus structure but not as causal effects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log-log learning curve identifies the second structure under its own exogeneity assumption, delivering an age elasticity that is interpretable as a maturation shape but not as a causal effect of aging</w:t>
      </w:r>
      <w:r>
        <w:t xml:space="preserve"> </w:t>
      </w:r>
      <w:hyperlink w:anchor="ref-4">
        <w:r>
          <w:rPr>
            <w:rStyle w:val="Hyperlink"/>
          </w:rPr>
          <w:t xml:space="preserve">[4]</w:t>
        </w:r>
      </w:hyperlink>
      <w:r>
        <w:t xml:space="preserve"> </w:t>
      </w:r>
      <w:hyperlink w:anchor="ref-9">
        <w:r>
          <w:rPr>
            <w:rStyle w:val="Hyperlink"/>
          </w:rPr>
          <w:t xml:space="preserve">[9]</w:t>
        </w:r>
      </w:hyperlink>
      <w:r>
        <w:t xml:space="preserve">. Neither estimator reaches the substantive deterrence mechanism, and neither pretends to. What they jointly identify is whether the phenomenon the deterrence conversation theorizes about is coherent enough in the record to be measured at all, which is precisely the prior question the design set out to answer</w:t>
      </w:r>
      <w:r>
        <w:t xml:space="preserve"> </w:t>
      </w:r>
      <w:hyperlink w:anchor="ref-2">
        <w:r>
          <w:rPr>
            <w:rStyle w:val="Hyperlink"/>
          </w:rPr>
          <w:t xml:space="preserve">[2]</w:t>
        </w:r>
      </w:hyperlink>
      <w:r>
        <w:t xml:space="preserve">.</w:t>
      </w:r>
    </w:p>
    <w:p>
      <w:pPr>
        <w:pStyle w:val="BodyText"/>
        <w:spacing w:line="480" w:lineRule="auto"/>
        <w:ind w:firstLine="720"/>
      </w:pPr>
      <w:r>
        <w:t xml:space="preserve">One further methodological commitment deserves emphasis because it governs how the reader should weigh a strong coefficient against a weak one. Precision and magnitude are reported together, never separately, so that a large but imprecise coefficient is not mistaken for a finding and a precise but tiny coefficient is not oversold as a substantive effect</w:t>
      </w:r>
      <w:r>
        <w:t xml:space="preserve"> </w:t>
      </w:r>
      <w:hyperlink w:anchor="ref-4">
        <w:r>
          <w:rPr>
            <w:rStyle w:val="Hyperlink"/>
          </w:rPr>
          <w:t xml:space="preserve">[4]</w:t>
        </w:r>
      </w:hyperlink>
      <w:r>
        <w:t xml:space="preserve">. In a thirty-record sample the two can dissociate easily: a heavy-tailed predictor can produce a coefficient that is statistically distinguishable from zero yet substantively negligible, and a genuinely large association can fail to reach precision for want of observations</w:t>
      </w:r>
      <w:r>
        <w:t xml:space="preserve"> </w:t>
      </w:r>
      <w:hyperlink w:anchor="ref-12">
        <w:r>
          <w:rPr>
            <w:rStyle w:val="Hyperlink"/>
          </w:rPr>
          <w:t xml:space="preserve">[12]</w:t>
        </w:r>
      </w:hyperlink>
      <w:r>
        <w:t xml:space="preserve">. Insisting that both quantities appear side by side, for every coefficient, is what keeps the results chapter from telling a cleaner story than the data support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decision rules are fixed in advance. For each coefficient, the reported robust p-value is compared against conventional thresholds, and the interpretation is committed before the numbers are seen: a precise coefficient is read as corpus structure consistent with the directional alternative, and an imprecise coefficient is read as a limit on the claim, never quietly reinterpreted as weak support</w:t>
      </w:r>
      <w:r>
        <w:t xml:space="preserve"> </w:t>
      </w:r>
      <w:hyperlink w:anchor="ref-5">
        <w:r>
          <w:rPr>
            <w:rStyle w:val="Hyperlink"/>
          </w:rPr>
          <w:t xml:space="preserve">[5]</w:t>
        </w:r>
      </w:hyperlink>
      <w:r>
        <w:t xml:space="preserve">. The joint significance of the first model is judged by its F-test, and the fit of both models is reported by their coefficients of determination without inflation. This pre-commitment is the methodological spine of the project. It is what allows a null result to be reported as a finding rather than buried as a disappointment, and it is what keeps a small corpus from being made to carry more strategic weight than thirty observations can bear</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Reproducibility closes the loop on all of this. Because both estimators are deterministic, run on fixed data with fixed specifications, anyone with the two estimation files can rerun the models and obtain the identical coefficients, standard errors, and p-values reported in the results chapter</w:t>
      </w:r>
      <w:r>
        <w:t xml:space="preserve"> </w:t>
      </w:r>
      <w:hyperlink w:anchor="ref-5">
        <w:r>
          <w:rPr>
            <w:rStyle w:val="Hyperlink"/>
          </w:rPr>
          <w:t xml:space="preserve">[5]</w:t>
        </w:r>
      </w:hyperlink>
      <w:r>
        <w:t xml:space="preserve">. There is no random seed, no stochastic optimizer, and no analyst discretion left in the pipeline once the variables are constructed, so the outputs are not a sample from a distribution of possible results but the single result the data and the specification produce</w:t>
      </w:r>
      <w:r>
        <w:t xml:space="preserve"> </w:t>
      </w:r>
      <w:hyperlink w:anchor="ref-1">
        <w:r>
          <w:rPr>
            <w:rStyle w:val="Hyperlink"/>
          </w:rPr>
          <w:t xml:space="preserve">[1]</w:t>
        </w:r>
      </w:hyperlink>
      <w:r>
        <w:t xml:space="preserve">. This determinism is what licenses the results chapter to speak of the estimator output as fact rather than as an estimate that might have come out otherwise, and it is the final guarantee that the chain from source record to reported coefficient is inspectable end to end</w:t>
      </w:r>
      <w:r>
        <w:t xml:space="preserve"> </w:t>
      </w:r>
      <w:hyperlink w:anchor="ref-6">
        <w:r>
          <w:rPr>
            <w:rStyle w:val="Hyperlink"/>
          </w:rPr>
          <w:t xml:space="preserve">[6]</w:t>
        </w:r>
      </w:hyperlink>
      <w:r>
        <w:t xml:space="preserve"> </w:t>
      </w:r>
      <w:hyperlink w:anchor="ref-12">
        <w:r>
          <w:rPr>
            <w:rStyle w:val="Hyperlink"/>
          </w:rPr>
          <w:t xml:space="preserve">[12]</w:t>
        </w:r>
      </w:hyperlink>
      <w:r>
        <w:t xml:space="preserve">. Taken together, the two estimators, their robust inference, their functional forms, their diagnostics, and their determinism form a single identification package whose ambition is calibrated exactly to a thirty-record documentary corpus</w:t>
      </w:r>
      <w:r>
        <w:t xml:space="preserve"> </w:t>
      </w:r>
      <w:hyperlink w:anchor="ref-1">
        <w:r>
          <w:rPr>
            <w:rStyle w:val="Hyperlink"/>
          </w:rPr>
          <w:t xml:space="preserve">[1]</w:t>
        </w:r>
      </w:hyperlink>
      <w:r>
        <w:t xml:space="preserve">. The package cannot reach adversary calculus, and it does not try; what it reaches, and reaches cleanly, is the joint structure of the retrieved record, which is the object the operational hypotheses named and the only object the evidence can honestly support</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bookmarkEnd w:id="91"/>
    <w:bookmarkEnd w:id="92"/>
    <w:bookmarkStart w:id="101" w:name="chapter-5-data-and-measurement"/>
    <w:p>
      <w:pPr>
        <w:pStyle w:val="Heading1"/>
        <w:spacing w:line="480" w:lineRule="auto"/>
      </w:pPr>
      <w:r>
        <w:t xml:space="preserve">Chapter 5: Data and Measurement</w:t>
      </w:r>
    </w:p>
    <w:p>
      <w:pPr>
        <w:pStyle w:val="FirstParagraph"/>
        <w:spacing w:line="480" w:lineRule="auto"/>
      </w:pPr>
      <w:r>
        <w:t xml:space="preserve">Data is where a project either earns trust or loses it. A design can have an elegant theory and a defensible estimator and still fail if the reader cannot see where the numbers came from. This chapter describes the dataset in full: what a source record is, how each of the two estimation files was assembled from those records, how every variable was constructed, and how large the sample is. The governing principle is auditability. Every row in both estimation files carries a source column that names the record it came from, so a skeptical reader can trace any observation back to the document it summarizes, and from there back to the term hits that produced its signal score. Nothing in the data is a black box.</w:t>
      </w:r>
    </w:p>
    <w:bookmarkStart w:id="93" w:name="Xc4e73f0acc7284d382ff4bef700da22f10bbff4"/>
    <w:p>
      <w:pPr>
        <w:pStyle w:val="Heading2"/>
        <w:spacing w:line="480" w:lineRule="auto"/>
      </w:pPr>
      <w:r>
        <w:t xml:space="preserve">The source corpus and the unit of observation</w:t>
      </w:r>
    </w:p>
    <w:p>
      <w:pPr>
        <w:pStyle w:val="FirstParagraph"/>
        <w:spacing w:line="480" w:lineRule="auto"/>
      </w:pPr>
      <w:r>
        <w:t xml:space="preserve">The raw material is a candidate-specific source corpus: a set of documentary records retrieved from local research indices covering the space domain awareness, astronautics, and space economy literatures relevant to commercial proliferation and distributed architecture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4">
        <w:r>
          <w:rPr>
            <w:rStyle w:val="Hyperlink"/>
          </w:rPr>
          <w:t xml:space="preserve">[14]</w:t>
        </w:r>
      </w:hyperlink>
      <w:r>
        <w:t xml:space="preserve">. The unit of observation is the source record. Each record corresponds to one document, identified either by a stable web location for the space domain awareness conference papers or by a digital object identifier for the journal articles</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source corpus spans publication years from 2017 to 2026, so it captures both the pre-deployment period and the megaconstellation era that the proliferation conversation is built around</w:t>
      </w:r>
      <w:r>
        <w:t xml:space="preserve"> </w:t>
      </w:r>
      <w:hyperlink w:anchor="ref-2">
        <w:r>
          <w:rPr>
            <w:rStyle w:val="Hyperlink"/>
          </w:rPr>
          <w:t xml:space="preserve">[2]</w:t>
        </w:r>
      </w:hyperlink>
      <w:r>
        <w:t xml:space="preserve">.</w:t>
      </w:r>
    </w:p>
    <w:p>
      <w:pPr>
        <w:pStyle w:val="BodyText"/>
        <w:spacing w:line="480" w:lineRule="auto"/>
        <w:ind w:firstLine="720"/>
      </w:pPr>
      <w:r>
        <w:t xml:space="preserve">Two estimation files are derived from this source corpus, one for each empirical screen. They share the same underlying records but organize them for different questions. The first file carries the variables needed for the cross-sectional signal model; the second carries the variables needed for the age-accumulation curve. Both files contain thirty rows. That number, N equals thirty, is stated plainly here because it governs every inference in the results chapter and every caution in the discussion. Thirty observations is enough to estimate a small linear model and read its coefficients, and it is not enough to support elaborate specifications or to smooth over heterogeneity by weight of numbers</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bookmarkEnd w:id="93"/>
    <w:bookmarkStart w:id="94" w:name="X867d32f50edad61433e46d902c09434addd1398"/>
    <w:p>
      <w:pPr>
        <w:pStyle w:val="Heading2"/>
        <w:spacing w:line="480" w:lineRule="auto"/>
      </w:pPr>
      <w:r>
        <w:t xml:space="preserve">Constructing the outcome: the topic-signal score</w:t>
      </w:r>
    </w:p>
    <w:p>
      <w:pPr>
        <w:pStyle w:val="FirstParagraph"/>
        <w:spacing w:line="480" w:lineRule="auto"/>
      </w:pPr>
      <w:r>
        <w:t xml:space="preserve">The outcome variable in the first screen is the topic-signal score. It is a composite, deterministic count, and its construction is the most important measurement decision in the project, so it is worth stating carefully. For each source record, the construction routine scans four fields: the document title, the retrieved snippet, the keyword field, and the author metadata. Within those fields it counts hits on candidate-theme terms, the vocabulary of commercial proliferation, distributed architecture, mega-constellations, and the associated security and awareness concepts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The counts are combined into a single integer score. Because the routine is deterministic, running it again on the same record yields the same score, which is what makes the outcome auditable rather than a matter of judgment.</w:t>
      </w:r>
    </w:p>
    <w:p>
      <w:pPr>
        <w:pStyle w:val="BodyText"/>
        <w:spacing w:line="480" w:lineRule="auto"/>
        <w:ind w:firstLine="720"/>
      </w:pPr>
      <w:r>
        <w:t xml:space="preserve">In the assembled data the signal score ranges from low single digits to the low teens, with most records clustering in the three-to-six range and a handful reaching higher. A record reporting on megaconstellation deployments and their impact on space domain awareness scores toward the top of the range, as one would hope, because its title and metadata are dense with the target vocabulary</w:t>
      </w:r>
      <w:r>
        <w:t xml:space="preserve"> </w:t>
      </w:r>
      <w:hyperlink w:anchor="ref-2">
        <w:r>
          <w:rPr>
            <w:rStyle w:val="Hyperlink"/>
          </w:rPr>
          <w:t xml:space="preserve">[2]</w:t>
        </w:r>
      </w:hyperlink>
      <w:r>
        <w:t xml:space="preserve"> </w:t>
      </w:r>
      <w:hyperlink w:anchor="ref-5">
        <w:r>
          <w:rPr>
            <w:rStyle w:val="Hyperlink"/>
          </w:rPr>
          <w:t xml:space="preserve">[5]</w:t>
        </w:r>
      </w:hyperlink>
      <w:r>
        <w:t xml:space="preserve">. A record on a tangential topic, an optical-sensor photometry study or a resource-extraction study, scores lower because the theme terms appear sparsely if at all</w:t>
      </w:r>
      <w:r>
        <w:t xml:space="preserve"> </w:t>
      </w:r>
      <w:hyperlink w:anchor="ref-11">
        <w:r>
          <w:rPr>
            <w:rStyle w:val="Hyperlink"/>
          </w:rPr>
          <w:t xml:space="preserve">[11]</w:t>
        </w:r>
      </w:hyperlink>
      <w:r>
        <w:t xml:space="preserve">. This spread is exactly what a signal score should produce: high where the document is squarely about the topic, low where it merely brushes against it. The score is not a measure of quality or of citation impact. It is a measure of topical density, and it is interpreted only as that.</w:t>
      </w:r>
    </w:p>
    <w:bookmarkEnd w:id="94"/>
    <w:bookmarkStart w:id="95" w:name="constructing-the-predictors"/>
    <w:p>
      <w:pPr>
        <w:pStyle w:val="Heading2"/>
        <w:spacing w:line="480" w:lineRule="auto"/>
      </w:pPr>
      <w:r>
        <w:t xml:space="preserve">Constructing the predictors</w:t>
      </w:r>
    </w:p>
    <w:p>
      <w:pPr>
        <w:pStyle w:val="FirstParagraph"/>
        <w:spacing w:line="480" w:lineRule="auto"/>
      </w:pPr>
      <w:r>
        <w:t xml:space="preserve">The recency index is the simplest variable and the most consequential for the first hypothesis. It is computed as the source’s publication year minus the earliest publication year in the sample plus one. With the sample spanning 2017 to 2026, the earliest records take a recency index of one and the most recent take a value of ten. The plus-one anchoring keeps the index positive and gives the oldest record a defined, nonzero value. Higher recency means more recent publication, so a positive recency coefficient in the first model would mean topic signal rising in newer work, which is the directional prediction the theory makes</w:t>
      </w:r>
      <w:r>
        <w:t xml:space="preserve"> </w:t>
      </w:r>
      <w:hyperlink w:anchor="ref-2">
        <w:r>
          <w:rPr>
            <w:rStyle w:val="Hyperlink"/>
          </w:rPr>
          <w:t xml:space="preserve">[2]</w:t>
        </w:r>
      </w:hyperlink>
      <w:r>
        <w:t xml:space="preserve">.</w:t>
      </w:r>
    </w:p>
    <w:p>
      <w:pPr>
        <w:pStyle w:val="BodyText"/>
        <w:spacing w:line="480" w:lineRule="auto"/>
        <w:ind w:firstLine="720"/>
      </w:pPr>
      <w:r>
        <w:t xml:space="preserve">The citation count is parsed directly from the local index and enters the first model as reported. It is worth being honest about its distribution, because that distribution shapes what the coefficient can mean. Most records in the pack report zero citations: the conference papers and the newest journal articles have not accumulated index-recorded citations. A few older journal articles carry very large counts, on the order of ninety-nine and ninety-six for two records from 2017 and 2018, and a couple of others carry moderate counts around eleven and one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variable is therefore highly skewed, dominated by zeros with a thin tail of heavily cited older work. This shape is precisely why robust inference is used and why the second screen log-transforms the count. The raw variable is real, it is auditable, and it is skewed, and the design accommodates that rather than hiding it.</w:t>
      </w:r>
    </w:p>
    <w:p>
      <w:pPr>
        <w:pStyle w:val="BodyText"/>
        <w:spacing w:line="480" w:lineRule="auto"/>
        <w:ind w:firstLine="720"/>
      </w:pPr>
      <w:r>
        <w:t xml:space="preserve">The venue-family score is an ordinal coding of the venue in which each record appeared. Space domain awareness conference venues are coded one, astronautics journal venues are coded two, and space economy venues are coded three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4">
        <w:r>
          <w:rPr>
            <w:rStyle w:val="Hyperlink"/>
          </w:rPr>
          <w:t xml:space="preserve">[14]</w:t>
        </w:r>
      </w:hyperlink>
      <w:r>
        <w:t xml:space="preserve">. The ordering is intended to run, loosely, from the operational-technical community through the peer-reviewed astronautics community to the economics-and-markets community, three distinct framings of the same physical object. Because the coding is ordinal, its coefficient must be read with care: a one-unit change from awareness to astronautics is not assumed equivalent to a one-unit change from astronautics to economics, and the discussion treats the venue coefficient as directional evidence about cross-community structure rather than as a precise cardinal effect</w:t>
      </w:r>
      <w:r>
        <w:t xml:space="preserve"> </w:t>
      </w:r>
      <w:hyperlink w:anchor="ref-15">
        <w:r>
          <w:rPr>
            <w:rStyle w:val="Hyperlink"/>
          </w:rPr>
          <w:t xml:space="preserve">[15]</w:t>
        </w:r>
      </w:hyperlink>
      <w:r>
        <w:t xml:space="preserve">.</w:t>
      </w:r>
    </w:p>
    <w:bookmarkEnd w:id="95"/>
    <w:bookmarkStart w:id="96" w:name="X3a0e6eb765d92a286689b11c8a5fa4dead51a7a"/>
    <w:p>
      <w:pPr>
        <w:pStyle w:val="Heading2"/>
        <w:spacing w:line="480" w:lineRule="auto"/>
      </w:pPr>
      <w:r>
        <w:t xml:space="preserve">The second estimation file: age and accumulated attention</w:t>
      </w:r>
    </w:p>
    <w:p>
      <w:pPr>
        <w:pStyle w:val="FirstParagraph"/>
        <w:spacing w:line="480" w:lineRule="auto"/>
      </w:pPr>
      <w:r>
        <w:t xml:space="preserve">The second file rebuilds two variables for the learning-curve screen. Citation count plus one is the reported count with one added, so that the logarithm is defined for the zero-citation records that dominate the pack. In the data this means the many uncited records take a value of one, the moderately cited records take values like two and twelve, and the two heavily cited older articles take values of one hundred and ninety-seven</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document-age index is computed as 2026 minus the publication year plus one, so a 2026 record has age one and a 2017 record has age ten. The two variables are the raw material for the age elasticity: the question the second screen asks is whether the log of accumulated attention scales with the log of age across these thirty records</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near-inverse relationship between recency and age is intentional and not a redundancy. The first screen uses recency to ask a cross-sectional question about signal density; the second uses age to ask a dynamic question about attention accumulation. A record that is recent has low age and, typically, low accumulated citations because it has had little time to gather them, while an old record has high age and, if the field is maturing, higher accumulated citations</w:t>
      </w:r>
      <w:r>
        <w:t xml:space="preserve"> </w:t>
      </w:r>
      <w:hyperlink w:anchor="ref-9">
        <w:r>
          <w:rPr>
            <w:rStyle w:val="Hyperlink"/>
          </w:rPr>
          <w:t xml:space="preserve">[9]</w:t>
        </w:r>
      </w:hyperlink>
      <w:r>
        <w:t xml:space="preserve">. Whether that pattern actually holds in this corpus is an empirical matter the second model settles, and the data are arranged so that it can settle it cleanly.</w:t>
      </w:r>
    </w:p>
    <w:bookmarkEnd w:id="96"/>
    <w:bookmarkStart w:id="97" w:name="Xaee3d0c6911b363e5ccd6b02043a0c438248553"/>
    <w:p>
      <w:pPr>
        <w:pStyle w:val="Heading2"/>
        <w:spacing w:line="480" w:lineRule="auto"/>
      </w:pPr>
      <w:r>
        <w:t xml:space="preserve">Descriptive structure of the sample before any modeling</w:t>
      </w:r>
    </w:p>
    <w:p>
      <w:pPr>
        <w:pStyle w:val="FirstParagraph"/>
        <w:spacing w:line="480" w:lineRule="auto"/>
      </w:pPr>
      <w:r>
        <w:t xml:space="preserve">Before a single coefficient is estimated, the raw distributions tell a story worth reading on its own. The venue composition is skewed toward the space domain awareness family: the majority of the thirty records come from the operational-technical conference venues coded one, a smaller group from the astronautics journals coded two, and only a handful from the space economy venues coded three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4">
        <w:r>
          <w:rPr>
            <w:rStyle w:val="Hyperlink"/>
          </w:rPr>
          <w:t xml:space="preserve">[14]</w:t>
        </w:r>
      </w:hyperlink>
      <w:r>
        <w:t xml:space="preserve">. This composition is itself a finding in miniature. The topic, as retrieved, lives disproportionately in the operational community, and that imbalance is what gives the venue coefficient its leverage in the first model</w:t>
      </w:r>
      <w:r>
        <w:t xml:space="preserve"> </w:t>
      </w:r>
      <w:hyperlink w:anchor="ref-15">
        <w:r>
          <w:rPr>
            <w:rStyle w:val="Hyperlink"/>
          </w:rPr>
          <w:t xml:space="preserve">[15]</w:t>
        </w:r>
      </w:hyperlink>
      <w:r>
        <w:t xml:space="preserve">. A reader should notice the composition early, because a strong venue effect estimated on an uneven venue distribution is a result about where the mass of the literature sits, not a claim that every venue family is equally represented</w:t>
      </w:r>
      <w:r>
        <w:t xml:space="preserve"> </w:t>
      </w:r>
      <w:hyperlink w:anchor="ref-5">
        <w:r>
          <w:rPr>
            <w:rStyle w:val="Hyperlink"/>
          </w:rPr>
          <w:t xml:space="preserve">[5]</w:t>
        </w:r>
      </w:hyperlink>
      <w:r>
        <w:t xml:space="preserve">.</w:t>
      </w:r>
    </w:p>
    <w:p>
      <w:pPr>
        <w:pStyle w:val="BodyText"/>
        <w:spacing w:line="480" w:lineRule="auto"/>
        <w:ind w:firstLine="720"/>
      </w:pPr>
      <w:r>
        <w:t xml:space="preserve">The recency distribution is comparatively even across the 2017-to-2026 span, with records in most years and a modest concentration in the post-2020 deployment era, which is what one would expect of a topic energized by the megaconstellation build-out</w:t>
      </w:r>
      <w:r>
        <w:t xml:space="preserve"> </w:t>
      </w:r>
      <w:hyperlink w:anchor="ref-2">
        <w:r>
          <w:rPr>
            <w:rStyle w:val="Hyperlink"/>
          </w:rPr>
          <w:t xml:space="preserve">[2]</w:t>
        </w:r>
      </w:hyperlink>
      <w:r>
        <w:t xml:space="preserve">. The signal-score distribution is right-skewed but not extreme: most records cluster in the low-to-mid single digits, a few reach the high single digits or low teens where the theme vocabulary is dense, and none sits at an implausible extreme</w:t>
      </w:r>
      <w:r>
        <w:t xml:space="preserve"> </w:t>
      </w:r>
      <w:hyperlink w:anchor="ref-5">
        <w:r>
          <w:rPr>
            <w:rStyle w:val="Hyperlink"/>
          </w:rPr>
          <w:t xml:space="preserve">[5]</w:t>
        </w:r>
      </w:hyperlink>
      <w:r>
        <w:t xml:space="preserve">. The one genuinely pathological distribution is citation count, which is the reason so much of the methodology chapter is spent on robust inference and log transforms. Zero is the modal citation count by a wide margin, and the two articles at ninety-nine and ninety-six are outliers by any standard, with a couple of moderate values at eleven and one filling the sparse middle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Seeing this distribution plainly is what prepares the reader for the borderline citation coefficient and the imprecise age elasticity that follow</w:t>
      </w:r>
      <w:r>
        <w:t xml:space="preserve"> </w:t>
      </w:r>
      <w:hyperlink w:anchor="ref-4">
        <w:r>
          <w:rPr>
            <w:rStyle w:val="Hyperlink"/>
          </w:rPr>
          <w:t xml:space="preserve">[4]</w:t>
        </w:r>
      </w:hyperlink>
      <w:r>
        <w:t xml:space="preserve">.</w:t>
      </w:r>
    </w:p>
    <w:bookmarkEnd w:id="97"/>
    <w:bookmarkStart w:id="98" w:name="X7183c7432a08b371de90acf1fb6a57c99954775"/>
    <w:p>
      <w:pPr>
        <w:pStyle w:val="Heading2"/>
        <w:spacing w:line="480" w:lineRule="auto"/>
      </w:pPr>
      <w:r>
        <w:t xml:space="preserve">The relationship between the two estimation files</w:t>
      </w:r>
    </w:p>
    <w:p>
      <w:pPr>
        <w:pStyle w:val="FirstParagraph"/>
        <w:spacing w:line="480" w:lineRule="auto"/>
      </w:pPr>
      <w:r>
        <w:t xml:space="preserve">The two files are siblings, not duplicates, and understanding their relationship prevents a common misreading. Both descend from the same thirty source records, so any given document appears once in each file, carrying the same provenance</w:t>
      </w:r>
      <w:r>
        <w:t xml:space="preserve"> </w:t>
      </w:r>
      <w:hyperlink w:anchor="ref-1">
        <w:r>
          <w:rPr>
            <w:rStyle w:val="Hyperlink"/>
          </w:rPr>
          <w:t xml:space="preserve">[1]</w:t>
        </w:r>
      </w:hyperlink>
      <w:r>
        <w:t xml:space="preserve">. What differs is the variable set each file exposes. The first file carries signal score, recency, citation count, and venue, the ingredients of the cross-sectional structure question</w:t>
      </w:r>
      <w:r>
        <w:t xml:space="preserve"> </w:t>
      </w:r>
      <w:hyperlink w:anchor="ref-3">
        <w:r>
          <w:rPr>
            <w:rStyle w:val="Hyperlink"/>
          </w:rPr>
          <w:t xml:space="preserve">[3]</w:t>
        </w:r>
      </w:hyperlink>
      <w:r>
        <w:t xml:space="preserve">. The second file carries citation-count-plus-one and the age index, the ingredients of the accumulation question, and it also retains the signal score for reference even though the learning curve does not use it as an outcome</w:t>
      </w:r>
      <w:r>
        <w:t xml:space="preserve"> </w:t>
      </w:r>
      <w:hyperlink w:anchor="ref-9">
        <w:r>
          <w:rPr>
            <w:rStyle w:val="Hyperlink"/>
          </w:rPr>
          <w:t xml:space="preserve">[9]</w:t>
        </w:r>
      </w:hyperlink>
      <w:r>
        <w:t xml:space="preserve">. Because the files share records and share the citation variable, a reader can cross-check them: the same document’s citation count should be consistent across both, differing only by the plus-one transform in the second</w:t>
      </w:r>
      <w:r>
        <w:t xml:space="preserve"> </w:t>
      </w:r>
      <w:hyperlink w:anchor="ref-4">
        <w:r>
          <w:rPr>
            <w:rStyle w:val="Hyperlink"/>
          </w:rPr>
          <w:t xml:space="preserve">[4]</w:t>
        </w:r>
      </w:hyperlink>
      <w:r>
        <w:t xml:space="preserve">.</w:t>
      </w:r>
    </w:p>
    <w:p>
      <w:pPr>
        <w:pStyle w:val="BodyText"/>
        <w:spacing w:line="480" w:lineRule="auto"/>
        <w:ind w:firstLine="720"/>
      </w:pPr>
      <w:r>
        <w:t xml:space="preserve">The near-mirror relationship between recency in the first file and age in the second is worth restating as a data fact rather than only as a design choice. A 2026 record has recency ten and age one; a 2017 record has recency one and age ten</w:t>
      </w:r>
      <w:r>
        <w:t xml:space="preserve"> </w:t>
      </w:r>
      <w:hyperlink w:anchor="ref-2">
        <w:r>
          <w:rPr>
            <w:rStyle w:val="Hyperlink"/>
          </w:rPr>
          <w:t xml:space="preserve">[2]</w:t>
        </w:r>
      </w:hyperlink>
      <w:r>
        <w:t xml:space="preserve">. The two indices are almost perfectly inversely related by construction, which is exactly why they are never placed in the same model: doing so would introduce a mechanical collinearity that would corrupt both coefficients</w:t>
      </w:r>
      <w:r>
        <w:t xml:space="preserve"> </w:t>
      </w:r>
      <w:hyperlink w:anchor="ref-12">
        <w:r>
          <w:rPr>
            <w:rStyle w:val="Hyperlink"/>
          </w:rPr>
          <w:t xml:space="preserve">[12]</w:t>
        </w:r>
      </w:hyperlink>
      <w:r>
        <w:t xml:space="preserve">. Separating them across two files is not an accident of bookkeeping; it is what keeps the cross-sectional and dynamic questions cleanly apart</w:t>
      </w:r>
      <w:r>
        <w:t xml:space="preserve"> </w:t>
      </w:r>
      <w:hyperlink w:anchor="ref-9">
        <w:r>
          <w:rPr>
            <w:rStyle w:val="Hyperlink"/>
          </w:rPr>
          <w:t xml:space="preserve">[9]</w:t>
        </w:r>
      </w:hyperlink>
      <w:r>
        <w:t xml:space="preserve">. The design’s transparency depends on the reader seeing that the two files ask different questions of the same records rather than re-running one question twice</w:t>
      </w:r>
      <w:r>
        <w:t xml:space="preserve"> </w:t>
      </w:r>
      <w:hyperlink w:anchor="ref-6">
        <w:r>
          <w:rPr>
            <w:rStyle w:val="Hyperlink"/>
          </w:rPr>
          <w:t xml:space="preserve">[6]</w:t>
        </w:r>
      </w:hyperlink>
      <w:r>
        <w:t xml:space="preserve">.</w:t>
      </w:r>
    </w:p>
    <w:bookmarkEnd w:id="98"/>
    <w:bookmarkStart w:id="99" w:name="Xf2fe83a88fdefc14fd725529c99ead5a1f0e81e"/>
    <w:p>
      <w:pPr>
        <w:pStyle w:val="Heading2"/>
        <w:spacing w:line="480" w:lineRule="auto"/>
      </w:pPr>
      <w:r>
        <w:t xml:space="preserve">Data cleaning and the choices that were not made</w:t>
      </w:r>
    </w:p>
    <w:p>
      <w:pPr>
        <w:pStyle w:val="FirstParagraph"/>
        <w:spacing w:line="480" w:lineRule="auto"/>
      </w:pPr>
      <w:r>
        <w:t xml:space="preserve">Honest data description includes the transformations that were declined as much as those that were performed. The citation counts were not winsorized: the two extreme values at ninety-nine and ninety-six were left in place rather than capped, because capping them would have hidden exactly the leverage problem the second screen exists to expose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signal scores were not standardized or rescaled: they enter the first model as raw integer counts, so the coefficients read in the natural units of the outcome and can be checked against the source records by hand</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venue coding was not converted into indicator variables: it was kept as a single ordinal score, a deliberate simplification that trades some flexibility for one interpretable coefficient, appropriate to a thirty-record sample that cannot afford to spend degrees of freedom on multiple venue dummies</w:t>
      </w:r>
      <w:r>
        <w:t xml:space="preserve"> </w:t>
      </w:r>
      <w:hyperlink w:anchor="ref-3">
        <w:r>
          <w:rPr>
            <w:rStyle w:val="Hyperlink"/>
          </w:rPr>
          <w:t xml:space="preserve">[3]</w:t>
        </w:r>
      </w:hyperlink>
      <w:r>
        <w:t xml:space="preserve"> </w:t>
      </w:r>
      <w:hyperlink w:anchor="ref-6">
        <w:r>
          <w:rPr>
            <w:rStyle w:val="Hyperlink"/>
          </w:rPr>
          <w:t xml:space="preserve">[6]</w:t>
        </w:r>
      </w:hyperlink>
      <w:r>
        <w:t xml:space="preserve">. Each of these declined transformations is a choice, and each is defensible, but the point of listing them is that a reader can disagree and re-run the analysis differently, because the raw data and the choices are both on the table</w:t>
      </w:r>
      <w:r>
        <w:t xml:space="preserve"> </w:t>
      </w:r>
      <w:hyperlink w:anchor="ref-4">
        <w:r>
          <w:rPr>
            <w:rStyle w:val="Hyperlink"/>
          </w:rPr>
          <w:t xml:space="preserve">[4]</w:t>
        </w:r>
      </w:hyperlink>
      <w:r>
        <w:t xml:space="preserve">.</w:t>
      </w:r>
    </w:p>
    <w:p>
      <w:pPr>
        <w:pStyle w:val="BodyText"/>
        <w:spacing w:line="480" w:lineRule="auto"/>
        <w:ind w:firstLine="720"/>
      </w:pPr>
      <w:r>
        <w:t xml:space="preserve">No records were dropped for missing data, because the deterministic construction routine produces a complete value for every field of every retained record</w:t>
      </w:r>
      <w:r>
        <w:t xml:space="preserve"> </w:t>
      </w:r>
      <w:hyperlink w:anchor="ref-5">
        <w:r>
          <w:rPr>
            <w:rStyle w:val="Hyperlink"/>
          </w:rPr>
          <w:t xml:space="preserve">[5]</w:t>
        </w:r>
      </w:hyperlink>
      <w:r>
        <w:t xml:space="preserve">. There is no imputation, no interpolation, and no silent exclusion, so the thirty records that enter each model are exactly the thirty records the source corpus contains</w:t>
      </w:r>
      <w:r>
        <w:t xml:space="preserve"> </w:t>
      </w:r>
      <w:hyperlink w:anchor="ref-2">
        <w:r>
          <w:rPr>
            <w:rStyle w:val="Hyperlink"/>
          </w:rPr>
          <w:t xml:space="preserve">[2]</w:t>
        </w:r>
      </w:hyperlink>
      <w:r>
        <w:t xml:space="preserve">. This completeness is a modest virtue, but it removes an entire category of hidden analyst choices that can quietly shape results, and it is part of why the estimator outputs can be reported in the next chapter as facts rather than as one defensible path among many</w:t>
      </w:r>
      <w:r>
        <w:t xml:space="preserve"> </w:t>
      </w:r>
      <w:hyperlink w:anchor="ref-6">
        <w:r>
          <w:rPr>
            <w:rStyle w:val="Hyperlink"/>
          </w:rPr>
          <w:t xml:space="preserve">[6]</w:t>
        </w:r>
      </w:hyperlink>
      <w:r>
        <w:t xml:space="preserve">.</w:t>
      </w:r>
    </w:p>
    <w:bookmarkEnd w:id="99"/>
    <w:bookmarkStart w:id="100" w:name="X5f9050e51716608a2f9c7df46944516f0afece5"/>
    <w:p>
      <w:pPr>
        <w:pStyle w:val="Heading2"/>
        <w:spacing w:line="480" w:lineRule="auto"/>
      </w:pPr>
      <w:r>
        <w:t xml:space="preserve">Provenance, limits of the measurement, and what the reader can check</w:t>
      </w:r>
    </w:p>
    <w:p>
      <w:pPr>
        <w:pStyle w:val="FirstParagraph"/>
        <w:spacing w:line="480" w:lineRule="auto"/>
      </w:pPr>
      <w:r>
        <w:t xml:space="preserve">Every variable described above is documented in the configuration files that accompany the two estimation files, and every row preserves its source. A reader who doubts a signal score can open the named record and count the theme hits. A reader who doubts a citation count can consult the local index field it was parsed from. This traceability is the point of the whole data strategy, and it is what licenses the results chapter to report the estimator output as fact rather than as an artifact of hidden choices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A concrete example makes the traceability tangible. The record reporting on 2020 megaconstellation deployments and their impact on space domain awareness carries a high signal score because its title and metadata are saturated with the target vocabulary, it sits in a space domain awareness venue coded one, and it reports zero index citations despite its evident relevance, which is itself a small illustration of why the citation variable is a weak proxy for importance in this corpus</w:t>
      </w:r>
      <w:r>
        <w:t xml:space="preserve"> </w:t>
      </w:r>
      <w:hyperlink w:anchor="ref-2">
        <w:r>
          <w:rPr>
            <w:rStyle w:val="Hyperlink"/>
          </w:rPr>
          <w:t xml:space="preserve">[2]</w:t>
        </w:r>
      </w:hyperlink>
      <w:r>
        <w:t xml:space="preserve"> </w:t>
      </w:r>
      <w:hyperlink w:anchor="ref-5">
        <w:r>
          <w:rPr>
            <w:rStyle w:val="Hyperlink"/>
          </w:rPr>
          <w:t xml:space="preserve">[5]</w:t>
        </w:r>
      </w:hyperlink>
      <w:r>
        <w:t xml:space="preserve">. A reader can open that record, count the theme terms across its four scanned fields, confirm the venue coding, and check the citation field against the local index, reconstructing the entire row by hand</w:t>
      </w:r>
      <w:r>
        <w:t xml:space="preserve"> </w:t>
      </w:r>
      <w:hyperlink w:anchor="ref-1">
        <w:r>
          <w:rPr>
            <w:rStyle w:val="Hyperlink"/>
          </w:rPr>
          <w:t xml:space="preserve">[1]</w:t>
        </w:r>
      </w:hyperlink>
      <w:r>
        <w:t xml:space="preserve">. That reconstructability, available for all thirty rows, is the concrete meaning of the auditability the design keeps promising, and it is what separates this dataset from one whose numbers must simply be trusted</w:t>
      </w:r>
      <w:r>
        <w:t xml:space="preserve"> </w:t>
      </w:r>
      <w:hyperlink w:anchor="ref-6">
        <w:r>
          <w:rPr>
            <w:rStyle w:val="Hyperlink"/>
          </w:rPr>
          <w:t xml:space="preserve">[6]</w:t>
        </w:r>
      </w:hyperlink>
      <w:r>
        <w:t xml:space="preserve">.</w:t>
      </w:r>
    </w:p>
    <w:p>
      <w:pPr>
        <w:pStyle w:val="BodyText"/>
        <w:spacing w:line="480" w:lineRule="auto"/>
        <w:ind w:firstLine="720"/>
      </w:pPr>
      <w:r>
        <w:t xml:space="preserve">The measurement has real limits, and naming them here is part of being trustworthy about the data rather than only about the estimates. The citation counts are local index measures, not universal citation counts, so they undercount attention that lives outside the index</w:t>
      </w:r>
      <w:r>
        <w:t xml:space="preserve"> </w:t>
      </w:r>
      <w:hyperlink w:anchor="ref-4">
        <w:r>
          <w:rPr>
            <w:rStyle w:val="Hyperlink"/>
          </w:rPr>
          <w:t xml:space="preserve">[4]</w:t>
        </w:r>
      </w:hyperlink>
      <w:r>
        <w:t xml:space="preserve">. The venue-family coding is ordinal and coarse, collapsing rich institutional differences into three integers</w:t>
      </w:r>
      <w:r>
        <w:t xml:space="preserve"> </w:t>
      </w:r>
      <w:hyperlink w:anchor="ref-1">
        <w:r>
          <w:rPr>
            <w:rStyle w:val="Hyperlink"/>
          </w:rPr>
          <w:t xml:space="preserve">[1]</w:t>
        </w:r>
      </w:hyperlink>
      <w:r>
        <w:t xml:space="preserve">. The signal score rewards topical vocabulary density, which is a reasonable proxy for topical relevance but is not the same as substantive engagement with the deterrence question</w:t>
      </w:r>
      <w:r>
        <w:t xml:space="preserve"> </w:t>
      </w:r>
      <w:hyperlink w:anchor="ref-2">
        <w:r>
          <w:rPr>
            <w:rStyle w:val="Hyperlink"/>
          </w:rPr>
          <w:t xml:space="preserve">[2]</w:t>
        </w:r>
      </w:hyperlink>
      <w:r>
        <w:t xml:space="preserve">. And the sample is thirty records, retrieved from specific indices, so it is a structured window onto the literature rather than a census of it</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These limits do not invalidate the data. They bound what the data can be asked to show, and the chapters that follow keep every claim inside those bounds. The dataset is best understood as a well-documented, honestly bounded window onto one part of the proliferation literature, complete within its frame and silent beyond it</w:t>
      </w:r>
      <w:r>
        <w:t xml:space="preserve"> </w:t>
      </w:r>
      <w:hyperlink w:anchor="ref-2">
        <w:r>
          <w:rPr>
            <w:rStyle w:val="Hyperlink"/>
          </w:rPr>
          <w:t xml:space="preserve">[2]</w:t>
        </w:r>
      </w:hyperlink>
      <w:r>
        <w:t xml:space="preserve"> </w:t>
      </w:r>
      <w:hyperlink w:anchor="ref-14">
        <w:r>
          <w:rPr>
            <w:rStyle w:val="Hyperlink"/>
          </w:rPr>
          <w:t xml:space="preserve">[14]</w:t>
        </w:r>
      </w:hyperlink>
      <w:r>
        <w:t xml:space="preserve">. Its strength is not size but transparency: every value is reconstructable, every transformation is stated, and every declined transformation is named, so a reader who distrusts a number can check it rather than take it on faith</w:t>
      </w:r>
      <w:r>
        <w:t xml:space="preserve"> </w:t>
      </w:r>
      <w:hyperlink w:anchor="ref-1">
        <w:r>
          <w:rPr>
            <w:rStyle w:val="Hyperlink"/>
          </w:rPr>
          <w:t xml:space="preserve">[1]</w:t>
        </w:r>
      </w:hyperlink>
      <w:r>
        <w:t xml:space="preserve"> </w:t>
      </w:r>
      <w:hyperlink w:anchor="ref-5">
        <w:r>
          <w:rPr>
            <w:rStyle w:val="Hyperlink"/>
          </w:rPr>
          <w:t xml:space="preserve">[5]</w:t>
        </w:r>
      </w:hyperlink>
      <w:r>
        <w:t xml:space="preserve">. That transparency is what the results chapter trades on when it reports the estimator output as fact, and it is the standard the whole dissertation asks to be judged against</w:t>
      </w:r>
      <w:r>
        <w:t xml:space="preserve"> </w:t>
      </w:r>
      <w:hyperlink w:anchor="ref-6">
        <w:r>
          <w:rPr>
            <w:rStyle w:val="Hyperlink"/>
          </w:rPr>
          <w:t xml:space="preserve">[6]</w:t>
        </w:r>
      </w:hyperlink>
      <w:r>
        <w:t xml:space="preserve">.</w:t>
      </w:r>
    </w:p>
    <w:bookmarkEnd w:id="100"/>
    <w:bookmarkEnd w:id="101"/>
    <w:bookmarkStart w:id="108" w:name="chapter-6-results"/>
    <w:p>
      <w:pPr>
        <w:pStyle w:val="Heading1"/>
        <w:spacing w:line="480" w:lineRule="auto"/>
      </w:pPr>
      <w:r>
        <w:t xml:space="preserve">Chapter 6: Results</w:t>
      </w:r>
    </w:p>
    <w:p>
      <w:pPr>
        <w:pStyle w:val="FirstParagraph"/>
        <w:spacing w:line="480" w:lineRule="auto"/>
      </w:pPr>
      <w:r>
        <w:t xml:space="preserve">This chapter reports what the two estimators produced. The numbers are the deterministic output of the empirical workbooks, run on the source corpus described in the previous chapter, and they are reported here exactly as the workbooks generated them, without rounding away anything that matters and without adjustment in either direction. The interpretation follows the decision rules fixed in the methodology chapter: a precise coefficient is read as corpus structure, an imprecise one as a limit on the claim. Two of the four cross-sectional coefficients are precise, and they are the two that carry the chapter.</w:t>
      </w:r>
    </w:p>
    <w:bookmarkStart w:id="102" w:name="paper-1-the-cross-sectional-signal-model"/>
    <w:p>
      <w:pPr>
        <w:pStyle w:val="Heading2"/>
        <w:spacing w:line="480" w:lineRule="auto"/>
      </w:pPr>
      <w:r>
        <w:t xml:space="preserve">Paper 1: the cross-sectional signal model</w:t>
      </w:r>
    </w:p>
    <w:p>
      <w:pPr>
        <w:pStyle w:val="FirstParagraph"/>
        <w:spacing w:line="480" w:lineRule="auto"/>
      </w:pPr>
      <w:r>
        <w:t xml:space="preserve">The first screen is an ordinary least squares regression of topic-signal score on recency, citation count, and venue-family score, estimated with robust HC1 standard errors across thirty records. The overall fit is as follows. The sample size is N equals 30. The coefficient of determination is R-squared equals 0.4024, and the adjusted coefficient of determination, which penalizes for the three predictors, is 0.3334. The joint test of the model against a constant-only null gives an F statistic of 12.9565 with a p-value of 2.28e-05. The model as a whole is strongly jointly significant. Roughly forty percent of the variation in topic signal across these thirty records is accounted for by the three predictors together, which for a small, heterogeneous corpus is a substantial share and tells us at once that the record is not structureless noise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individual coefficients, with their robust standard errors and p-values, are these. The constant is 5.7085, with a standard error of 1.5123 and a p-value of 0.00016. The coefficient on the recency index is 0.0919, with a standard error of 0.1360 and a p-value of 0.4995. The coefficient on citation count is 0.0171, with a standard error of 0.0088 and a p-value of 0.0529. The coefficient on venue-family score is -1.6025, with a standard error of 0.3923 and a p-value of 4.40e-05.</w:t>
      </w:r>
    </w:p>
    <w:p>
      <w:pPr>
        <w:pStyle w:val="BodyText"/>
        <w:spacing w:line="480" w:lineRule="auto"/>
        <w:ind w:firstLine="720"/>
      </w:pPr>
      <w:r>
        <w:t xml:space="preserve">Take them in turn. The constant, 5.7085, is the model’s baseline signal score for a hypothetical record at zero on all three predictors, and it is precisely estimated; it anchors the model but carries no substantive claim by itself. The recency coefficient, 0.0919, is positive, which is the direction the theory predicted, but it is imprecise, with a p-value of 0.4995 that is nowhere near any conventional threshold. Under the pre-committed decision rule this is a null result on recency: within this corpus, holding attention and venue fixed, more recent records do not carry detectably more topic signal. The sign is friendly to the theory and the precision is not, and the honest reading is the imprecise one</w:t>
      </w:r>
      <w:r>
        <w:t xml:space="preserve"> </w:t>
      </w:r>
      <w:hyperlink w:anchor="ref-2">
        <w:r>
          <w:rPr>
            <w:rStyle w:val="Hyperlink"/>
          </w:rPr>
          <w:t xml:space="preserve">[2]</w:t>
        </w:r>
      </w:hyperlink>
      <w:r>
        <w:t xml:space="preserve">.</w:t>
      </w:r>
    </w:p>
    <w:p>
      <w:pPr>
        <w:pStyle w:val="BodyText"/>
        <w:spacing w:line="480" w:lineRule="auto"/>
        <w:ind w:firstLine="720"/>
      </w:pPr>
      <w:r>
        <w:t xml:space="preserve">The citation coefficient, 0.0171, is positive and sits just at the edge of conventional significance, with a p-value of 0.0529. This is the marginal case. It is positive, as the attention prediction expected, and it is close enough to the 0.05 line that it should be reported as suggestive rather than dismissed or oversold. The magnitude is small: each additional index-recorded citation is associated with about 0.017 more points of topic signal, so it would take on the order of sixty citations to move signal by a single point. Given that the citation variable is dominated by zeros with a thin tail of heavily cited older articles, this coefficient is doing most of its work at that tail, and its borderline precision reflects exactly that thin support</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honest label is: weak, positive, borderline.</w:t>
      </w:r>
    </w:p>
    <w:p>
      <w:pPr>
        <w:pStyle w:val="BodyText"/>
        <w:spacing w:line="480" w:lineRule="auto"/>
        <w:ind w:firstLine="720"/>
      </w:pPr>
      <w:r>
        <w:t xml:space="preserve">The venue coefficient is where the model speaks clearly. It is -1.6025, with a p-value of 4.40e-05, so it is both large and very precisely estimated. Moving up the ordinal venue scale, from space domain awareness venues coded one, toward astronautics venues coded two, and space economy venues coded three, is associated with a drop of about 1.6 signal points per step. This is the strongest structural finding in the model. The topic signal is densest in the space domain awareness venues and thinner in the astronautics and economics venues, which is a substantively sensible result: the operational-technical community writes about proliferation and distributed architecture in the most concentrated theme vocabulary, while the journal and economics communities frame the same object more diffusely</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4">
        <w:r>
          <w:rPr>
            <w:rStyle w:val="Hyperlink"/>
          </w:rPr>
          <w:t xml:space="preserve">[14]</w:t>
        </w:r>
      </w:hyperlink>
      <w:r>
        <w:t xml:space="preserve">. Because the venue coding is ordinal, the coefficient is read as a strong, monotone, cross-community difference in signal density rather than as an exact cardinal effect</w:t>
      </w:r>
      <w:r>
        <w:t xml:space="preserve"> </w:t>
      </w:r>
      <w:hyperlink w:anchor="ref-15">
        <w:r>
          <w:rPr>
            <w:rStyle w:val="Hyperlink"/>
          </w:rPr>
          <w:t xml:space="preserve">[15]</w:t>
        </w:r>
      </w:hyperlink>
      <w:r>
        <w:t xml:space="preserve">.</w:t>
      </w:r>
    </w:p>
    <w:p>
      <w:pPr>
        <w:pStyle w:val="BodyText"/>
        <w:spacing w:line="480" w:lineRule="auto"/>
        <w:ind w:firstLine="720"/>
      </w:pPr>
      <w:r>
        <w:t xml:space="preserve">Putting the first screen together, the null H1-0 is rejected. Topic signal is systematically related to the source features, but not through the channel the theory expected most. Recency does not carry the structure; venue family carries it, decisively, and citation attention contributes weakly at the margin. The phenomenon is structured in the record, and it is structured by community rather than by time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02"/>
    <w:bookmarkStart w:id="103" w:name="paper-2-the-citation-accumulation-curve"/>
    <w:p>
      <w:pPr>
        <w:pStyle w:val="Heading2"/>
        <w:spacing w:line="480" w:lineRule="auto"/>
      </w:pPr>
      <w:r>
        <w:t xml:space="preserve">Paper 2: the citation-accumulation curve</w:t>
      </w:r>
    </w:p>
    <w:p>
      <w:pPr>
        <w:pStyle w:val="FirstParagraph"/>
        <w:spacing w:line="480" w:lineRule="auto"/>
      </w:pPr>
      <w:r>
        <w:t xml:space="preserve">The second screen is a log-log learning-curve regression of the log of citation count plus one on the log of document age, estimated with robust HC1 standard errors across the same thirty records. The fit is weak. The coefficient of determination is R-squared equals 0.0729, so age accounts for about seven percent of the variation in accumulated attention, which is very little. The estimated elasticity, the slope on log-age, is 0.5687, and its base-two transform gives a progress ratio of 1.4831, meaning that as document age doubles, accumulated attention scales upward by a factor of about 1.48 in the fitted relationship</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coefficients tell the fuller story. The constant is -0.1611, with a standard error of 0.4475 and a p-value of 0.7189, so the intercept is indistinguishable from zero. The elasticity on log-age is 0.5687, with a standard error of 0.4236 and a p-value of 0.1794. The elasticity is positive, which is the direction a maturing field would show, older documents carrying more accumulated attention, but it is imprecise, with a p-value well above conventional thresholds. Under the pre-committed decision rule, the null H2-0 is not rejected. Within this corpus, accumulated citation attention does not scale with document age in a statistically reliable way.</w:t>
      </w:r>
    </w:p>
    <w:p>
      <w:pPr>
        <w:pStyle w:val="BodyText"/>
        <w:spacing w:line="480" w:lineRule="auto"/>
        <w:ind w:firstLine="720"/>
      </w:pPr>
      <w:r>
        <w:t xml:space="preserve">This non-result is itself a finding, and it is the sharper of the two. The positive-but-imprecise elasticity, sitting on a coefficient of determination of only 0.0729, is the fingerprint of a young, operationally driven literature rather than a matured one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reason is visible in the data. Accumulated attention in this corpus is dominated by two anomalously cited older journal articles, from 2017 and 2018, against a background of records that report zero index citations regardless of their age</w:t>
      </w:r>
      <w:r>
        <w:t xml:space="preserve"> </w:t>
      </w:r>
      <w:hyperlink w:anchor="ref-4">
        <w:r>
          <w:rPr>
            <w:rStyle w:val="Hyperlink"/>
          </w:rPr>
          <w:t xml:space="preserve">[4]</w:t>
        </w:r>
      </w:hyperlink>
      <w:r>
        <w:t xml:space="preserve">. When two points carry almost all the citation mass and everything else sits near the floor, the age-attention relationship cannot be estimated with precision, and the smooth power-law accumulation that a mature field would exhibit simply is not there. The topic is being written about actively and recently, but it has not yet been cited long enough or evenly enough to show normal maturation dynamics</w:t>
      </w:r>
      <w:r>
        <w:t xml:space="preserve"> </w:t>
      </w:r>
      <w:hyperlink w:anchor="ref-9">
        <w:r>
          <w:rPr>
            <w:rStyle w:val="Hyperlink"/>
          </w:rPr>
          <w:t xml:space="preserve">[9]</w:t>
        </w:r>
      </w:hyperlink>
      <w:r>
        <w:t xml:space="preserve">.</w:t>
      </w:r>
    </w:p>
    <w:bookmarkEnd w:id="103"/>
    <w:bookmarkStart w:id="104" w:name="the-magnitudes-in-context"/>
    <w:p>
      <w:pPr>
        <w:pStyle w:val="Heading2"/>
        <w:spacing w:line="480" w:lineRule="auto"/>
      </w:pPr>
      <w:r>
        <w:t xml:space="preserve">The magnitudes in context</w:t>
      </w:r>
    </w:p>
    <w:p>
      <w:pPr>
        <w:pStyle w:val="FirstParagraph"/>
        <w:spacing w:line="480" w:lineRule="auto"/>
      </w:pPr>
      <w:r>
        <w:t xml:space="preserve">Statistical significance and substantive size are different questions, and both deserve attention. Consider the venue effect first. A coefficient of -1.6025 per venue step, against a fitted intercept of 5.7085 and an observed signal range that mostly runs from three to the low teens, is a large effect in the scale of the outcome</w:t>
      </w:r>
      <w:r>
        <w:t xml:space="preserve"> </w:t>
      </w:r>
      <w:hyperlink w:anchor="ref-1">
        <w:r>
          <w:rPr>
            <w:rStyle w:val="Hyperlink"/>
          </w:rPr>
          <w:t xml:space="preserve">[1]</w:t>
        </w:r>
      </w:hyperlink>
      <w:r>
        <w:t xml:space="preserve"> </w:t>
      </w:r>
      <w:hyperlink w:anchor="ref-3">
        <w:r>
          <w:rPr>
            <w:rStyle w:val="Hyperlink"/>
          </w:rPr>
          <w:t xml:space="preserve">[3]</w:t>
        </w:r>
      </w:hyperlink>
      <w:r>
        <w:t xml:space="preserve">. Moving from a space domain awareness venue to a space economy venue, two steps up the ordinal scale, is associated with a fitted drop of roughly 3.2 signal points, which is a substantial fraction of the observed spread. In other words the venue effect is not merely detectable; it is big enough to reorganize where a record sits in the signal distribution</w:t>
      </w:r>
      <w:r>
        <w:t xml:space="preserve"> </w:t>
      </w:r>
      <w:hyperlink w:anchor="ref-14">
        <w:r>
          <w:rPr>
            <w:rStyle w:val="Hyperlink"/>
          </w:rPr>
          <w:t xml:space="preserve">[14]</w:t>
        </w:r>
      </w:hyperlink>
      <w:r>
        <w:t xml:space="preserve">. That combination of large magnitude and tight precision, p equal to 4.40e-05, is why the venue result carries the first screen.</w:t>
      </w:r>
    </w:p>
    <w:p>
      <w:pPr>
        <w:pStyle w:val="BodyText"/>
        <w:spacing w:line="480" w:lineRule="auto"/>
        <w:ind w:firstLine="720"/>
      </w:pPr>
      <w:r>
        <w:t xml:space="preserve">The citation effect is the mirror image: precise-ish but small. At 0.0171 signal points per index citation, the coefficient is real in sign and borderline in precision, yet its practical footprint is limited because most records report zero citations and only a thin tail reports many</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For the great majority of the sample the citation term contributes almost nothing to fitted signal, and the coefficient earns its borderline p-value almost entirely from a few heavily cited older articles</w:t>
      </w:r>
      <w:r>
        <w:t xml:space="preserve"> </w:t>
      </w:r>
      <w:hyperlink w:anchor="ref-4">
        <w:r>
          <w:rPr>
            <w:rStyle w:val="Hyperlink"/>
          </w:rPr>
          <w:t xml:space="preserve">[4]</w:t>
        </w:r>
      </w:hyperlink>
      <w:r>
        <w:t xml:space="preserve">. Reporting the magnitude alongside the p-value keeps this in proportion: the attention channel is a whisper, not a shout, and it should be described as one. The recency effect, at 0.0919 per year with a p-value of 0.4995, is both small and imprecise, so it makes no substantive contribution the model can defend</w:t>
      </w:r>
      <w:r>
        <w:t xml:space="preserve"> </w:t>
      </w:r>
      <w:hyperlink w:anchor="ref-2">
        <w:r>
          <w:rPr>
            <w:rStyle w:val="Hyperlink"/>
          </w:rPr>
          <w:t xml:space="preserve">[2]</w:t>
        </w:r>
      </w:hyperlink>
      <w:r>
        <w:t xml:space="preserve">.</w:t>
      </w:r>
    </w:p>
    <w:p>
      <w:pPr>
        <w:pStyle w:val="BodyText"/>
        <w:spacing w:line="480" w:lineRule="auto"/>
        <w:ind w:firstLine="720"/>
      </w:pPr>
      <w:r>
        <w:t xml:space="preserve">For the second screen, the elasticity of 0.5687 would, if it were precise, describe a meaningful accumulation rate: a progress ratio of 1.4831 means accumulated attention scaling by roughly forty-eight percent as age doubles, which is the kind of number a maturing field produces</w:t>
      </w:r>
      <w:r>
        <w:t xml:space="preserve"> </w:t>
      </w:r>
      <w:hyperlink w:anchor="ref-9">
        <w:r>
          <w:rPr>
            <w:rStyle w:val="Hyperlink"/>
          </w:rPr>
          <w:t xml:space="preserve">[9]</w:t>
        </w:r>
      </w:hyperlink>
      <w:r>
        <w:t xml:space="preserve">. The trouble is not the size but the uncertainty. With a standard error of 0.4236 the elasticity cannot be distinguished from zero at any conventional level, and with a coefficient of determination of 0.0729 the age variable is explaining almost none of the spread in accumulated attention</w:t>
      </w:r>
      <w:r>
        <w:t xml:space="preserve"> </w:t>
      </w:r>
      <w:hyperlink w:anchor="ref-12">
        <w:r>
          <w:rPr>
            <w:rStyle w:val="Hyperlink"/>
          </w:rPr>
          <w:t xml:space="preserve">[12]</w:t>
        </w:r>
      </w:hyperlink>
      <w:r>
        <w:t xml:space="preserve">. A large-looking elasticity resting on a near-flat fit is not evidence of maturation; it is an artifact of two high-leverage older articles, and it is reported here as exactly that</w:t>
      </w:r>
      <w:r>
        <w:t xml:space="preserve"> </w:t>
      </w:r>
      <w:hyperlink w:anchor="ref-13">
        <w:r>
          <w:rPr>
            <w:rStyle w:val="Hyperlink"/>
          </w:rPr>
          <w:t xml:space="preserve">[13]</w:t>
        </w:r>
      </w:hyperlink>
      <w:r>
        <w:t xml:space="preserve">.</w:t>
      </w:r>
    </w:p>
    <w:bookmarkEnd w:id="104"/>
    <w:bookmarkStart w:id="105" w:name="robustness-of-the-headline-result"/>
    <w:p>
      <w:pPr>
        <w:pStyle w:val="Heading2"/>
        <w:spacing w:line="480" w:lineRule="auto"/>
      </w:pPr>
      <w:r>
        <w:t xml:space="preserve">Robustness of the headline result</w:t>
      </w:r>
    </w:p>
    <w:p>
      <w:pPr>
        <w:pStyle w:val="FirstParagraph"/>
        <w:spacing w:line="480" w:lineRule="auto"/>
      </w:pPr>
      <w:r>
        <w:t xml:space="preserve">The venue finding is the one strong enough to ask robustness questions of, and it survives the obvious ones. Its magnitude and precision do not depend on the borderline citation term: the venue coefficient is large whether or not attention is doing marginal work in the model, because venue and attention are not tightly entangled in this sample</w:t>
      </w:r>
      <w:r>
        <w:t xml:space="preserve"> </w:t>
      </w:r>
      <w:hyperlink w:anchor="ref-1">
        <w:r>
          <w:rPr>
            <w:rStyle w:val="Hyperlink"/>
          </w:rPr>
          <w:t xml:space="preserve">[1]</w:t>
        </w:r>
      </w:hyperlink>
      <w:r>
        <w:t xml:space="preserve"> </w:t>
      </w:r>
      <w:hyperlink w:anchor="ref-3">
        <w:r>
          <w:rPr>
            <w:rStyle w:val="Hyperlink"/>
          </w:rPr>
          <w:t xml:space="preserve">[3]</w:t>
        </w:r>
      </w:hyperlink>
      <w:r>
        <w:t xml:space="preserve">. Nor does the venue result depend on the imprecise recency term, for the same reason of near-independence among the predictors</w:t>
      </w:r>
      <w:r>
        <w:t xml:space="preserve"> </w:t>
      </w:r>
      <w:hyperlink w:anchor="ref-5">
        <w:r>
          <w:rPr>
            <w:rStyle w:val="Hyperlink"/>
          </w:rPr>
          <w:t xml:space="preserve">[5]</w:t>
        </w:r>
      </w:hyperlink>
      <w:r>
        <w:t xml:space="preserve">. The strong venue effect is therefore not a fragile product of a particular combination of controls; it is a robust structural feature of the corpus, which is what licenses the discussion chapter to build on it</w:t>
      </w:r>
      <w:r>
        <w:t xml:space="preserve"> </w:t>
      </w:r>
      <w:hyperlink w:anchor="ref-6">
        <w:r>
          <w:rPr>
            <w:rStyle w:val="Hyperlink"/>
          </w:rPr>
          <w:t xml:space="preserve">[6]</w:t>
        </w:r>
      </w:hyperlink>
      <w:r>
        <w:t xml:space="preserve">.</w:t>
      </w:r>
    </w:p>
    <w:p>
      <w:pPr>
        <w:pStyle w:val="BodyText"/>
        <w:spacing w:line="480" w:lineRule="auto"/>
        <w:ind w:firstLine="720"/>
      </w:pPr>
      <w:r>
        <w:t xml:space="preserve">The two null results are, in their own way, equally robust, though robustness of a null means something different. The recency and age coefficients are imprecise not because a single specification choice happened to bury them but because the underlying data do not contain the structure those coefficients would need</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recency null persists because signal density tracks community more than calendar, and the age null persists because attention is concentrated in a handful of old articles rather than accumulating smoothly</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These are properties of the corpus, not of the specification, and a reasonable alternative specification would not manufacture the missing structure. The results, headline and null alike, are stable features of the thirty records rather than choices of the analyst</w:t>
      </w:r>
      <w:r>
        <w:t xml:space="preserve"> </w:t>
      </w:r>
      <w:hyperlink w:anchor="ref-12">
        <w:r>
          <w:rPr>
            <w:rStyle w:val="Hyperlink"/>
          </w:rPr>
          <w:t xml:space="preserve">[12]</w:t>
        </w:r>
      </w:hyperlink>
      <w:r>
        <w:t xml:space="preserve">.</w:t>
      </w:r>
    </w:p>
    <w:bookmarkEnd w:id="105"/>
    <w:bookmarkStart w:id="106" w:name="what-the-figures-show"/>
    <w:p>
      <w:pPr>
        <w:pStyle w:val="Heading2"/>
        <w:spacing w:line="480" w:lineRule="auto"/>
      </w:pPr>
      <w:r>
        <w:t xml:space="preserve">What the figures show</w:t>
      </w:r>
    </w:p>
    <w:p>
      <w:pPr>
        <w:pStyle w:val="FirstParagraph"/>
        <w:spacing w:line="480" w:lineRule="auto"/>
      </w:pPr>
      <w:r>
        <w:t xml:space="preserve">Each screen carries a figure, and the figures make the numbers legible. For the first screen, plotting topic signal against the recency index, conditioning on citation attention and venue family, shows the flatness that the imprecise recency coefficient predicts: the cloud of points does not trend upward with recency in any visually convincing way, and the visible separation in the plot tracks venue rather than year</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figure is an honest picture of a null recency effect sitting inside a model whose real structure is elsewhere</w:t>
      </w:r>
      <w:r>
        <w:t xml:space="preserve"> </w:t>
      </w:r>
      <w:hyperlink w:anchor="ref-3">
        <w:r>
          <w:rPr>
            <w:rStyle w:val="Hyperlink"/>
          </w:rPr>
          <w:t xml:space="preserve">[3]</w:t>
        </w:r>
      </w:hyperlink>
      <w:r>
        <w:t xml:space="preserve">. For the second screen, plotting citation-count-plus-one against the age index exposes the leverage problem directly: two points ride far above a floor of near-zero records, and the fitted power curve is visibly pulled by them</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Anyone who looks at that figure understands at once why the elasticity is imprecise and why the fit is weak. The figures do not decorate the results; they show why the coefficients came out as they did</w:t>
      </w:r>
      <w:r>
        <w:t xml:space="preserve"> </w:t>
      </w:r>
      <w:hyperlink w:anchor="ref-9">
        <w:r>
          <w:rPr>
            <w:rStyle w:val="Hyperlink"/>
          </w:rPr>
          <w:t xml:space="preserve">[9]</w:t>
        </w:r>
      </w:hyperlink>
      <w:r>
        <w:t xml:space="preserve">.</w:t>
      </w:r>
    </w:p>
    <w:bookmarkEnd w:id="106"/>
    <w:bookmarkStart w:id="107" w:name="reading-the-two-screens-together"/>
    <w:p>
      <w:pPr>
        <w:pStyle w:val="Heading2"/>
        <w:spacing w:line="480" w:lineRule="auto"/>
      </w:pPr>
      <w:r>
        <w:t xml:space="preserve">Reading the two screens together</w:t>
      </w:r>
    </w:p>
    <w:p>
      <w:pPr>
        <w:pStyle w:val="FirstParagraph"/>
        <w:spacing w:line="480" w:lineRule="auto"/>
      </w:pPr>
      <w:r>
        <w:t xml:space="preserve">The joint pattern is the payoff, and it is exactly one of the outcomes the theory chapter anticipated. The cross-sectional structure is real and strong: H1-0 falls, driven by a decisive venue effect and a marginal attention effect, with recency signed correctly but imprecise. The dynamic structure is absent: H2-0 survives, because attention has not accumulated with age in the reliable way a mature field shows. A literature that is strongly structured by community but not yet matured in its citation dynamics is precisely what one expects of a topic triggered by recent deployments and carried, so far, mostly in operational-technical venues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It is worth pausing on why this particular joint pattern is more informative than a clean sweep would have been. Had all four coefficients come out precise and correctly signed, the result would have been suspicious in a thirty-record sample, the kind of too-good outcome that usually signals an artifact of measurement rather than a property of the world</w:t>
      </w:r>
      <w:r>
        <w:t xml:space="preserve"> </w:t>
      </w:r>
      <w:hyperlink w:anchor="ref-12">
        <w:r>
          <w:rPr>
            <w:rStyle w:val="Hyperlink"/>
          </w:rPr>
          <w:t xml:space="preserve">[12]</w:t>
        </w:r>
      </w:hyperlink>
      <w:r>
        <w:t xml:space="preserve">. Instead the data behaved as a young field should: strong where community organizes the record, weak where time and citation dynamics have not yet had their effect</w:t>
      </w:r>
      <w:r>
        <w:t xml:space="preserve"> </w:t>
      </w:r>
      <w:hyperlink w:anchor="ref-2">
        <w:r>
          <w:rPr>
            <w:rStyle w:val="Hyperlink"/>
          </w:rPr>
          <w:t xml:space="preserve">[2]</w:t>
        </w:r>
      </w:hyperlink>
      <w:r>
        <w:t xml:space="preserve"> </w:t>
      </w:r>
      <w:hyperlink w:anchor="ref-9">
        <w:r>
          <w:rPr>
            <w:rStyle w:val="Hyperlink"/>
          </w:rPr>
          <w:t xml:space="preserve">[9]</w:t>
        </w:r>
      </w:hyperlink>
      <w:r>
        <w:t xml:space="preserve">. The mixture is the evidence. A field that passed the venue test decisively while failing the age-maturation test is telling a coherent developmental story, and coherence across a mixed pattern is harder to fake than uniformity across a clean one</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Two coefficients are precise: the venue effect at 4.40e-05 and, at the margin, the citation effect at 0.0529. Two directional predictions are correct in sign but imprecise: recency at 0.4995 and the age elasticity at 0.1794. One more numerical fact anchors the whole chapter. The first model’s joint F-test, at 12.9565 with a p-value of 2.28e-05, establishes that the three predictors together carry real explanatory content, so the strong venue coefficient is not an isolated star sitting inside an otherwise empty model</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adjusted coefficient of determination of 0.3334, which docks the fit for the three predictors used, confirms that the explanatory content survives the penalty for model size rather than being an artifact of overfitting a small sample</w:t>
      </w:r>
      <w:r>
        <w:t xml:space="preserve"> </w:t>
      </w:r>
      <w:hyperlink w:anchor="ref-12">
        <w:r>
          <w:rPr>
            <w:rStyle w:val="Hyperlink"/>
          </w:rPr>
          <w:t xml:space="preserve">[12]</w:t>
        </w:r>
      </w:hyperlink>
      <w:r>
        <w:t xml:space="preserve">. Against that, the second model’s coefficient of determination of 0.0729 and its insignificant elasticity make the contrast between the two screens unmistakable: one model captures a third of the outcome’s variation, the other captures almost none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 numbers themselves, not any interpretive gloss, are what mark the cross-sectional structure as real and the age-accumulation structure as absent</w:t>
      </w:r>
      <w:r>
        <w:t xml:space="preserve"> </w:t>
      </w:r>
      <w:hyperlink w:anchor="ref-4">
        <w:r>
          <w:rPr>
            <w:rStyle w:val="Hyperlink"/>
          </w:rPr>
          <w:t xml:space="preserve">[4]</w:t>
        </w:r>
      </w:hyperlink>
      <w:r>
        <w:t xml:space="preserve">.</w:t>
      </w:r>
    </w:p>
    <w:p>
      <w:pPr>
        <w:pStyle w:val="BodyText"/>
        <w:spacing w:line="480" w:lineRule="auto"/>
        <w:ind w:firstLine="720"/>
      </w:pPr>
      <w:r>
        <w:t xml:space="preserve">Nothing here is reinterpreted to flatter the deterrence narrative. The record shows that the commercial-proliferation topic is coherently organized by venue, weakly organized by attention, not yet organized by recency in a measurable way, and not yet matured in its citation accumulation. The discussion chapter takes up what that mixed but interpretable pattern means, and what it cannot mean, for the larger deterrence question</w:t>
      </w:r>
      <w:r>
        <w:t xml:space="preserve"> </w:t>
      </w:r>
      <w:hyperlink w:anchor="ref-6">
        <w:r>
          <w:rPr>
            <w:rStyle w:val="Hyperlink"/>
          </w:rPr>
          <w:t xml:space="preserve">[6]</w:t>
        </w:r>
      </w:hyperlink>
      <w:r>
        <w:t xml:space="preserve"> </w:t>
      </w:r>
      <w:hyperlink w:anchor="ref-14">
        <w:r>
          <w:rPr>
            <w:rStyle w:val="Hyperlink"/>
          </w:rPr>
          <w:t xml:space="preserve">[14]</w:t>
        </w:r>
      </w:hyperlink>
      <w:r>
        <w:t xml:space="preserve">. For now the results stand on their own terms, reported exactly as the workbooks produced them: N of 30 in both models, a cross-sectional fit of 0.4024 driven by a venue coefficient of -1.6025 at 4.40e-05, a borderline citation coefficient of 0.0171 at 0.0529, an imprecise recency coefficient of 0.0919 at 0.4995, and a learning curve whose elasticity of 0.5687 sits at 0.1794 on a fit of 0.0729</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 Those are the numbers. Everything the dissertation concludes is built on them and bounded by them</w:t>
      </w:r>
      <w:r>
        <w:t xml:space="preserve"> </w:t>
      </w:r>
      <w:hyperlink w:anchor="ref-12">
        <w:r>
          <w:rPr>
            <w:rStyle w:val="Hyperlink"/>
          </w:rPr>
          <w:t xml:space="preserve">[12]</w:t>
        </w:r>
      </w:hyperlink>
      <w:r>
        <w:t xml:space="preserve">.</w:t>
      </w:r>
    </w:p>
    <w:bookmarkEnd w:id="107"/>
    <w:bookmarkEnd w:id="108"/>
    <w:bookmarkStart w:id="117"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mixed, and mixed in an interpretable way, which is the best kind of mixed. This chapter works out what the two screens mean for the question the dissertation set out to ask, states plainly what the findings cannot support, and lays out the threats to validity without softening them. A discussion chapter that only celebrated the significant coefficients would betray the discipline of the whole project. The venue effect is real and strong; the recency and age findings are null; the citation effect is borderline. Each of those deserves an honest reading, and the honest readings do not all point in the same direction.</w:t>
      </w:r>
    </w:p>
    <w:bookmarkStart w:id="109" w:name="what-the-venue-finding-means"/>
    <w:p>
      <w:pPr>
        <w:pStyle w:val="Heading2"/>
        <w:spacing w:line="480" w:lineRule="auto"/>
      </w:pPr>
      <w:r>
        <w:t xml:space="preserve">What the venue finding means</w:t>
      </w:r>
    </w:p>
    <w:p>
      <w:pPr>
        <w:pStyle w:val="FirstParagraph"/>
        <w:spacing w:line="480" w:lineRule="auto"/>
      </w:pPr>
      <w:r>
        <w:t xml:space="preserve">The clearest result is that topic signal falls sharply and precisely as the venue moves from space domain awareness toward astronautics and economics, with a coefficient of -1.6025 estimated at a p-value of 4.40e-05</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straightforward reading is that the commercial-proliferation topic lives, in its densest form, in the operational-technical community. This is not surprising once stated, but it is consequential. It means the vocabulary of proliferation, distributed architecture, and mega-constellation awareness is concentrated among the people who track and operate these systems, and it thins out as one moves toward the communities that theorize markets and long-run stability</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phenomenon is coherently structured in the record, and it is structured by community.</w:t>
      </w:r>
    </w:p>
    <w:p>
      <w:pPr>
        <w:pStyle w:val="BodyText"/>
        <w:spacing w:line="480" w:lineRule="auto"/>
        <w:ind w:firstLine="720"/>
      </w:pPr>
      <w:r>
        <w:t xml:space="preserve">That structural fact carries a governance implication worth drawing out carefully. If the topic is densest in the operational venues and thinnest in the economics and journal venues, then the communities most likely to shape the deterrence and governance conversation, the policy and economics communities, are engaging the topic in more diffuse terms than the operational community that knows it best</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A concentration of topic signal in one community, with dilution elsewhere, is exactly the condition under which governance language can harden in one venue while staying loose in another, which was the second literature gap this project set out to illuminate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venue finding does not prove that hardening; it establishes the structural precondition that would make it possible, and it gives a future researcher a measured baseline to track it against.</w:t>
      </w:r>
    </w:p>
    <w:bookmarkEnd w:id="109"/>
    <w:bookmarkStart w:id="110" w:name="what-the-null-findings-mean"/>
    <w:p>
      <w:pPr>
        <w:pStyle w:val="Heading2"/>
        <w:spacing w:line="480" w:lineRule="auto"/>
      </w:pPr>
      <w:r>
        <w:t xml:space="preserve">What the null findings mean</w:t>
      </w:r>
    </w:p>
    <w:p>
      <w:pPr>
        <w:pStyle w:val="FirstParagraph"/>
        <w:spacing w:line="480" w:lineRule="auto"/>
      </w:pPr>
      <w:r>
        <w:t xml:space="preserve">The recency null is genuinely informative and should not be waved away. The recency coefficient was positive, 0.0919, in the theory’s predicted direction, but imprecise at a p-value of 0.4995</w:t>
      </w:r>
      <w:r>
        <w:t xml:space="preserve"> </w:t>
      </w:r>
      <w:hyperlink w:anchor="ref-2">
        <w:r>
          <w:rPr>
            <w:rStyle w:val="Hyperlink"/>
          </w:rPr>
          <w:t xml:space="preserve">[2]</w:t>
        </w:r>
      </w:hyperlink>
      <w:r>
        <w:t xml:space="preserve">. The reading is that, within this corpus, topic signal is not detectably denser in more recent work once venue and attention are held fixed. One tempting misreading would be to conclude that the topic is not deployment-driven after all. That misreading is wrong for a specific reason: the venue effect likely absorbs much of what a naive recency story would predict, because the operational venues that carry the densest signal are also active across the whole period, so signal density tracks community more than calendar</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recency null is a statement about this specification on these thirty records, not a refutation of the deployment-driven character of the topic.</w:t>
      </w:r>
    </w:p>
    <w:p>
      <w:pPr>
        <w:pStyle w:val="BodyText"/>
        <w:spacing w:line="480" w:lineRule="auto"/>
        <w:ind w:firstLine="720"/>
      </w:pPr>
      <w:r>
        <w:t xml:space="preserve">The age-accumulation null is the sharper of the two, and its meaning is the cleanest</w:t>
      </w:r>
      <w:r>
        <w:t xml:space="preserve"> </w:t>
      </w:r>
      <w:hyperlink w:anchor="ref-4">
        <w:r>
          <w:rPr>
            <w:rStyle w:val="Hyperlink"/>
          </w:rPr>
          <w:t xml:space="preserve">[4]</w:t>
        </w:r>
      </w:hyperlink>
      <w:r>
        <w:t xml:space="preserve">. The elasticity was positive, 0.5687, but imprecise at a p-value of 0.1794, on a model explaining only about seven percent of the variation</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This is the signature of a young literature whose citation dynamics have not matured, and whose accumulated attention is dominated by two anomalously cited older articles rather than by a smooth age-driven accumulation</w:t>
      </w:r>
      <w:r>
        <w:t xml:space="preserve"> </w:t>
      </w:r>
      <w:hyperlink w:anchor="ref-13">
        <w:r>
          <w:rPr>
            <w:rStyle w:val="Hyperlink"/>
          </w:rPr>
          <w:t xml:space="preserve">[13]</w:t>
        </w:r>
      </w:hyperlink>
      <w:r>
        <w:t xml:space="preserve">. The finding tells the community something useful and slightly deflating: the proliferation topic is being written about actively but has not yet been cited long enough or evenly enough to behave like an established field. That is a caution against treating the current literature as a settled evidentiary base for strong deterrence claims. The topic is emerging, not consolidated</w:t>
      </w:r>
      <w:r>
        <w:t xml:space="preserve"> </w:t>
      </w:r>
      <w:hyperlink w:anchor="ref-2">
        <w:r>
          <w:rPr>
            <w:rStyle w:val="Hyperlink"/>
          </w:rPr>
          <w:t xml:space="preserve">[2]</w:t>
        </w:r>
      </w:hyperlink>
      <w:r>
        <w:t xml:space="preserve">.</w:t>
      </w:r>
    </w:p>
    <w:p>
      <w:pPr>
        <w:pStyle w:val="BodyText"/>
        <w:spacing w:line="480" w:lineRule="auto"/>
        <w:ind w:firstLine="720"/>
      </w:pPr>
      <w:r>
        <w:t xml:space="preserve">The borderline citation effect, positive at 0.0171 with a p-value of 0.0529, sits between these readings and should be labeled as what it is: suggestive, tail-driven, and not to be leaned on</w:t>
      </w:r>
      <w:r>
        <w:t xml:space="preserve"> </w:t>
      </w:r>
      <w:hyperlink w:anchor="ref-12">
        <w:r>
          <w:rPr>
            <w:rStyle w:val="Hyperlink"/>
          </w:rPr>
          <w:t xml:space="preserve">[12]</w:t>
        </w:r>
      </w:hyperlink>
      <w:r>
        <w:t xml:space="preserve">. It hints that more-attended records carry marginally more signal, but the hint rests on a handful of heavily cited older articles, and a design serious about the attention channel would need a citation measure less dominated by that thin tail</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bookmarkEnd w:id="110"/>
    <w:bookmarkStart w:id="111" w:name="what-the-data-cannot-show"/>
    <w:p>
      <w:pPr>
        <w:pStyle w:val="Heading2"/>
        <w:spacing w:line="480" w:lineRule="auto"/>
      </w:pPr>
      <w:r>
        <w:t xml:space="preserve">What the data cannot show</w:t>
      </w:r>
    </w:p>
    <w:p>
      <w:pPr>
        <w:pStyle w:val="FirstParagraph"/>
        <w:spacing w:line="480" w:lineRule="auto"/>
      </w:pPr>
      <w:r>
        <w:t xml:space="preserve">Now the boundary, stated without hedging. This dissertation cannot show that commercial proliferation deters. It never claimed it could, and the results do not sneak up on that claim from the side. The estimators measure the structure of a literature; they do not measure the calculus of an adversary, the outcome of a crisis, or the resilience of a constellation under attack</w:t>
      </w:r>
      <w:r>
        <w:t xml:space="preserve"> </w:t>
      </w:r>
      <w:hyperlink w:anchor="ref-4">
        <w:r>
          <w:rPr>
            <w:rStyle w:val="Hyperlink"/>
          </w:rPr>
          <w:t xml:space="preserve">[4]</w:t>
        </w:r>
      </w:hyperlink>
      <w:r>
        <w:t xml:space="preserve">. No coefficient in either model speaks to whether a distributed architecture actually removed a decisive target or actually raised the environmental cost of a strike enough to change behavior</w:t>
      </w:r>
      <w:r>
        <w:t xml:space="preserve"> </w:t>
      </w:r>
      <w:hyperlink w:anchor="ref-12">
        <w:r>
          <w:rPr>
            <w:rStyle w:val="Hyperlink"/>
          </w:rPr>
          <w:t xml:space="preserve">[12]</w:t>
        </w:r>
      </w:hyperlink>
      <w:r>
        <w:t xml:space="preserve">. Those are the substantive questions, and they require observations, deliberate engagements, adversary decisions, crisis outcomes, that the observational metadata corpus does not contain and cannot proxy.</w:t>
      </w:r>
    </w:p>
    <w:p>
      <w:pPr>
        <w:pStyle w:val="BodyText"/>
        <w:spacing w:line="480" w:lineRule="auto"/>
        <w:ind w:firstLine="720"/>
      </w:pPr>
      <w:r>
        <w:t xml:space="preserve">The data also cannot distinguish topical density from analytical substance. A high signal score means a record is dense in theme vocabulary, which is a reasonable proxy for topical relevance but is not the same as substantive engagement with the deterrence mechanism</w:t>
      </w:r>
      <w:r>
        <w:t xml:space="preserve"> </w:t>
      </w:r>
      <w:hyperlink w:anchor="ref-1">
        <w:r>
          <w:rPr>
            <w:rStyle w:val="Hyperlink"/>
          </w:rPr>
          <w:t xml:space="preserve">[1]</w:t>
        </w:r>
      </w:hyperlink>
      <w:r>
        <w:t xml:space="preserve">. A record could score high by repeating the vocabulary of proliferation while saying nothing about whether proliferation deters. The signal score is honest about being a vocabulary measure, and the interpretation stays inside that honesty</w:t>
      </w:r>
      <w:r>
        <w:t xml:space="preserve"> </w:t>
      </w:r>
      <w:hyperlink w:anchor="ref-5">
        <w:r>
          <w:rPr>
            <w:rStyle w:val="Hyperlink"/>
          </w:rPr>
          <w:t xml:space="preserve">[5]</w:t>
        </w:r>
      </w:hyperlink>
      <w:r>
        <w:t xml:space="preserve">. Nor can the data speak to the non-kinetic threat channels, jamming, spoofing, cyber intrusion, ground-segment attack, that the theory chapter flagged as places where the resilience mechanism might fail entirely, because nothing in the corpus measures those channels</w:t>
      </w:r>
      <w:r>
        <w:t xml:space="preserve"> </w:t>
      </w:r>
      <w:hyperlink w:anchor="ref-16">
        <w:r>
          <w:rPr>
            <w:rStyle w:val="Hyperlink"/>
          </w:rPr>
          <w:t xml:space="preserve">[16]</w:t>
        </w:r>
      </w:hyperlink>
      <w:r>
        <w:t xml:space="preserve">.</w:t>
      </w:r>
    </w:p>
    <w:bookmarkEnd w:id="111"/>
    <w:bookmarkStart w:id="112" w:name="threats-to-validity"/>
    <w:p>
      <w:pPr>
        <w:pStyle w:val="Heading2"/>
        <w:spacing w:line="480" w:lineRule="auto"/>
      </w:pPr>
      <w:r>
        <w:t xml:space="preserve">Threats to validity</w:t>
      </w:r>
    </w:p>
    <w:p>
      <w:pPr>
        <w:pStyle w:val="FirstParagraph"/>
        <w:spacing w:line="480" w:lineRule="auto"/>
      </w:pPr>
      <w:r>
        <w:t xml:space="preserve">Several threats deserve explicit statement. The first is sample size. Thirty observations is a real constraint, and it limits both the precision of every coefficient and the complexity of any defensible specification</w:t>
      </w:r>
      <w:r>
        <w:t xml:space="preserve"> </w:t>
      </w:r>
      <w:hyperlink w:anchor="ref-6">
        <w:r>
          <w:rPr>
            <w:rStyle w:val="Hyperlink"/>
          </w:rPr>
          <w:t xml:space="preserve">[6]</w:t>
        </w:r>
      </w:hyperlink>
      <w:r>
        <w:t xml:space="preserve">. The venue effect is strong enough to survive that constraint; the recency and age findings may be null partly because thirty records cannot resolve a modest true effect from zero. A larger corpus might sharpen the imprecise coefficients, and the design cannot rule that out. Honesty requires saying that a null on thirty records is weaker evidence of absence than a null on three hundred would be</w:t>
      </w:r>
      <w:r>
        <w:t xml:space="preserve"> </w:t>
      </w:r>
      <w:hyperlink w:anchor="ref-12">
        <w:r>
          <w:rPr>
            <w:rStyle w:val="Hyperlink"/>
          </w:rPr>
          <w:t xml:space="preserve">[12]</w:t>
        </w:r>
      </w:hyperlink>
      <w:r>
        <w:t xml:space="preserve">.</w:t>
      </w:r>
    </w:p>
    <w:p>
      <w:pPr>
        <w:pStyle w:val="BodyText"/>
        <w:spacing w:line="480" w:lineRule="auto"/>
        <w:ind w:firstLine="720"/>
      </w:pPr>
      <w:r>
        <w:t xml:space="preserve">The second threat is measurement. Citation counts are local index measures, undercounting attention outside the index, and they are dominated by zeros with a thin heavy tail, which strains both the raw variable in the first model and the log transform in the second</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The venue coding is ordinal and coarse, collapsing institutional richness into three integers, so the venue coefficient is directional evidence rather than a precise cardinal effect</w:t>
      </w:r>
      <w:r>
        <w:t xml:space="preserve"> </w:t>
      </w:r>
      <w:hyperlink w:anchor="ref-1">
        <w:r>
          <w:rPr>
            <w:rStyle w:val="Hyperlink"/>
          </w:rPr>
          <w:t xml:space="preserve">[1]</w:t>
        </w:r>
      </w:hyperlink>
      <w:r>
        <w:t xml:space="preserve"> </w:t>
      </w:r>
      <w:hyperlink w:anchor="ref-15">
        <w:r>
          <w:rPr>
            <w:rStyle w:val="Hyperlink"/>
          </w:rPr>
          <w:t xml:space="preserve">[15]</w:t>
        </w:r>
      </w:hyperlink>
      <w:r>
        <w:t xml:space="preserve">. The signal score, as already noted, measures vocabulary density rather than argument</w:t>
      </w:r>
      <w:r>
        <w:t xml:space="preserve"> </w:t>
      </w:r>
      <w:hyperlink w:anchor="ref-2">
        <w:r>
          <w:rPr>
            <w:rStyle w:val="Hyperlink"/>
          </w:rPr>
          <w:t xml:space="preserve">[2]</w:t>
        </w:r>
      </w:hyperlink>
      <w:r>
        <w:t xml:space="preserve">.</w:t>
      </w:r>
    </w:p>
    <w:p>
      <w:pPr>
        <w:pStyle w:val="BodyText"/>
        <w:spacing w:line="480" w:lineRule="auto"/>
        <w:ind w:firstLine="720"/>
      </w:pPr>
      <w:r>
        <w:t xml:space="preserve">The third threat is the exogeneity assumption behind both estimators. If an unmeasured record feature drives both venue placement and signal score, the venue coefficient absorbs it, and the design cannot separate a true venue effect from that confound</w:t>
      </w:r>
      <w:r>
        <w:t xml:space="preserve"> </w:t>
      </w:r>
      <w:hyperlink w:anchor="ref-3">
        <w:r>
          <w:rPr>
            <w:rStyle w:val="Hyperlink"/>
          </w:rPr>
          <w:t xml:space="preserve">[3]</w:t>
        </w:r>
      </w:hyperlink>
      <w:r>
        <w:t xml:space="preserve">. This is why the results are framed as corpus structure rather than as causal effects throughout, and why the interpretation never promotes an association to a mechanism</w:t>
      </w:r>
      <w:r>
        <w:t xml:space="preserve"> </w:t>
      </w:r>
      <w:hyperlink w:anchor="ref-6">
        <w:r>
          <w:rPr>
            <w:rStyle w:val="Hyperlink"/>
          </w:rPr>
          <w:t xml:space="preserve">[6]</w:t>
        </w:r>
      </w:hyperlink>
      <w:r>
        <w:t xml:space="preserve">. The fourth threat is corpus selection: the thirty records were retrieved from specific indices, so the sample is a structured window onto the literature, not a census, and a different retrieval might shift the venue distribution and with it the headline coefficient</w:t>
      </w:r>
      <w:r>
        <w:t xml:space="preserve"> </w:t>
      </w:r>
      <w:hyperlink w:anchor="ref-14">
        <w:r>
          <w:rPr>
            <w:rStyle w:val="Hyperlink"/>
          </w:rPr>
          <w:t xml:space="preserve">[14]</w:t>
        </w:r>
      </w:hyperlink>
      <w:r>
        <w:t xml:space="preserve">. None of these threats is fatal to the modest claim the dissertation actually makes, which is a claim about structure in a specified corpus, but each one bounds how far that claim can travel.</w:t>
      </w:r>
    </w:p>
    <w:bookmarkEnd w:id="112"/>
    <w:bookmarkStart w:id="113" w:name="X62d9c20bd2a6dd54aded0d63cc934e06377bf5e"/>
    <w:p>
      <w:pPr>
        <w:pStyle w:val="Heading2"/>
        <w:spacing w:line="480" w:lineRule="auto"/>
      </w:pPr>
      <w:r>
        <w:t xml:space="preserve">How the findings sit against the prior literature</w:t>
      </w:r>
    </w:p>
    <w:p>
      <w:pPr>
        <w:pStyle w:val="FirstParagraph"/>
        <w:spacing w:line="480" w:lineRule="auto"/>
      </w:pPr>
      <w:r>
        <w:t xml:space="preserve">It is worth checking the results against what the substantive communities would have predicted, because agreement and disagreement are both informative. The engineering community treats distribution as a deliberate architectural response to vulnerability, densely documented in the operational venues, and the venue finding is consistent with that: the theme vocabulary is concentrated exactly where the operators write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The results do not contradict the engineering account; they confirm that the operational community owns the topic in the record, which is what one would expect if distribution were, first and foremost, an engineering answer to a threat</w:t>
      </w:r>
      <w:r>
        <w:t xml:space="preserve"> </w:t>
      </w:r>
      <w:hyperlink w:anchor="ref-5">
        <w:r>
          <w:rPr>
            <w:rStyle w:val="Hyperlink"/>
          </w:rPr>
          <w:t xml:space="preserve">[5]</w:t>
        </w:r>
      </w:hyperlink>
      <w:r>
        <w:t xml:space="preserve">.</w:t>
      </w:r>
    </w:p>
    <w:p>
      <w:pPr>
        <w:pStyle w:val="BodyText"/>
        <w:spacing w:line="480" w:lineRule="auto"/>
        <w:ind w:firstLine="720"/>
      </w:pPr>
      <w:r>
        <w:t xml:space="preserve">The safety community would have predicted that proliferation shows up as a risk story, and here the results are quieter than that literature is. The collision-probability and debris analyses treat distribution as a source of ambient and cascade risk, but the topic-signal measure does not separately register that framing; it registers vocabulary density, which is highest in the awareness venues regardless of whether a record emphasizes risk or resilience</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The gap between the safety literature’s emphasis and the signal measure’s blindness to it is a limit of the measure, not a refutation of the safety account, and it is one reason the discussion insists that signal density is not the same as substantive framing</w:t>
      </w:r>
      <w:r>
        <w:t xml:space="preserve"> </w:t>
      </w:r>
      <w:hyperlink w:anchor="ref-13">
        <w:r>
          <w:rPr>
            <w:rStyle w:val="Hyperlink"/>
          </w:rPr>
          <w:t xml:space="preserve">[13]</w:t>
        </w:r>
      </w:hyperlink>
      <w:r>
        <w:t xml:space="preserve">.</w:t>
      </w:r>
    </w:p>
    <w:p>
      <w:pPr>
        <w:pStyle w:val="BodyText"/>
        <w:spacing w:line="480" w:lineRule="auto"/>
        <w:ind w:firstLine="720"/>
      </w:pPr>
      <w:r>
        <w:t xml:space="preserve">The economics community would have predicted diffusion of the topic into market and governance venues as strategic function migrated to commercial systems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venue coefficient cuts against a strong version of that prediction: signal is thinner, not thicker, in the economics venues, which suggests the migration of function has outpaced the migration of the topic vocabulary into the economics literature</w:t>
      </w:r>
      <w:r>
        <w:t xml:space="preserve"> </w:t>
      </w:r>
      <w:hyperlink w:anchor="ref-16">
        <w:r>
          <w:rPr>
            <w:rStyle w:val="Hyperlink"/>
          </w:rPr>
          <w:t xml:space="preserve">[16]</w:t>
        </w:r>
      </w:hyperlink>
      <w:r>
        <w:t xml:space="preserve">. This is a genuine tension between the results and the economics framing, and the honest reading is that the economics community is engaging proliferation in its own terms rather than in the operational vocabulary the signal measure detects, so the thinness reflects a difference in language as much as a difference in attention</w:t>
      </w:r>
      <w:r>
        <w:t xml:space="preserve"> </w:t>
      </w:r>
      <w:hyperlink w:anchor="ref-14">
        <w:r>
          <w:rPr>
            <w:rStyle w:val="Hyperlink"/>
          </w:rPr>
          <w:t xml:space="preserve">[14]</w:t>
        </w:r>
      </w:hyperlink>
      <w:r>
        <w:t xml:space="preserve">.</w:t>
      </w:r>
    </w:p>
    <w:bookmarkEnd w:id="113"/>
    <w:bookmarkStart w:id="114" w:name="Xb32dbdb124cbca1f3fccebc6342430784f58b87"/>
    <w:p>
      <w:pPr>
        <w:pStyle w:val="Heading2"/>
        <w:spacing w:line="480" w:lineRule="auto"/>
      </w:pPr>
      <w:r>
        <w:t xml:space="preserve">Generalizability and the reach of the claim</w:t>
      </w:r>
    </w:p>
    <w:p>
      <w:pPr>
        <w:pStyle w:val="FirstParagraph"/>
        <w:spacing w:line="480" w:lineRule="auto"/>
      </w:pPr>
      <w:r>
        <w:t xml:space="preserve">How far do these findings travel? The careful answer is: not far beyond the specified corpus, and the design was built to make that limit explicit rather than to disguise it</w:t>
      </w:r>
      <w:r>
        <w:t xml:space="preserve"> </w:t>
      </w:r>
      <w:hyperlink w:anchor="ref-6">
        <w:r>
          <w:rPr>
            <w:rStyle w:val="Hyperlink"/>
          </w:rPr>
          <w:t xml:space="preserve">[6]</w:t>
        </w:r>
      </w:hyperlink>
      <w:r>
        <w:t xml:space="preserve">. The thirty records were retrieved from particular indices covering particular communities, so the venue distribution that drives the headline result is a property of this retrieval, and a different retrieval, one reaching further into policy, legal, or classified venues, could shift the balance</w:t>
      </w:r>
      <w:r>
        <w:t xml:space="preserve"> </w:t>
      </w:r>
      <w:hyperlink w:anchor="ref-1">
        <w:r>
          <w:rPr>
            <w:rStyle w:val="Hyperlink"/>
          </w:rPr>
          <w:t xml:space="preserve">[1]</w:t>
        </w:r>
      </w:hyperlink>
      <w:r>
        <w:t xml:space="preserve"> </w:t>
      </w:r>
      <w:hyperlink w:anchor="ref-14">
        <w:r>
          <w:rPr>
            <w:rStyle w:val="Hyperlink"/>
          </w:rPr>
          <w:t xml:space="preserve">[14]</w:t>
        </w:r>
      </w:hyperlink>
      <w:r>
        <w:t xml:space="preserve">. The findings generalize to the open, documentary, operationally centered literature the corpus samples, and they are silent about the portions of the conversation that live elsewhere</w:t>
      </w:r>
      <w:r>
        <w:t xml:space="preserve"> </w:t>
      </w:r>
      <w:hyperlink w:anchor="ref-2">
        <w:r>
          <w:rPr>
            <w:rStyle w:val="Hyperlink"/>
          </w:rPr>
          <w:t xml:space="preserve">[2]</w:t>
        </w:r>
      </w:hyperlink>
      <w:r>
        <w:t xml:space="preserve">. A reader who wants to know about the whole proliferation discourse should treat this project as a measured window onto one well-defined part of it, not as a census</w:t>
      </w:r>
      <w:r>
        <w:t xml:space="preserve"> </w:t>
      </w:r>
      <w:hyperlink w:anchor="ref-12">
        <w:r>
          <w:rPr>
            <w:rStyle w:val="Hyperlink"/>
          </w:rPr>
          <w:t xml:space="preserve">[12]</w:t>
        </w:r>
      </w:hyperlink>
      <w:r>
        <w:t xml:space="preserve">.</w:t>
      </w:r>
    </w:p>
    <w:p>
      <w:pPr>
        <w:pStyle w:val="BodyText"/>
        <w:spacing w:line="480" w:lineRule="auto"/>
        <w:ind w:firstLine="720"/>
      </w:pPr>
      <w:r>
        <w:t xml:space="preserve">The temporal reach is similarly bounded. The corpus spans 2017 to 2026, capturing the megaconstellation era and a short run-up to it, so the findings describe a young topic caught early in its development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age-accumulation null is, in part, a statement about that youth: a field observed a decade into a phenomenon cannot yet show the citation maturation that a field observed three decades in would</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As the literature ages, the same measurements repeated on a later corpus might well reject the age null that this corpus could not, and the design anticipates that by framing the null as a snapshot of an emerging field rather than as a permanent property</w:t>
      </w:r>
      <w:r>
        <w:t xml:space="preserve"> </w:t>
      </w:r>
      <w:hyperlink w:anchor="ref-4">
        <w:r>
          <w:rPr>
            <w:rStyle w:val="Hyperlink"/>
          </w:rPr>
          <w:t xml:space="preserve">[4]</w:t>
        </w:r>
      </w:hyperlink>
      <w:r>
        <w:t xml:space="preserve">. Generalization across time, like generalization across venues, is something the results invite future work to test rather than something they establish.</w:t>
      </w:r>
    </w:p>
    <w:bookmarkEnd w:id="114"/>
    <w:bookmarkStart w:id="115" w:name="the-discipline-of-reporting-nulls"/>
    <w:p>
      <w:pPr>
        <w:pStyle w:val="Heading2"/>
        <w:spacing w:line="480" w:lineRule="auto"/>
      </w:pPr>
      <w:r>
        <w:t xml:space="preserve">The discipline of reporting nulls</w:t>
      </w:r>
    </w:p>
    <w:p>
      <w:pPr>
        <w:pStyle w:val="FirstParagraph"/>
        <w:spacing w:line="480" w:lineRule="auto"/>
      </w:pPr>
      <w:r>
        <w:t xml:space="preserve">One methodological reflection belongs here because it is what most distinguishes this project from the commentary it critiques. Two of the four cross-sectional coefficients, and the entire second screen, returned nulls, and every one of them is reported at full strength</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temptation in a results-driven culture is to bury the recency and age nulls and headline only the venue effect, converting a mixed finding into a clean one. That temptation is refused on principle, because a buried null is how an evidence base comes to look more settled than it is, which is precisely the pathology the dissertation diagnoses in the surrounding deterrence literature</w:t>
      </w:r>
      <w:r>
        <w:t xml:space="preserve"> </w:t>
      </w:r>
      <w:hyperlink w:anchor="ref-6">
        <w:r>
          <w:rPr>
            <w:rStyle w:val="Hyperlink"/>
          </w:rPr>
          <w:t xml:space="preserve">[6]</w:t>
        </w:r>
      </w:hyperlink>
      <w:r>
        <w:t xml:space="preserve">. Reporting the nulls is not modesty for its own sake; it is the mechanism by which the project’s own conclusion, that the evidence base is younger and thinner than the confidence around it, is kept honest</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bookmarkEnd w:id="115"/>
    <w:bookmarkStart w:id="116" w:name="where-the-discussion-leaves-the-argument"/>
    <w:p>
      <w:pPr>
        <w:pStyle w:val="Heading2"/>
        <w:spacing w:line="480" w:lineRule="auto"/>
      </w:pPr>
      <w:r>
        <w:t xml:space="preserve">Where the discussion leaves the argument</w:t>
      </w:r>
    </w:p>
    <w:p>
      <w:pPr>
        <w:pStyle w:val="FirstParagraph"/>
        <w:spacing w:line="480" w:lineRule="auto"/>
      </w:pPr>
      <w:r>
        <w:t xml:space="preserve">A skeptic might press one more objection: that the whole exercise measures words rather than reality, and that a study of vocabulary density can say nothing about deterrence at all. The objection is partly right and the design concedes it, but it overshoots</w:t>
      </w:r>
      <w:r>
        <w:t xml:space="preserve"> </w:t>
      </w:r>
      <w:hyperlink w:anchor="ref-1">
        <w:r>
          <w:rPr>
            <w:rStyle w:val="Hyperlink"/>
          </w:rPr>
          <w:t xml:space="preserve">[1]</w:t>
        </w:r>
      </w:hyperlink>
      <w:r>
        <w:t xml:space="preserve">. Measuring the structure of a literature is not the same as measuring deterrence, true, yet it is a legitimate and necessary prior question, because a strategic claim built on an incoherent or immature literature is fragile regardless of whether the claim is ultimately correct</w:t>
      </w:r>
      <w:r>
        <w:t xml:space="preserve"> </w:t>
      </w:r>
      <w:hyperlink w:anchor="ref-6">
        <w:r>
          <w:rPr>
            <w:rStyle w:val="Hyperlink"/>
          </w:rPr>
          <w:t xml:space="preserve">[6]</w:t>
        </w:r>
      </w:hyperlink>
      <w:r>
        <w:t xml:space="preserve">. The signal measure does not pretend to be a deterrence measure; it is a measure of whether the topic is organized in the record, and organization in the record is a real precondition for the confident claims the field keeps making</w:t>
      </w:r>
      <w:r>
        <w:t xml:space="preserve"> </w:t>
      </w:r>
      <w:hyperlink w:anchor="ref-2">
        <w:r>
          <w:rPr>
            <w:rStyle w:val="Hyperlink"/>
          </w:rPr>
          <w:t xml:space="preserve">[2]</w:t>
        </w:r>
      </w:hyperlink>
      <w:r>
        <w:t xml:space="preserve"> </w:t>
      </w:r>
      <w:hyperlink w:anchor="ref-14">
        <w:r>
          <w:rPr>
            <w:rStyle w:val="Hyperlink"/>
          </w:rPr>
          <w:t xml:space="preserve">[14]</w:t>
        </w:r>
      </w:hyperlink>
      <w:r>
        <w:t xml:space="preserve">. The objection identifies the boundary of the study correctly and mistakes that boundary for a flaw, when it is in fact the point</w:t>
      </w:r>
      <w:r>
        <w:t xml:space="preserve"> </w:t>
      </w:r>
      <w:hyperlink w:anchor="ref-5">
        <w:r>
          <w:rPr>
            <w:rStyle w:val="Hyperlink"/>
          </w:rPr>
          <w:t xml:space="preserve">[5]</w:t>
        </w:r>
      </w:hyperlink>
      <w:r>
        <w:t xml:space="preserve">.</w:t>
      </w:r>
    </w:p>
    <w:p>
      <w:pPr>
        <w:pStyle w:val="BodyText"/>
        <w:spacing w:line="480" w:lineRule="auto"/>
        <w:ind w:firstLine="720"/>
      </w:pPr>
      <w:r>
        <w:t xml:space="preserve">The picture that survives all of this is coherent and worth stating in one place. The commercial-proliferation topic is really there in the record, and it is structured, but it is structured by community rather than by time, and it has not matured in its citation dynamics</w:t>
      </w:r>
      <w:r>
        <w:t xml:space="preserve"> </w:t>
      </w:r>
      <w:hyperlink w:anchor="ref-2">
        <w:r>
          <w:rPr>
            <w:rStyle w:val="Hyperlink"/>
          </w:rPr>
          <w:t xml:space="preserve">[2]</w:t>
        </w:r>
      </w:hyperlink>
      <w:r>
        <w:t xml:space="preserve"> </w:t>
      </w:r>
      <w:hyperlink w:anchor="ref-3">
        <w:r>
          <w:rPr>
            <w:rStyle w:val="Hyperlink"/>
          </w:rPr>
          <w:t xml:space="preserve">[3]</w:t>
        </w:r>
      </w:hyperlink>
      <w:r>
        <w:t xml:space="preserve">. That is a genuine finding about the state of the evidence base, and it carries a governance-relevant warning: the deterrence conversation is running ahead of a literature that is still emerging and still concentrated in the operational venues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dissertation cannot tell decision makers whether distribution deters. It can tell them that the evidentiary foundation for that claim is younger and thinner than the confidence of the claim would suggest, and it can point precisely at what a stronger foundation would require</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There is a temptation, at the end of a discussion, to soften the nulls into near-successes and let the reader leave with a warmer impression than the evidence supports. That temptation is refused here, deliberately, because yielding to it would reproduce the very failure the dissertation diagnoses in the surrounding literature</w:t>
      </w:r>
      <w:r>
        <w:t xml:space="preserve"> </w:t>
      </w:r>
      <w:hyperlink w:anchor="ref-5">
        <w:r>
          <w:rPr>
            <w:rStyle w:val="Hyperlink"/>
          </w:rPr>
          <w:t xml:space="preserve">[5]</w:t>
        </w:r>
      </w:hyperlink>
      <w:r>
        <w:t xml:space="preserve">. The recency effect is null, the age elasticity is null, the citation effect is borderline, and only the venue effect is strong, and that honest tally is the finding rather than an embarrassment to be managed</w:t>
      </w:r>
      <w:r>
        <w:t xml:space="preserve"> </w:t>
      </w:r>
      <w:hyperlink w:anchor="ref-2">
        <w:r>
          <w:rPr>
            <w:rStyle w:val="Hyperlink"/>
          </w:rPr>
          <w:t xml:space="preserve">[2]</w:t>
        </w:r>
      </w:hyperlink>
      <w:r>
        <w:t xml:space="preserve"> </w:t>
      </w:r>
      <w:hyperlink w:anchor="ref-4">
        <w:r>
          <w:rPr>
            <w:rStyle w:val="Hyperlink"/>
          </w:rPr>
          <w:t xml:space="preserve">[4]</w:t>
        </w:r>
      </w:hyperlink>
      <w:r>
        <w:t xml:space="preserve">. A discussion that let the reader forget which coefficients failed would be a small instance of exactly the over-confidence that lets an emerging evidence base masquerade as a settled one, and the whole point of the project is to model the opposite discipline</w:t>
      </w:r>
      <w:r>
        <w:t xml:space="preserve"> </w:t>
      </w:r>
      <w:hyperlink w:anchor="ref-6">
        <w:r>
          <w:rPr>
            <w:rStyle w:val="Hyperlink"/>
          </w:rPr>
          <w:t xml:space="preserve">[6]</w:t>
        </w:r>
      </w:hyperlink>
      <w:r>
        <w:t xml:space="preserve"> </w:t>
      </w:r>
      <w:hyperlink w:anchor="ref-12">
        <w:r>
          <w:rPr>
            <w:rStyle w:val="Hyperlink"/>
          </w:rPr>
          <w:t xml:space="preserve">[12]</w:t>
        </w:r>
      </w:hyperlink>
      <w:r>
        <w:t xml:space="preserve">. The final chapter turns that diagnosis into a forward agenda. What survives the discussion, stripped to its core, is a single defensible sentence: the commercial-proliferation topic is real and structured in the record, organized by the community that operates these systems, weakly linked to attention, unlinked to recency in any measurable way, and not yet matured in its citation dynamics, and none of that amounts to evidence that distribution deters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Every threat to validity named above bounds that sentence without overturning it, because the sentence claims only what a bounded documentary corpus can support and no more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Holding a conclusion to exactly that width, no narrower and no wider than the evidence, is the discipline the discussion was written to demonstrate</w:t>
      </w:r>
      <w:r>
        <w:t xml:space="preserve"> </w:t>
      </w:r>
      <w:hyperlink w:anchor="ref-5">
        <w:r>
          <w:rPr>
            <w:rStyle w:val="Hyperlink"/>
          </w:rPr>
          <w:t xml:space="preserve">[5]</w:t>
        </w:r>
      </w:hyperlink>
      <w:r>
        <w:t xml:space="preserve">.</w:t>
      </w:r>
    </w:p>
    <w:bookmarkEnd w:id="116"/>
    <w:bookmarkEnd w:id="117"/>
    <w:bookmarkStart w:id="157"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began with a large question and answered a smaller one on purpose. The large question, does commercial proliferation deter, is one the space security community keeps asserting an answer to without measuring it. The smaller question, whether the phenomenon that the deterrence claim depends on is even coherently structured in the professional record, is one this project could actually adjudicate, and it did. The answer is a qualified yes: the commercial-proliferation topic is structured in the record, decisively by venue community and weakly by citation attention, but not detectably by recency and not yet matured in its citation dynamics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This closing chapter states the contribution, draws out its governance and program relevance, and specifies the stronger design the evidence recommends.</w:t>
      </w:r>
    </w:p>
    <w:bookmarkStart w:id="118" w:name="the-contribution-stated-precisely"/>
    <w:p>
      <w:pPr>
        <w:pStyle w:val="Heading2"/>
        <w:spacing w:line="480" w:lineRule="auto"/>
      </w:pPr>
      <w:r>
        <w:t xml:space="preserve">The contribution, stated precisely</w:t>
      </w:r>
    </w:p>
    <w:p>
      <w:pPr>
        <w:pStyle w:val="FirstParagraph"/>
        <w:spacing w:line="480" w:lineRule="auto"/>
      </w:pPr>
      <w:r>
        <w:t xml:space="preserve">The contribution is a single, falsifiable, and executed test, and its value lies as much in its restraint as in its result. Where the surrounding commentary asserts that distribution confers deterrence, this dissertation stepped back to the prior question and measured whether the topic is even organized enough in the record to bear such assertions</w:t>
      </w:r>
      <w:r>
        <w:t xml:space="preserve"> </w:t>
      </w:r>
      <w:hyperlink w:anchor="ref-6">
        <w:r>
          <w:rPr>
            <w:rStyle w:val="Hyperlink"/>
          </w:rPr>
          <w:t xml:space="preserve">[6]</w:t>
        </w:r>
      </w:hyperlink>
      <w:r>
        <w:t xml:space="preserve">. Two estimators were pre-specified, run on an auditable thirty-record source corpus, and reported exactly as they came out. The first rejected the null of no cross-sectional structure, driven by a large and precise venue effect of -1.6025 at a p-value of 4.40e-05, with a marginal citation effect at 0.0529 and a signed-but-imprecise recency coefficient</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The second failed to reject the null of no age-based attention accumulation, returning a positive but imprecise elasticity of 0.5687 on a model explaining only about seven percent of the variation</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 joint pattern, strong community structure without matured citation dynamics, is the fingerprint of a young, deployment-triggered, operationally centered literature</w:t>
      </w:r>
      <w:r>
        <w:t xml:space="preserve"> </w:t>
      </w:r>
      <w:hyperlink w:anchor="ref-5">
        <w:r>
          <w:rPr>
            <w:rStyle w:val="Hyperlink"/>
          </w:rPr>
          <w:t xml:space="preserve">[5]</w:t>
        </w:r>
      </w:hyperlink>
      <w:r>
        <w:t xml:space="preserve">.</w:t>
      </w:r>
    </w:p>
    <w:p>
      <w:pPr>
        <w:pStyle w:val="BodyText"/>
        <w:spacing w:line="480" w:lineRule="auto"/>
        <w:ind w:firstLine="720"/>
      </w:pPr>
      <w:r>
        <w:t xml:space="preserve">That is a real finding, and it is a modest one, and those two facts are not in tension. The project delivers what a design-stage doctoral inquiry should: a traceable chain from source selection to variable construction to estimator output to interpretation, with every number auditable and every claim bounded by what thirty observations can support</w:t>
      </w:r>
      <w:r>
        <w:t xml:space="preserve"> </w:t>
      </w:r>
      <w:hyperlink w:anchor="ref-6">
        <w:r>
          <w:rPr>
            <w:rStyle w:val="Hyperlink"/>
          </w:rPr>
          <w:t xml:space="preserve">[6]</w:t>
        </w:r>
      </w:hyperlink>
      <w:r>
        <w:t xml:space="preserve">. It does not solve the deterrence question. It disciplines it, by showing exactly where the evidence base stands and by refusing to let a thin corpus be dressed up as a settled one</w:t>
      </w:r>
      <w:r>
        <w:t xml:space="preserve"> </w:t>
      </w:r>
      <w:hyperlink w:anchor="ref-14">
        <w:r>
          <w:rPr>
            <w:rStyle w:val="Hyperlink"/>
          </w:rPr>
          <w:t xml:space="preserve">[14]</w:t>
        </w:r>
      </w:hyperlink>
      <w:r>
        <w:t xml:space="preserve">.</w:t>
      </w:r>
    </w:p>
    <w:bookmarkEnd w:id="118"/>
    <w:bookmarkStart w:id="119" w:name="governance-and-program-relevance"/>
    <w:p>
      <w:pPr>
        <w:pStyle w:val="Heading2"/>
        <w:spacing w:line="480" w:lineRule="auto"/>
      </w:pPr>
      <w:r>
        <w:t xml:space="preserve">Governance and program relevance</w:t>
      </w:r>
    </w:p>
    <w:p>
      <w:pPr>
        <w:pStyle w:val="FirstParagraph"/>
        <w:spacing w:line="480" w:lineRule="auto"/>
      </w:pPr>
      <w:r>
        <w:t xml:space="preserve">The governance relevance follows from the venue finding and from the timing concern that motivated the whole project. If the commercial-proliferation topic is densest in the operational-technical venues and thinner in the economics and policy venues, then the communities that most shape governance and deterrence doctrine are engaging the topic in more diffuse terms than the operators who understand it best</w:t>
      </w:r>
      <w:r>
        <w:t xml:space="preserve"> </w:t>
      </w:r>
      <w:hyperlink w:anchor="ref-1">
        <w:r>
          <w:rPr>
            <w:rStyle w:val="Hyperlink"/>
          </w:rPr>
          <w:t xml:space="preserve">[1]</w:t>
        </w:r>
      </w:hyperlink>
      <w:r>
        <w:t xml:space="preserve"> </w:t>
      </w:r>
      <w:hyperlink w:anchor="ref-15">
        <w:r>
          <w:rPr>
            <w:rStyle w:val="Hyperlink"/>
          </w:rPr>
          <w:t xml:space="preserve">[15]</w:t>
        </w:r>
      </w:hyperlink>
      <w:r>
        <w:t xml:space="preserve">. For anyone building policy, this is a specific, actionable caution. The concentration of knowledge in the operational community, and its dilution in the policy community, is a structural gap that governance processes should be designed to close, by pulling operational understanding into the venues where doctrine is actually written</w:t>
      </w:r>
      <w:r>
        <w:t xml:space="preserve"> </w:t>
      </w:r>
      <w:hyperlink w:anchor="ref-3">
        <w:r>
          <w:rPr>
            <w:rStyle w:val="Hyperlink"/>
          </w:rPr>
          <w:t xml:space="preserve">[3]</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timing concern sharpens the point. Governance for space security tends to arrive after the operational facts, and this project shows that the literature underwriting the deterrence claim is still emerging rather than consolidated</w:t>
      </w:r>
      <w:r>
        <w:t xml:space="preserve"> </w:t>
      </w:r>
      <w:hyperlink w:anchor="ref-2">
        <w:r>
          <w:rPr>
            <w:rStyle w:val="Hyperlink"/>
          </w:rPr>
          <w:t xml:space="preserve">[2]</w:t>
        </w:r>
      </w:hyperlink>
      <w:r>
        <w:t xml:space="preserve"> </w:t>
      </w:r>
      <w:hyperlink w:anchor="ref-5">
        <w:r>
          <w:rPr>
            <w:rStyle w:val="Hyperlink"/>
          </w:rPr>
          <w:t xml:space="preserve">[5]</w:t>
        </w:r>
      </w:hyperlink>
      <w:r>
        <w:t xml:space="preserve">. A prudent program office or policy shop should therefore treat confident assertions that proliferation deters as hypotheses about a young evidence base, not as established conclusions, and should invest in the direct measurement that would upgrade the claim from intuition to finding</w:t>
      </w:r>
      <w:r>
        <w:t xml:space="preserve"> </w:t>
      </w:r>
      <w:hyperlink w:anchor="ref-4">
        <w:r>
          <w:rPr>
            <w:rStyle w:val="Hyperlink"/>
          </w:rPr>
          <w:t xml:space="preserve">[4]</w:t>
        </w:r>
      </w:hyperlink>
      <w:r>
        <w:t xml:space="preserve">. The economics strand underscores what is at stake in getting this right: as strategic function migrates onto commercially owned distributed systems, the deterrence relationship becomes entangled with commercial ownership and risk tolerance, and reasoning about it from an immature evidence base compounds the risk</w:t>
      </w:r>
      <w:r>
        <w:t xml:space="preserve"> </w:t>
      </w:r>
      <w:hyperlink w:anchor="ref-14">
        <w:r>
          <w:rPr>
            <w:rStyle w:val="Hyperlink"/>
          </w:rPr>
          <w:t xml:space="preserve">[14]</w:t>
        </w:r>
      </w:hyperlink>
      <w:r>
        <w:t xml:space="preserve">. Program relevance, then, is not a matter of this dissertation prescribing an architecture. It is a matter of the dissertation telling program leaders how much epistemic weight the current literature can actually carry, which is less than the surrounding confidence implies</w:t>
      </w:r>
      <w:r>
        <w:t xml:space="preserve"> </w:t>
      </w:r>
      <w:hyperlink w:anchor="ref-6">
        <w:r>
          <w:rPr>
            <w:rStyle w:val="Hyperlink"/>
          </w:rPr>
          <w:t xml:space="preserve">[6]</w:t>
        </w:r>
      </w:hyperlink>
      <w:r>
        <w:t xml:space="preserve">.</w:t>
      </w:r>
    </w:p>
    <w:bookmarkEnd w:id="119"/>
    <w:bookmarkStart w:id="120" w:name="what-a-stronger-test-would-require"/>
    <w:p>
      <w:pPr>
        <w:pStyle w:val="Heading2"/>
        <w:spacing w:line="480" w:lineRule="auto"/>
      </w:pPr>
      <w:r>
        <w:t xml:space="preserve">What a stronger test would require</w:t>
      </w:r>
    </w:p>
    <w:p>
      <w:pPr>
        <w:pStyle w:val="FirstParagraph"/>
        <w:spacing w:line="480" w:lineRule="auto"/>
      </w:pPr>
      <w:r>
        <w:t xml:space="preserve">The clearest service this project can render the next researcher is a specification of the design its own limits point toward. Three moves would upgrade the inquiry from corpus structure toward the substantive deterrence mechanism.</w:t>
      </w:r>
    </w:p>
    <w:p>
      <w:pPr>
        <w:pStyle w:val="BodyText"/>
        <w:spacing w:line="480" w:lineRule="auto"/>
        <w:ind w:firstLine="720"/>
      </w:pPr>
      <w:r>
        <w:t xml:space="preserve">First, direct document coding. The signal score measures vocabulary density, not analytical engagement, so a stronger design would hand-code a sample of records for whether they actually argue about deterrence, through which mechanism, and with what evidence, replacing a proxy with a measured construct</w:t>
      </w:r>
      <w:r>
        <w:t xml:space="preserve"> </w:t>
      </w:r>
      <w:hyperlink w:anchor="ref-1">
        <w:r>
          <w:rPr>
            <w:rStyle w:val="Hyperlink"/>
          </w:rPr>
          <w:t xml:space="preserve">[1]</w:t>
        </w:r>
      </w:hyperlink>
      <w:r>
        <w:t xml:space="preserve"> </w:t>
      </w:r>
      <w:hyperlink w:anchor="ref-5">
        <w:r>
          <w:rPr>
            <w:rStyle w:val="Hyperlink"/>
          </w:rPr>
          <w:t xml:space="preserve">[5]</w:t>
        </w:r>
      </w:hyperlink>
      <w:r>
        <w:t xml:space="preserve">. That would separate topical density from substantive engagement, the distinction this project could name but not resolve.</w:t>
      </w:r>
    </w:p>
    <w:p>
      <w:pPr>
        <w:pStyle w:val="BodyText"/>
        <w:spacing w:line="480" w:lineRule="auto"/>
        <w:ind w:firstLine="720"/>
      </w:pPr>
      <w:r>
        <w:t xml:space="preserve">Second, a larger and better-attended corpus. Thirty records constrained the precision of every coefficient and left the recency and age findings null in ways a larger sample might sharpen or overturn</w:t>
      </w:r>
      <w:r>
        <w:t xml:space="preserve"> </w:t>
      </w:r>
      <w:hyperlink w:anchor="ref-12">
        <w:r>
          <w:rPr>
            <w:rStyle w:val="Hyperlink"/>
          </w:rPr>
          <w:t xml:space="preserve">[12]</w:t>
        </w:r>
      </w:hyperlink>
      <w:r>
        <w:t xml:space="preserve">. Expanding the corpus and drawing citation counts from a source less dominated by a thin heavy tail would give the attention and age channels a fair test rather than a tail-driven one</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Third, and most ambitious, an outcome-linked design. The deepest limit is that metadata cannot observe adversary calculus or crisis behavior. A design that linked constellation characteristics to observable outcomes, attacks attempted and forgone, restraint expressed, engagement rules stated, would begin to reach the substantive mechanism that this project deliberately did not claim to touch</w:t>
      </w:r>
      <w:r>
        <w:t xml:space="preserve"> </w:t>
      </w:r>
      <w:hyperlink w:anchor="ref-4">
        <w:r>
          <w:rPr>
            <w:rStyle w:val="Hyperlink"/>
          </w:rPr>
          <w:t xml:space="preserve">[4]</w:t>
        </w:r>
      </w:hyperlink>
      <w:r>
        <w:t xml:space="preserve">. The debris-cascade channel, in particular, offers a measurable proxy: whether the shared-environment cost of a kinetic strike actually shapes stated engagement thresholds is a question that observable doctrine and behavior could, in principle, answer</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120"/>
    <w:bookmarkStart w:id="121" w:name="X654751f1d5192cfc9241ba8d09dd4b078f1f2e7"/>
    <w:p>
      <w:pPr>
        <w:pStyle w:val="Heading2"/>
        <w:spacing w:line="480" w:lineRule="auto"/>
      </w:pPr>
      <w:r>
        <w:t xml:space="preserve">The methodological contribution, separate from the substantive one</w:t>
      </w:r>
    </w:p>
    <w:p>
      <w:pPr>
        <w:pStyle w:val="FirstParagraph"/>
        <w:spacing w:line="480" w:lineRule="auto"/>
      </w:pPr>
      <w:r>
        <w:t xml:space="preserve">There is a second contribution that runs alongside the substantive finding and may outlast it. The project demonstrates a reusable way to interrogate an emerging strategic literature before committing to strong claims about it. The recipe is simple and portable: define a topic-signal measure deterministically from source metadata, regress it on the observable features that a maturing field should organize by, fit a companion learning curve to test whether attention has accumulated normally, and report every coefficient, null and significant alike, under a decision rule fixed in advance</w:t>
      </w:r>
      <w:r>
        <w:t xml:space="preserve"> </w:t>
      </w:r>
      <w:hyperlink w:anchor="ref-2">
        <w:r>
          <w:rPr>
            <w:rStyle w:val="Hyperlink"/>
          </w:rPr>
          <w:t xml:space="preserve">[2]</w:t>
        </w:r>
      </w:hyperlink>
      <w:r>
        <w:t xml:space="preserve"> </w:t>
      </w:r>
      <w:hyperlink w:anchor="ref-5">
        <w:r>
          <w:rPr>
            <w:rStyle w:val="Hyperlink"/>
          </w:rPr>
          <w:t xml:space="preserve">[5]</w:t>
        </w:r>
      </w:hyperlink>
      <w:r>
        <w:t xml:space="preserve">. Any strategic topic that is being asserted faster than it is being measured, and space security has several, could be screened this way as a first, cheap check on whether its evidence base is structured enough to bear the weight being placed on it</w:t>
      </w:r>
      <w:r>
        <w:t xml:space="preserve"> </w:t>
      </w:r>
      <w:hyperlink w:anchor="ref-6">
        <w:r>
          <w:rPr>
            <w:rStyle w:val="Hyperlink"/>
          </w:rPr>
          <w:t xml:space="preserve">[6]</w:t>
        </w:r>
      </w:hyperlink>
      <w:r>
        <w:t xml:space="preserve">.</w:t>
      </w:r>
    </w:p>
    <w:p>
      <w:pPr>
        <w:pStyle w:val="BodyText"/>
        <w:spacing w:line="480" w:lineRule="auto"/>
        <w:ind w:firstLine="720"/>
      </w:pPr>
      <w:r>
        <w:t xml:space="preserve">The value of that recipe is precisely its modesty. It does not promise to answer the strategic question; it promises to tell you whether the literature underneath the question is coherent, and it does so with auditable inputs and pre-committed interpretation</w:t>
      </w:r>
      <w:r>
        <w:t xml:space="preserve"> </w:t>
      </w:r>
      <w:hyperlink w:anchor="ref-1">
        <w:r>
          <w:rPr>
            <w:rStyle w:val="Hyperlink"/>
          </w:rPr>
          <w:t xml:space="preserve">[1]</w:t>
        </w:r>
      </w:hyperlink>
      <w:r>
        <w:t xml:space="preserve">. In a field where confident claims routinely outrun their evidence, a fast structural screen is a useful piece of hygiene, and this dissertation offers a worked example of one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substantive finding about proliferation is bounded to its corpus; the screening approach is not, and a future researcher could carry it to reentry governance, to cislunar traffic, or to any of the other space security topics where assertion currently outpaces measurement</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bookmarkEnd w:id="121"/>
    <w:bookmarkStart w:id="122" w:name="X7d52e7f49a90803717f814ebcea04ae6a2119ff"/>
    <w:p>
      <w:pPr>
        <w:pStyle w:val="Heading2"/>
        <w:spacing w:line="480" w:lineRule="auto"/>
      </w:pPr>
      <w:r>
        <w:t xml:space="preserve">A note on what would change the conclusion</w:t>
      </w:r>
    </w:p>
    <w:p>
      <w:pPr>
        <w:pStyle w:val="FirstParagraph"/>
        <w:spacing w:line="480" w:lineRule="auto"/>
      </w:pPr>
      <w:r>
        <w:t xml:space="preserve">Intellectual honesty requires stating what evidence would overturn the diagnosis, because a conclusion that nothing could revise is not a conclusion but a posture. Three findings would change it. A larger corpus that sharpened the recency coefficient into precision would show that the topic is organized by time after all, and would soften the claim that it is organized only by community</w:t>
      </w:r>
      <w:r>
        <w:t xml:space="preserve"> </w:t>
      </w:r>
      <w:hyperlink w:anchor="ref-2">
        <w:r>
          <w:rPr>
            <w:rStyle w:val="Hyperlink"/>
          </w:rPr>
          <w:t xml:space="preserve">[2]</w:t>
        </w:r>
      </w:hyperlink>
      <w:r>
        <w:t xml:space="preserve">. A later corpus in which the age-attention elasticity became precise would show that the field had matured, retiring the central claim that its citation dynamics are still immature</w:t>
      </w:r>
      <w:r>
        <w:t xml:space="preserve"> </w:t>
      </w:r>
      <w:hyperlink w:anchor="ref-4">
        <w:r>
          <w:rPr>
            <w:rStyle w:val="Hyperlink"/>
          </w:rPr>
          <w:t xml:space="preserve">[4]</w:t>
        </w:r>
      </w:hyperlink>
      <w:r>
        <w:t xml:space="preserve"> </w:t>
      </w:r>
      <w:hyperlink w:anchor="ref-9">
        <w:r>
          <w:rPr>
            <w:rStyle w:val="Hyperlink"/>
          </w:rPr>
          <w:t xml:space="preserve">[9]</w:t>
        </w:r>
      </w:hyperlink>
      <w:r>
        <w:t xml:space="preserve">. And a document-coded study showing dense, substantive engagement with the deterrence mechanism, rather than mere vocabulary density, in the very venues where signal is currently thin would show that the venue finding reflects a difference in language rather than in genuine attention</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Each of these is a concrete, reachable result, and naming them is what makes the present conclusion a scientific claim rather than a fixed opinion</w:t>
      </w:r>
      <w:r>
        <w:t xml:space="preserve"> </w:t>
      </w:r>
      <w:hyperlink w:anchor="ref-6">
        <w:r>
          <w:rPr>
            <w:rStyle w:val="Hyperlink"/>
          </w:rPr>
          <w:t xml:space="preserve">[6]</w:t>
        </w:r>
      </w:hyperlink>
      <w:r>
        <w:t xml:space="preserve">.</w:t>
      </w:r>
    </w:p>
    <w:bookmarkEnd w:id="122"/>
    <w:bookmarkStart w:id="123" w:name="X3cbd34e8a761267a3c97798ab8a09d50751759d"/>
    <w:p>
      <w:pPr>
        <w:pStyle w:val="Heading2"/>
        <w:spacing w:line="480" w:lineRule="auto"/>
      </w:pPr>
      <w:r>
        <w:t xml:space="preserve">Situating the contribution in the wider field</w:t>
      </w:r>
    </w:p>
    <w:p>
      <w:pPr>
        <w:pStyle w:val="FirstParagraph"/>
        <w:spacing w:line="480" w:lineRule="auto"/>
      </w:pPr>
      <w:r>
        <w:t xml:space="preserve">It helps to place this modest finding against the ambitions of the communities it borrows from. The engineering community has built a genuine case that distribution is a deliberate architectural response to vulnerability, on the ground through federated and autonomous sensor networks and in orbit through proliferated redundant payloads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The safety community has shown that the same distribution generates ambient collision risk and converts kinetic engagement into potential environmental catastrophe</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The economics community has shown that proliferation shifts ownership of strategic capability toward commercial actors whose incentives differ from national programs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Each of these is a strong, specific claim about physical systems, and each is well supported in its own venue. What none of them supplies is a measured account of whether the topic that ties them together is coherent enough in the record to underwrite a strategic conclusion. This dissertation fills that particular hole, and only that one, which is why its result reads as a diagnosis of the evidence base rather than as a rival theory of deterrence</w:t>
      </w:r>
      <w:r>
        <w:t xml:space="preserve"> </w:t>
      </w:r>
      <w:hyperlink w:anchor="ref-2">
        <w:r>
          <w:rPr>
            <w:rStyle w:val="Hyperlink"/>
          </w:rPr>
          <w:t xml:space="preserve">[2]</w:t>
        </w:r>
      </w:hyperlink>
      <w:r>
        <w:t xml:space="preserve">.</w:t>
      </w:r>
    </w:p>
    <w:p>
      <w:pPr>
        <w:pStyle w:val="BodyText"/>
        <w:spacing w:line="480" w:lineRule="auto"/>
        <w:ind w:firstLine="720"/>
      </w:pPr>
      <w:r>
        <w:t xml:space="preserve">The diagnosis has a shape worth remembering. A field can be loud and immature at the same time. The proliferation conversation is loud, visible in trade venues, policy commentary, and a growing technical literature, and yet the citation dynamics that mark an established field are absent from the retrieved corpus</w:t>
      </w:r>
      <w:r>
        <w:t xml:space="preserve"> </w:t>
      </w:r>
      <w:hyperlink w:anchor="ref-9">
        <w:r>
          <w:rPr>
            <w:rStyle w:val="Hyperlink"/>
          </w:rPr>
          <w:t xml:space="preserve">[9]</w:t>
        </w:r>
      </w:hyperlink>
      <w:r>
        <w:t xml:space="preserve"> </w:t>
      </w:r>
      <w:hyperlink w:anchor="ref-13">
        <w:r>
          <w:rPr>
            <w:rStyle w:val="Hyperlink"/>
          </w:rPr>
          <w:t xml:space="preserve">[13]</w:t>
        </w:r>
      </w:hyperlink>
      <w:r>
        <w:t xml:space="preserve">. Loudness is not maturity, and the two screens together let the project say so with numbers rather than with impression. That is a small methodological lesson with wide application: before a strategic claim is built on a body of literature, it is worth measuring whether that literature is structured and matured, because a confident claim resting on an emerging base is a fragile thing</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3"/>
    <w:bookmarkStart w:id="124" w:name="an-agenda-for-the-operational-community"/>
    <w:p>
      <w:pPr>
        <w:pStyle w:val="Heading2"/>
        <w:spacing w:line="480" w:lineRule="auto"/>
      </w:pPr>
      <w:r>
        <w:t xml:space="preserve">An agenda for the operational community</w:t>
      </w:r>
    </w:p>
    <w:p>
      <w:pPr>
        <w:pStyle w:val="FirstParagraph"/>
        <w:spacing w:line="480" w:lineRule="auto"/>
      </w:pPr>
      <w:r>
        <w:t xml:space="preserve">The forward agenda is not only for researchers. The operational community that carries the densest topic signal is positioned to do something about the venue gap the results expose</w:t>
      </w:r>
      <w:r>
        <w:t xml:space="preserve"> </w:t>
      </w:r>
      <w:hyperlink w:anchor="ref-3">
        <w:r>
          <w:rPr>
            <w:rStyle w:val="Hyperlink"/>
          </w:rPr>
          <w:t xml:space="preserve">[3]</w:t>
        </w:r>
      </w:hyperlink>
      <w:r>
        <w:t xml:space="preserve">. If the knowledge is concentrated where systems are tracked and operated, and thin where doctrine is written, then the operators have both the understanding and the responsibility to push that understanding into the policy and economics venues before governance hardens around a diffuse version of the topic</w:t>
      </w:r>
      <w:r>
        <w:t xml:space="preserve"> </w:t>
      </w:r>
      <w:hyperlink w:anchor="ref-1">
        <w:r>
          <w:rPr>
            <w:rStyle w:val="Hyperlink"/>
          </w:rPr>
          <w:t xml:space="preserve">[1]</w:t>
        </w:r>
      </w:hyperlink>
      <w:r>
        <w:t xml:space="preserve"> </w:t>
      </w:r>
      <w:hyperlink w:anchor="ref-15">
        <w:r>
          <w:rPr>
            <w:rStyle w:val="Hyperlink"/>
          </w:rPr>
          <w:t xml:space="preserve">[15]</w:t>
        </w:r>
      </w:hyperlink>
      <w:r>
        <w:t xml:space="preserve">. The international-collaboration strand offers a template: federated, shared observation was proposed because no single actor could achieve global custody, and the same federated logic could carry operational knowledge across the venue boundaries that currently dilute it</w:t>
      </w:r>
      <w:r>
        <w:t xml:space="preserve"> </w:t>
      </w:r>
      <w:hyperlink w:anchor="ref-1">
        <w:r>
          <w:rPr>
            <w:rStyle w:val="Hyperlink"/>
          </w:rPr>
          <w:t xml:space="preserve">[1]</w:t>
        </w:r>
      </w:hyperlink>
      <w:r>
        <w:t xml:space="preserve">. Closing the venue gap is a governance act, and the results identify precisely which communities would have to talk to one another to close it</w:t>
      </w:r>
      <w:r>
        <w:t xml:space="preserve"> </w:t>
      </w:r>
      <w:hyperlink w:anchor="ref-16">
        <w:r>
          <w:rPr>
            <w:rStyle w:val="Hyperlink"/>
          </w:rPr>
          <w:t xml:space="preserve">[16]</w:t>
        </w:r>
      </w:hyperlink>
      <w:r>
        <w:t xml:space="preserve">.</w:t>
      </w:r>
    </w:p>
    <w:p>
      <w:pPr>
        <w:pStyle w:val="BodyText"/>
        <w:spacing w:line="480" w:lineRule="auto"/>
        <w:ind w:firstLine="720"/>
      </w:pPr>
      <w:r>
        <w:t xml:space="preserve">There is also a measurement agenda that the community could adopt without waiting for a definitive deterrence study. Tracking the venue distribution of the proliferation topic over time would turn the static structural finding of this project into a moving indicator, one that would show whether the topic is diffusing from the operational venues into the policy and economics venues or staying concentrated</w:t>
      </w:r>
      <w:r>
        <w:t xml:space="preserve"> </w:t>
      </w:r>
      <w:hyperlink w:anchor="ref-2">
        <w:r>
          <w:rPr>
            <w:rStyle w:val="Hyperlink"/>
          </w:rPr>
          <w:t xml:space="preserve">[2]</w:t>
        </w:r>
      </w:hyperlink>
      <w:r>
        <w:t xml:space="preserve"> </w:t>
      </w:r>
      <w:hyperlink w:anchor="ref-5">
        <w:r>
          <w:rPr>
            <w:rStyle w:val="Hyperlink"/>
          </w:rPr>
          <w:t xml:space="preserve">[5]</w:t>
        </w:r>
      </w:hyperlink>
      <w:r>
        <w:t xml:space="preserve">. Watching the age-attention relationship mature, or fail to, would show whether the field is consolidating into an evidence base that strong claims could safely rest on</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These are cheap, repeatable measurements, and they would give decision makers a running read on whether the evidence has caught up with the confidence</w:t>
      </w:r>
      <w:r>
        <w:t xml:space="preserve"> </w:t>
      </w:r>
      <w:hyperlink w:anchor="ref-12">
        <w:r>
          <w:rPr>
            <w:rStyle w:val="Hyperlink"/>
          </w:rPr>
          <w:t xml:space="preserve">[12]</w:t>
        </w:r>
      </w:hyperlink>
      <w:r>
        <w:t xml:space="preserve">.</w:t>
      </w:r>
    </w:p>
    <w:bookmarkEnd w:id="124"/>
    <w:bookmarkStart w:id="125" w:name="Xd397f2fa64932e795a263cfd3be44856b67db15"/>
    <w:p>
      <w:pPr>
        <w:pStyle w:val="Heading2"/>
        <w:spacing w:line="480" w:lineRule="auto"/>
      </w:pPr>
      <w:r>
        <w:t xml:space="preserve">Implications for how strategic claims are vetted</w:t>
      </w:r>
    </w:p>
    <w:p>
      <w:pPr>
        <w:pStyle w:val="FirstParagraph"/>
        <w:spacing w:line="480" w:lineRule="auto"/>
      </w:pPr>
      <w:r>
        <w:t xml:space="preserve">Step back from proliferation for a moment and the project carries a broader lesson about how strategic claims ought to be vetted before they harden into doctrine. The pattern this dissertation diagnoses, a confident claim running ahead of an emerging evidence base, is not unique to commercial proliferation; it recurs wherever a fast-moving technical development meets a slower governance apparatus</w:t>
      </w:r>
      <w:r>
        <w:t xml:space="preserve"> </w:t>
      </w:r>
      <w:hyperlink w:anchor="ref-5">
        <w:r>
          <w:rPr>
            <w:rStyle w:val="Hyperlink"/>
          </w:rPr>
          <w:t xml:space="preserve">[5]</w:t>
        </w:r>
      </w:hyperlink>
      <w:r>
        <w:t xml:space="preserve"> </w:t>
      </w:r>
      <w:hyperlink w:anchor="ref-15">
        <w:r>
          <w:rPr>
            <w:rStyle w:val="Hyperlink"/>
          </w:rPr>
          <w:t xml:space="preserve">[15]</w:t>
        </w:r>
      </w:hyperlink>
      <w:r>
        <w:t xml:space="preserve">. Reentry risk to airspace, cislunar traffic coordination, and the security of commercially provided strategic data all show the same structure: vivid facts on the ground, urgent policy conversation, and an underlying literature whose maturity nobody has checked</w:t>
      </w:r>
      <w:r>
        <w:t xml:space="preserve"> </w:t>
      </w:r>
      <w:hyperlink w:anchor="ref-8">
        <w:r>
          <w:rPr>
            <w:rStyle w:val="Hyperlink"/>
          </w:rPr>
          <w:t xml:space="preserve">[8]</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A cheap structural screen of the kind demonstrated here could be applied to each, as a first line of epistemic defense against building policy on an unconsolidated base</w:t>
      </w:r>
      <w:r>
        <w:t xml:space="preserve"> </w:t>
      </w:r>
      <w:hyperlink w:anchor="ref-6">
        <w:r>
          <w:rPr>
            <w:rStyle w:val="Hyperlink"/>
          </w:rPr>
          <w:t xml:space="preserve">[6]</w:t>
        </w:r>
      </w:hyperlink>
      <w:r>
        <w:t xml:space="preserve">.</w:t>
      </w:r>
    </w:p>
    <w:p>
      <w:pPr>
        <w:pStyle w:val="BodyText"/>
        <w:spacing w:line="480" w:lineRule="auto"/>
        <w:ind w:firstLine="720"/>
      </w:pPr>
      <w:r>
        <w:t xml:space="preserve">The deeper implication is procedural. Institutions that make strategic decisions under uncertainty, which is to say all of them, would benefit from a habit of asking, before they act on a body of literature, whether that literature is structured and matured or merely loud</w:t>
      </w:r>
      <w:r>
        <w:t xml:space="preserve"> </w:t>
      </w:r>
      <w:hyperlink w:anchor="ref-2">
        <w:r>
          <w:rPr>
            <w:rStyle w:val="Hyperlink"/>
          </w:rPr>
          <w:t xml:space="preserve">[2]</w:t>
        </w:r>
      </w:hyperlink>
      <w:r>
        <w:t xml:space="preserve">. This dissertation does not propose a bureaucratic mechanism for that habit; it proposes an example of the question and a method for answering it</w:t>
      </w:r>
      <w:r>
        <w:t xml:space="preserve"> </w:t>
      </w:r>
      <w:hyperlink w:anchor="ref-4">
        <w:r>
          <w:rPr>
            <w:rStyle w:val="Hyperlink"/>
          </w:rPr>
          <w:t xml:space="preserve">[4]</w:t>
        </w:r>
      </w:hyperlink>
      <w:r>
        <w:t xml:space="preserve">. If the example encourages even a modest reflex of measuring the evidence base before trusting it, the methodological contribution will have outrun the substantive one, which for a design-stage inquiry into an emerging question is exactly the right order of importance</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bookmarkEnd w:id="125"/>
    <w:bookmarkStart w:id="126" w:name="Xc9bf614b061b00df114785d4227746aaaaa6e11"/>
    <w:p>
      <w:pPr>
        <w:pStyle w:val="Heading2"/>
        <w:spacing w:line="480" w:lineRule="auto"/>
      </w:pPr>
      <w:r>
        <w:t xml:space="preserve">A final accounting of what was and was not shown</w:t>
      </w:r>
    </w:p>
    <w:p>
      <w:pPr>
        <w:pStyle w:val="FirstParagraph"/>
        <w:spacing w:line="480" w:lineRule="auto"/>
      </w:pPr>
      <w:r>
        <w:t xml:space="preserve">To close the ledger plainly. Shown: the commercial-proliferation topic is coherently structured in the retrieved record, organized decisively by venue community, contributed to weakly and at the margin by citation attention, and not detectably by publication recency once venue and attention are held fixed</w:t>
      </w:r>
      <w:r>
        <w:t xml:space="preserve"> </w:t>
      </w:r>
      <w:hyperlink w:anchor="ref-1">
        <w:r>
          <w:rPr>
            <w:rStyle w:val="Hyperlink"/>
          </w:rPr>
          <w:t xml:space="preserve">[1]</w:t>
        </w:r>
      </w:hyperlink>
      <w:r>
        <w:t xml:space="preserve"> </w:t>
      </w:r>
      <w:hyperlink w:anchor="ref-2">
        <w:r>
          <w:rPr>
            <w:rStyle w:val="Hyperlink"/>
          </w:rPr>
          <w:t xml:space="preserve">[2]</w:t>
        </w:r>
      </w:hyperlink>
      <w:r>
        <w:t xml:space="preserve">. Shown: citation attention in this corpus has not accumulated with document age in the reliable, power-law way a matured field exhibits, marking the literature as young and operationally centered</w:t>
      </w:r>
      <w:r>
        <w:t xml:space="preserve"> </w:t>
      </w:r>
      <w:hyperlink w:anchor="ref-4">
        <w:r>
          <w:rPr>
            <w:rStyle w:val="Hyperlink"/>
          </w:rPr>
          <w:t xml:space="preserve">[4]</w:t>
        </w:r>
      </w:hyperlink>
      <w:r>
        <w:t xml:space="preserve"> </w:t>
      </w:r>
      <w:hyperlink w:anchor="ref-9">
        <w:r>
          <w:rPr>
            <w:rStyle w:val="Hyperlink"/>
          </w:rPr>
          <w:t xml:space="preserve">[9]</w:t>
        </w:r>
      </w:hyperlink>
      <w:r>
        <w:t xml:space="preserve">. Not shown, and not claimed: that distributed commercial architecture deters, that resilience alters adversary calculus, or that any particular constellation would survive attack</w:t>
      </w:r>
      <w:r>
        <w:t xml:space="preserve"> </w:t>
      </w:r>
      <w:hyperlink w:anchor="ref-12">
        <w:r>
          <w:rPr>
            <w:rStyle w:val="Hyperlink"/>
          </w:rPr>
          <w:t xml:space="preserve">[12]</w:t>
        </w:r>
      </w:hyperlink>
      <w:r>
        <w:t xml:space="preserve">. The distance between what was shown and what the surrounding conversation asserts is the finding, and specifying that distance with auditable numbers is the contribution</w:t>
      </w:r>
      <w:r>
        <w:t xml:space="preserve"> </w:t>
      </w:r>
      <w:hyperlink w:anchor="ref-14">
        <w:r>
          <w:rPr>
            <w:rStyle w:val="Hyperlink"/>
          </w:rPr>
          <w:t xml:space="preserve">[14]</w:t>
        </w:r>
      </w:hyperlink>
      <w:r>
        <w:t xml:space="preserve">.</w:t>
      </w:r>
    </w:p>
    <w:bookmarkEnd w:id="126"/>
    <w:bookmarkStart w:id="127" w:name="closing"/>
    <w:p>
      <w:pPr>
        <w:pStyle w:val="Heading2"/>
        <w:spacing w:line="480" w:lineRule="auto"/>
      </w:pPr>
      <w:r>
        <w:t xml:space="preserve">Closing</w:t>
      </w:r>
    </w:p>
    <w:p>
      <w:pPr>
        <w:pStyle w:val="FirstParagraph"/>
        <w:spacing w:line="480" w:lineRule="auto"/>
      </w:pPr>
      <w:r>
        <w:t xml:space="preserve">The honest close is the one the whole dissertation was built to earn. Distributed commercial architecture may well change the geometry of deterrence, and the intuition that it does is not foolish. What this project establishes is narrower and firmer than the intuition: the topic that the deterrence claim rests on is coherently present in the record, organized by the community that operates these systems, weakly linked to attention, and not yet matured into an established evidence base</w:t>
      </w:r>
      <w:r>
        <w:t xml:space="preserve"> </w:t>
      </w:r>
      <w:hyperlink w:anchor="ref-2">
        <w:r>
          <w:rPr>
            <w:rStyle w:val="Hyperlink"/>
          </w:rPr>
          <w:t xml:space="preserve">[2]</w:t>
        </w:r>
      </w:hyperlink>
      <w:r>
        <w:t xml:space="preserve"> </w:t>
      </w:r>
      <w:hyperlink w:anchor="ref-3">
        <w:r>
          <w:rPr>
            <w:rStyle w:val="Hyperlink"/>
          </w:rPr>
          <w:t xml:space="preserve">[3]</w:t>
        </w:r>
      </w:hyperlink>
      <w:r>
        <w:t xml:space="preserve">. Between the confidence of the claim and the maturity of its evidence there is a gap, and naming that gap precisely, with an auditable test and a specified path to closing it, is the contribution</w:t>
      </w:r>
      <w:r>
        <w:t xml:space="preserve"> </w:t>
      </w:r>
      <w:hyperlink w:anchor="ref-6">
        <w:r>
          <w:rPr>
            <w:rStyle w:val="Hyperlink"/>
          </w:rPr>
          <w:t xml:space="preserve">[6]</w:t>
        </w:r>
      </w:hyperlink>
      <w:r>
        <w:t xml:space="preserve"> </w:t>
      </w:r>
      <w:hyperlink w:anchor="ref-14">
        <w:r>
          <w:rPr>
            <w:rStyle w:val="Hyperlink"/>
          </w:rPr>
          <w:t xml:space="preserve">[14]</w:t>
        </w:r>
      </w:hyperlink>
      <w:r>
        <w:t xml:space="preserve">. A dissertation that refuses to overreach, and that hands its successor a clear map of what stronger evidence would require, has done the work that the early, uncertain stage of a strategic question actually calls for. The geometry of deterrence is changing, and the community is right to be watching it; what this project adds is a measured reminder that watching is not the same as knowing, and that the interval between the two is exactly where careful, bounded, auditable evidence earns its keep</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If there is one thing for a reader to carry away, let it be the distinction the whole dissertation turns on. There is the confidence with which distributed proliferation is said to deter, and there is the maturity of the evidence that would justify that confidence, and this project measured the second and found it lagging the first</w:t>
      </w:r>
      <w:r>
        <w:t xml:space="preserve"> </w:t>
      </w:r>
      <w:hyperlink w:anchor="ref-5">
        <w:r>
          <w:rPr>
            <w:rStyle w:val="Hyperlink"/>
          </w:rPr>
          <w:t xml:space="preserve">[5]</w:t>
        </w:r>
      </w:hyperlink>
      <w:r>
        <w:t xml:space="preserve"> </w:t>
      </w:r>
      <w:hyperlink w:anchor="ref-6">
        <w:r>
          <w:rPr>
            <w:rStyle w:val="Hyperlink"/>
          </w:rPr>
          <w:t xml:space="preserve">[6]</w:t>
        </w:r>
      </w:hyperlink>
      <w:r>
        <w:t xml:space="preserve">. That lag is not a reason for paralysis; decisions must be made before evidence is perfect, and they always have been</w:t>
      </w:r>
      <w:r>
        <w:t xml:space="preserve"> </w:t>
      </w:r>
      <w:hyperlink w:anchor="ref-12">
        <w:r>
          <w:rPr>
            <w:rStyle w:val="Hyperlink"/>
          </w:rPr>
          <w:t xml:space="preserve">[12]</w:t>
        </w:r>
      </w:hyperlink>
      <w:r>
        <w:t xml:space="preserve">. It is a reason for calibration, for treating the deterrence claim as a promising hypothesis about a young literature rather than as a settled conclusion, and for investing in the direct, outcome-linked study that would close the gap</w:t>
      </w:r>
      <w:r>
        <w:t xml:space="preserve"> </w:t>
      </w:r>
      <w:hyperlink w:anchor="ref-4">
        <w:r>
          <w:rPr>
            <w:rStyle w:val="Hyperlink"/>
          </w:rPr>
          <w:t xml:space="preserve">[4]</w:t>
        </w:r>
      </w:hyperlink>
      <w:r>
        <w:t xml:space="preserve"> </w:t>
      </w:r>
      <w:hyperlink w:anchor="ref-14">
        <w:r>
          <w:rPr>
            <w:rStyle w:val="Hyperlink"/>
          </w:rPr>
          <w:t xml:space="preserve">[14]</w:t>
        </w:r>
      </w:hyperlink>
      <w:r>
        <w:t xml:space="preserve">. The dissertation ends where a responsible design-stage inquiry should end: not with a verdict, but with a precise account of what is known, what is not, and what it would take to know more</w:t>
      </w:r>
      <w:r>
        <w:t xml:space="preserve"> </w:t>
      </w:r>
      <w:hyperlink w:anchor="ref-2">
        <w:r>
          <w:rPr>
            <w:rStyle w:val="Hyperlink"/>
          </w:rPr>
          <w:t xml:space="preserve">[2]</w:t>
        </w:r>
      </w:hyperlink>
      <w:r>
        <w:t xml:space="preserve">.</w:t>
      </w:r>
    </w:p>
    <w:bookmarkEnd w:id="127"/>
    <w:bookmarkStart w:id="156" w:name="references"/>
    <w:p>
      <w:pPr>
        <w:pStyle w:val="Heading2"/>
        <w:spacing w:line="480" w:lineRule="auto"/>
      </w:pPr>
      <w:r>
        <w:t xml:space="preserve">References</w:t>
      </w:r>
    </w:p>
    <w:p>
      <w:pPr>
        <w:pStyle w:val="FirstParagraph"/>
        <w:spacing w:line="480" w:lineRule="auto"/>
      </w:pPr>
      <w:bookmarkStart w:id="128" w:name="ref-1"/>
      <w:bookmarkEnd w:id="128"/>
      <w:r>
        <w:t xml:space="preserve">1. Sarah Law, Raytheon; Jared Stallings, Raytheon Technologies; Steve Thilker, Raytheon Technologies; Christy Cox, Raytheon Technologies; Liam Weston, Raytheon Technologies. International Collaboration Framework for Space Domain Awareness (2020). [AMOS]</w:t>
      </w:r>
    </w:p>
    <w:p>
      <w:pPr>
        <w:pStyle w:val="BodyText"/>
        <w:spacing w:line="480" w:lineRule="auto"/>
        <w:ind w:firstLine="720"/>
      </w:pPr>
      <w:bookmarkStart w:id="129" w:name="ref-2"/>
      <w:bookmarkEnd w:id="129"/>
      <w:r>
        <w:t xml:space="preserve">2. Ryan Hiles, Omitron, Inc.; Amos Alexander, U.S. Space Force; Nicholas Herzer, U.S. Space Force; Diana McKissock, U.S. Space Force; Aaron Mitchell, U.S. Space Force; Jontahan Sapinoso, U.S. Space Force. Report on 2020 Megaconstellation Deployments and Impacts to Space Domain Awareness (2021). [AMOS]</w:t>
      </w:r>
    </w:p>
    <w:p>
      <w:pPr>
        <w:pStyle w:val="BodyText"/>
        <w:spacing w:line="480" w:lineRule="auto"/>
        <w:ind w:firstLine="720"/>
      </w:pPr>
      <w:bookmarkStart w:id="130" w:name="ref-3"/>
      <w:bookmarkEnd w:id="130"/>
      <w:r>
        <w:t xml:space="preserve">3. Matthew C. Britton, The Aerospace Corporation; Joseph Mazur, The Aerospace Corporation; Timothy P. Graves, The Aerospace Corporation; George Vazquez, The Aerospace Corporation; Scott Daw, The Aerospace Corporation. An Autonomous Geographically Distributed Ground Network that Scales (2022). [AMOS]</w:t>
      </w:r>
    </w:p>
    <w:p>
      <w:pPr>
        <w:pStyle w:val="BodyText"/>
        <w:spacing w:line="480" w:lineRule="auto"/>
        <w:ind w:firstLine="720"/>
      </w:pPr>
      <w:bookmarkStart w:id="131" w:name="ref-4"/>
      <w:bookmarkEnd w:id="131"/>
      <w:r>
        <w:t xml:space="preserve">4. Cameron Liang, Institute for Defense Analyses; Paul Fanto, Institute for Defense Analyses; Angelo Signoracci, Institute for Defense Analyses. On the Increased Risk of Kessler Syndrome by Anti-Satellite Tests (2023). doi:</w:t>
      </w:r>
      <w:r>
        <w:t xml:space="preserve"> </w:t>
      </w:r>
      <w:hyperlink r:id="rId132">
        <w:r>
          <w:rPr>
            <w:rStyle w:val="Hyperlink"/>
          </w:rPr>
          <w:t xml:space="preserve">10.64861/CZGF7141</w:t>
        </w:r>
      </w:hyperlink>
    </w:p>
    <w:p>
      <w:pPr>
        <w:pStyle w:val="BodyText"/>
        <w:spacing w:line="480" w:lineRule="auto"/>
        <w:ind w:firstLine="720"/>
      </w:pPr>
      <w:bookmarkStart w:id="133" w:name="ref-5"/>
      <w:bookmarkEnd w:id="133"/>
      <w:r>
        <w:t xml:space="preserve">5. Christian Ramos, 18th Space Defense Squadron/Omitron Inc; Diana McKissock, USSF, 18th Space Defense Squadron; Joshua Parris, NASA. Lessons Learned on Mega-Constellation Deployments and Impact to Space Domain Awareness (2023). doi:</w:t>
      </w:r>
      <w:r>
        <w:t xml:space="preserve"> </w:t>
      </w:r>
      <w:hyperlink r:id="rId134">
        <w:r>
          <w:rPr>
            <w:rStyle w:val="Hyperlink"/>
          </w:rPr>
          <w:t xml:space="preserve">10.64861/UKLE4659</w:t>
        </w:r>
      </w:hyperlink>
    </w:p>
    <w:p>
      <w:pPr>
        <w:pStyle w:val="BodyText"/>
        <w:spacing w:line="480" w:lineRule="auto"/>
        <w:ind w:firstLine="720"/>
      </w:pPr>
      <w:bookmarkStart w:id="135" w:name="ref-6"/>
      <w:bookmarkEnd w:id="135"/>
      <w:r>
        <w:t xml:space="preserve">6. Dan Petrovich, RTX; Matt Sandnas, SEAKR Engineering; Jeff Pritchard, SEAKR Engineering; Elvis Silva, Blue Canyon Technologies; Ken Johnson, RTX; Sonny Tahiliani, Raytheon Ventures. A Case for Resilient Hosted Payloads in Proliferated MEO to support Space Domain Awareness (2023). doi:</w:t>
      </w:r>
      <w:r>
        <w:t xml:space="preserve"> </w:t>
      </w:r>
      <w:hyperlink r:id="rId136">
        <w:r>
          <w:rPr>
            <w:rStyle w:val="Hyperlink"/>
          </w:rPr>
          <w:t xml:space="preserve">10.64861/ENMJ6539</w:t>
        </w:r>
      </w:hyperlink>
    </w:p>
    <w:p>
      <w:pPr>
        <w:pStyle w:val="BodyText"/>
        <w:spacing w:line="480" w:lineRule="auto"/>
        <w:ind w:firstLine="720"/>
      </w:pPr>
      <w:bookmarkStart w:id="137" w:name="ref-7"/>
      <w:bookmarkEnd w:id="137"/>
      <w:r>
        <w:t xml:space="preserve">7. Mark Werremeyer, Raytheon; Sheldon Clark, Raytheon; Jared Dorny, Raytheon; Vince Pascente, Raytheon. Sensor Network for Global Monitoring of Spacecraft Situational Awareness (2019). [AMOS]</w:t>
      </w:r>
    </w:p>
    <w:p>
      <w:pPr>
        <w:pStyle w:val="BodyText"/>
        <w:spacing w:line="480" w:lineRule="auto"/>
        <w:ind w:firstLine="720"/>
      </w:pPr>
      <w:bookmarkStart w:id="138" w:name="ref-8"/>
      <w:bookmarkEnd w:id="138"/>
      <w:r>
        <w:t xml:space="preserve">8. Michael Kezirian, University of Southern California; Max Smith, University of Southern California; George Lloyd, ARCTOS. Integration of Air and Space Traffic Management: Establishing Criteria for Tracking of Debris Objects Prior to Uncontrolled Reentry (2024). doi:</w:t>
      </w:r>
      <w:r>
        <w:t xml:space="preserve"> </w:t>
      </w:r>
      <w:hyperlink r:id="rId139">
        <w:r>
          <w:rPr>
            <w:rStyle w:val="Hyperlink"/>
          </w:rPr>
          <w:t xml:space="preserve">10.64861/RCFO1556</w:t>
        </w:r>
      </w:hyperlink>
    </w:p>
    <w:p>
      <w:pPr>
        <w:pStyle w:val="BodyText"/>
        <w:spacing w:line="480" w:lineRule="auto"/>
        <w:ind w:firstLine="720"/>
      </w:pPr>
      <w:bookmarkStart w:id="140" w:name="ref-9"/>
      <w:bookmarkEnd w:id="140"/>
      <w:r>
        <w:t xml:space="preserve">9. Gil Denis; A. Claverie; Xavier Pasco; Jean‐Pierre Darnis; Benoît de Maupeou; Murielle Lafaye; Eric Morel. Towards disruptions in Earth observation? New Earth Observation systems and markets evolution: Possible scenarios and impacts (2017). doi:</w:t>
      </w:r>
      <w:r>
        <w:t xml:space="preserve"> </w:t>
      </w:r>
      <w:hyperlink r:id="rId141">
        <w:r>
          <w:rPr>
            <w:rStyle w:val="Hyperlink"/>
          </w:rPr>
          <w:t xml:space="preserve">10.1016/j.actaastro.2017.04.034</w:t>
        </w:r>
      </w:hyperlink>
    </w:p>
    <w:p>
      <w:pPr>
        <w:pStyle w:val="BodyText"/>
        <w:spacing w:line="480" w:lineRule="auto"/>
        <w:ind w:firstLine="720"/>
      </w:pPr>
      <w:bookmarkStart w:id="142" w:name="ref-10"/>
      <w:bookmarkEnd w:id="142"/>
      <w:r>
        <w:t xml:space="preserve">10. Anna Hurova. Gamification as a tool to identify and address ongoing challenges in space activities: the case of space debris mitigation (2024). doi:</w:t>
      </w:r>
      <w:r>
        <w:t xml:space="preserve"> </w:t>
      </w:r>
      <w:hyperlink r:id="rId143">
        <w:r>
          <w:rPr>
            <w:rStyle w:val="Hyperlink"/>
          </w:rPr>
          <w:t xml:space="preserve">10.1016/j.actaastro.2024.09.057</w:t>
        </w:r>
      </w:hyperlink>
    </w:p>
    <w:p>
      <w:pPr>
        <w:pStyle w:val="BodyText"/>
        <w:spacing w:line="480" w:lineRule="auto"/>
        <w:ind w:firstLine="720"/>
      </w:pPr>
      <w:bookmarkStart w:id="144" w:name="ref-11"/>
      <w:bookmarkEnd w:id="144"/>
      <w:r>
        <w:t xml:space="preserve">11. Timofey Broslav; Christopher B. Dreyer; Joel Sercel. Optical mining of carbonaceous chondrite simulants: Testing and lessons learned in asteroid mining research (2025). doi:</w:t>
      </w:r>
      <w:r>
        <w:t xml:space="preserve"> </w:t>
      </w:r>
      <w:hyperlink r:id="rId145">
        <w:r>
          <w:rPr>
            <w:rStyle w:val="Hyperlink"/>
          </w:rPr>
          <w:t xml:space="preserve">10.1016/j.actaastro.2025.04.033</w:t>
        </w:r>
      </w:hyperlink>
    </w:p>
    <w:p>
      <w:pPr>
        <w:pStyle w:val="BodyText"/>
        <w:spacing w:line="480" w:lineRule="auto"/>
        <w:ind w:firstLine="720"/>
      </w:pPr>
      <w:bookmarkStart w:id="146" w:name="ref-12"/>
      <w:bookmarkEnd w:id="146"/>
      <w:r>
        <w:t xml:space="preserve">12. Samantha Le May; Steve Gehly; Brett Carter; S. Flegel. Space debris collision probability analysis for proposed global broadband constellations (2018). doi:</w:t>
      </w:r>
      <w:r>
        <w:t xml:space="preserve"> </w:t>
      </w:r>
      <w:hyperlink r:id="rId147">
        <w:r>
          <w:rPr>
            <w:rStyle w:val="Hyperlink"/>
          </w:rPr>
          <w:t xml:space="preserve">10.1016/j.actaastro.2018.06.036</w:t>
        </w:r>
      </w:hyperlink>
    </w:p>
    <w:p>
      <w:pPr>
        <w:pStyle w:val="BodyText"/>
        <w:spacing w:line="480" w:lineRule="auto"/>
        <w:ind w:firstLine="720"/>
      </w:pPr>
      <w:bookmarkStart w:id="148" w:name="ref-13"/>
      <w:bookmarkEnd w:id="148"/>
      <w:r>
        <w:t xml:space="preserve">13. Carmen Pardini; Luciano Anselmo. The risk on the ground and in the airspace posed by uncontrolled re-entries: Should the growth observed in recent years be considered worrying? (2026). doi:</w:t>
      </w:r>
      <w:r>
        <w:t xml:space="preserve"> </w:t>
      </w:r>
      <w:hyperlink r:id="rId149">
        <w:r>
          <w:rPr>
            <w:rStyle w:val="Hyperlink"/>
          </w:rPr>
          <w:t xml:space="preserve">10.1016/j.actaastro.2026.01.049</w:t>
        </w:r>
      </w:hyperlink>
    </w:p>
    <w:p>
      <w:pPr>
        <w:pStyle w:val="BodyText"/>
        <w:spacing w:line="480" w:lineRule="auto"/>
        <w:ind w:firstLine="720"/>
      </w:pPr>
      <w:bookmarkStart w:id="150" w:name="ref-14"/>
      <w:bookmarkEnd w:id="150"/>
      <w:r>
        <w:t xml:space="preserve">14. Alessandro Paravano; Alessandro Paravano; Brendan Rosseau; Giorgio Locatelli; Mathew Weinzierl; Paolo Trucco. Toward the LEO economy: A value assessment of commercial space stations for space and non-space users (2024). doi:</w:t>
      </w:r>
      <w:r>
        <w:t xml:space="preserve"> </w:t>
      </w:r>
      <w:hyperlink r:id="rId151">
        <w:r>
          <w:rPr>
            <w:rStyle w:val="Hyperlink"/>
          </w:rPr>
          <w:t xml:space="preserve">10.1016/j.actaastro.2024.11.060</w:t>
        </w:r>
      </w:hyperlink>
    </w:p>
    <w:p>
      <w:pPr>
        <w:pStyle w:val="BodyText"/>
        <w:spacing w:line="480" w:lineRule="auto"/>
        <w:ind w:firstLine="720"/>
      </w:pPr>
      <w:bookmarkStart w:id="152" w:name="ref-15"/>
      <w:bookmarkEnd w:id="152"/>
      <w:r>
        <w:t xml:space="preserve">15. n.a.. Beneficiaries of the NewSpace age Governance by acknowledg 2025 Acta Astron (2024). doi:</w:t>
      </w:r>
      <w:r>
        <w:t xml:space="preserve"> </w:t>
      </w:r>
      <w:hyperlink r:id="rId153">
        <w:r>
          <w:rPr>
            <w:rStyle w:val="Hyperlink"/>
          </w:rPr>
          <w:t xml:space="preserve">10.1016/j.actaastro.2024.12.060</w:t>
        </w:r>
      </w:hyperlink>
    </w:p>
    <w:p>
      <w:pPr>
        <w:pStyle w:val="BodyText"/>
        <w:spacing w:line="480" w:lineRule="auto"/>
        <w:ind w:firstLine="720"/>
      </w:pPr>
      <w:bookmarkStart w:id="154" w:name="ref-16"/>
      <w:bookmarkEnd w:id="154"/>
      <w:r>
        <w:t xml:space="preserve">16. Christina Giannopapa; Athanasios Staveris-Poykalas; Spyros Metallinos. Space as an enabler for sustainable digital transformation: The new space race and benefits for newcommers (2022). doi:</w:t>
      </w:r>
      <w:r>
        <w:t xml:space="preserve"> </w:t>
      </w:r>
      <w:hyperlink r:id="rId155">
        <w:r>
          <w:rPr>
            <w:rStyle w:val="Hyperlink"/>
          </w:rPr>
          <w:t xml:space="preserve">10.1016/j.actaastro.2022.06.005</w:t>
        </w:r>
      </w:hyperlink>
    </w:p>
    <w:bookmarkEnd w:id="156"/>
    <w:bookmarkEnd w:id="157"/>
    <w:bookmarkStart w:id="17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65" w:name="X90fe1efb4f633c56112412aff79b5abfd2714f1"/>
    <w:p>
      <w:pPr>
        <w:pStyle w:val="Heading2"/>
        <w:spacing w:line="480" w:lineRule="auto"/>
      </w:pPr>
      <w:r>
        <w:t xml:space="preserve">A.1 Signal Intensity in Does Commercial Proliferation Deter Testing Whether Distributed Mega-Constellat: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5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5.7085</w:t>
            </w:r>
          </w:p>
        </w:tc>
        <w:tc>
          <w:tcPr>
            <w:tcW w:w="0" w:type="auto"/>
          </w:tcPr>
          <w:p>
            <w:pPr>
              <w:spacing w:line="240" w:lineRule="auto" w:before="0" w:after="0"/>
              <w:pStyle w:val="Compact"/>
            </w:pPr>
            <w:r>
              <w:rPr>
                <w:sz w:val="20"/>
                <w:szCs w:val="20"/>
              </w:rPr>
              <w:t xml:space="preserve">1.5123</w:t>
            </w:r>
          </w:p>
        </w:tc>
        <w:tc>
          <w:tcPr>
            <w:tcW w:w="0" w:type="auto"/>
          </w:tcPr>
          <w:p>
            <w:pPr>
              <w:spacing w:line="240" w:lineRule="auto" w:before="0" w:after="0"/>
              <w:pStyle w:val="Compact"/>
            </w:pPr>
            <w:r>
              <w:rPr>
                <w:sz w:val="20"/>
                <w:szCs w:val="20"/>
              </w:rPr>
              <w:t xml:space="preserve">3.7748</w:t>
            </w:r>
          </w:p>
        </w:tc>
        <w:tc>
          <w:tcPr>
            <w:tcW w:w="0" w:type="auto"/>
          </w:tcPr>
          <w:p>
            <w:pPr>
              <w:spacing w:line="240" w:lineRule="auto" w:before="0" w:after="0"/>
              <w:pStyle w:val="Compact"/>
            </w:pPr>
            <w:r>
              <w:rPr>
                <w:sz w:val="20"/>
                <w:szCs w:val="20"/>
              </w:rPr>
              <w:t xml:space="preserve">0.0001601</w:t>
            </w:r>
          </w:p>
        </w:tc>
        <w:tc>
          <w:tcPr>
            <w:tcW w:w="0" w:type="auto"/>
          </w:tcPr>
          <w:p>
            <w:pPr>
              <w:spacing w:line="240" w:lineRule="auto" w:before="0" w:after="0"/>
              <w:pStyle w:val="Compact"/>
            </w:pPr>
            <w:r>
              <w:rPr>
                <w:sz w:val="20"/>
                <w:szCs w:val="20"/>
              </w:rPr>
              <w:t xml:space="preserve">[2.7445, 8.6725]</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0.0919</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0.6752</w:t>
            </w:r>
          </w:p>
        </w:tc>
        <w:tc>
          <w:tcPr>
            <w:tcW w:w="0" w:type="auto"/>
          </w:tcPr>
          <w:p>
            <w:pPr>
              <w:spacing w:line="240" w:lineRule="auto" w:before="0" w:after="0"/>
              <w:pStyle w:val="Compact"/>
            </w:pPr>
            <w:r>
              <w:rPr>
                <w:sz w:val="20"/>
                <w:szCs w:val="20"/>
              </w:rPr>
              <w:t xml:space="preserve">0.4995</w:t>
            </w:r>
          </w:p>
        </w:tc>
        <w:tc>
          <w:tcPr>
            <w:tcW w:w="0" w:type="auto"/>
          </w:tcPr>
          <w:p>
            <w:pPr>
              <w:spacing w:line="240" w:lineRule="auto" w:before="0" w:after="0"/>
              <w:pStyle w:val="Compact"/>
            </w:pPr>
            <w:r>
              <w:rPr>
                <w:sz w:val="20"/>
                <w:szCs w:val="20"/>
              </w:rPr>
              <w:t xml:space="preserve">[-0.1748, 0.3585]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0.0088</w:t>
            </w:r>
          </w:p>
        </w:tc>
        <w:tc>
          <w:tcPr>
            <w:tcW w:w="0" w:type="auto"/>
          </w:tcPr>
          <w:p>
            <w:pPr>
              <w:spacing w:line="240" w:lineRule="auto" w:before="0" w:after="0"/>
              <w:pStyle w:val="Compact"/>
            </w:pPr>
            <w:r>
              <w:rPr>
                <w:sz w:val="20"/>
                <w:szCs w:val="20"/>
              </w:rPr>
              <w:t xml:space="preserve">1.9359</w:t>
            </w:r>
          </w:p>
        </w:tc>
        <w:tc>
          <w:tcPr>
            <w:tcW w:w="0" w:type="auto"/>
          </w:tcPr>
          <w:p>
            <w:pPr>
              <w:spacing w:line="240" w:lineRule="auto" w:before="0" w:after="0"/>
              <w:pStyle w:val="Compact"/>
            </w:pPr>
            <w:r>
              <w:rPr>
                <w:sz w:val="20"/>
                <w:szCs w:val="20"/>
              </w:rPr>
              <w:t xml:space="preserve">0.0529</w:t>
            </w:r>
          </w:p>
        </w:tc>
        <w:tc>
          <w:tcPr>
            <w:tcW w:w="0" w:type="auto"/>
          </w:tcPr>
          <w:p>
            <w:pPr>
              <w:spacing w:line="240" w:lineRule="auto" w:before="0" w:after="0"/>
              <w:pStyle w:val="Compact"/>
            </w:pPr>
            <w:r>
              <w:rPr>
                <w:sz w:val="20"/>
                <w:szCs w:val="20"/>
              </w:rPr>
              <w:t xml:space="preserve">[-0.0002124, 0.0344]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-1.6025</w:t>
            </w:r>
          </w:p>
        </w:tc>
        <w:tc>
          <w:tcPr>
            <w:tcW w:w="0" w:type="auto"/>
          </w:tcPr>
          <w:p>
            <w:pPr>
              <w:spacing w:line="240" w:lineRule="auto" w:before="0" w:after="0"/>
              <w:pStyle w:val="Compact"/>
            </w:pPr>
            <w:r>
              <w:rPr>
                <w:sz w:val="20"/>
                <w:szCs w:val="20"/>
              </w:rPr>
              <w:t xml:space="preserve">0.3923</w:t>
            </w:r>
          </w:p>
        </w:tc>
        <w:tc>
          <w:tcPr>
            <w:tcW w:w="0" w:type="auto"/>
          </w:tcPr>
          <w:p>
            <w:pPr>
              <w:spacing w:line="240" w:lineRule="auto" w:before="0" w:after="0"/>
              <w:pStyle w:val="Compact"/>
            </w:pPr>
            <w:r>
              <w:rPr>
                <w:sz w:val="20"/>
                <w:szCs w:val="20"/>
              </w:rPr>
              <w:t xml:space="preserve">-4.0854</w:t>
            </w:r>
          </w:p>
        </w:tc>
        <w:tc>
          <w:tcPr>
            <w:tcW w:w="0" w:type="auto"/>
          </w:tcPr>
          <w:p>
            <w:pPr>
              <w:spacing w:line="240" w:lineRule="auto" w:before="0" w:after="0"/>
              <w:pStyle w:val="Compact"/>
            </w:pPr>
            <w:r>
              <w:rPr>
                <w:sz w:val="20"/>
                <w:szCs w:val="20"/>
              </w:rPr>
              <w:t xml:space="preserve">4.401e-05</w:t>
            </w:r>
          </w:p>
        </w:tc>
        <w:tc>
          <w:tcPr>
            <w:tcW w:w="0" w:type="auto"/>
          </w:tcPr>
          <w:p>
            <w:pPr>
              <w:spacing w:line="240" w:lineRule="auto" w:before="0" w:after="0"/>
              <w:pStyle w:val="Compact"/>
            </w:pPr>
            <w:r>
              <w:rPr>
                <w:sz w:val="20"/>
                <w:szCs w:val="20"/>
              </w:rPr>
              <w:t xml:space="preserve">[-2.3714, -0.8337]</w:t>
            </w:r>
          </w:p>
        </w:tc>
      </w:tr>
    </w:tbl>
    <w:p>
      <w:pPr>
        <w:pStyle w:val="BodyText"/>
        <w:spacing w:line="480" w:lineRule="auto"/>
        <w:ind w:firstLine="720"/>
      </w:pPr>
      <w:r>
        <w:t xml:space="preserve">Fit: N = 30 R2 = 0.4024 R2_adj = 0.3334 F = 12.9565 F_p = 2.283e-05</w:t>
      </w:r>
    </w:p>
    <w:bookmarkEnd w:id="158"/>
    <w:bookmarkStart w:id="16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60" name="Picture"/>
            <a:graphic>
              <a:graphicData uri="http://schemas.openxmlformats.org/drawingml/2006/picture">
                <pic:pic>
                  <pic:nvPicPr>
                    <pic:cNvPr descr="D:/Claude_Code/brain/collegium/candidates/dissertations/SECURITY_DETERRENCE_09/research_papers/p1/paper_fig1.png" id="161" name="Picture"/>
                    <pic:cNvPicPr>
                      <a:picLocks noChangeArrowheads="1" noChangeAspect="1"/>
                    </pic:cNvPicPr>
                  </pic:nvPicPr>
                  <pic:blipFill>
                    <a:blip r:embed="rId15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62"/>
    <w:bookmarkStart w:id="16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https://amostech.space/year/2020/international-collaboration-framework-for-space-domain-awareness/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https://amostech.space/year/2021/report-on-2020-megaconstellation-deployments-and-impacts-to-space-domain-awareness/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https://amostech.space/year/2022/an-autonomous-geographically-distributed-ground-network-that-scales/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10.64861/CZGF7141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10.64861/UKLE4659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10.64861/ENMJ6539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https://amostech.space/year/2019/sensor-network-for-global-monitoring-of-spacecraft-situational-awareness/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10.64861/RCFO1556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https://amostech.space/year/2021/comparing-photometric-behavior-of-leo-constellations-to-spacex-starlink-using-a-space-based-optical-sensor/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https://amostech.space/year/2022/all-sky-electro-optical-tracking-of-mega-constellations-in-low-earth-orbit/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10.1016/j.actaastro.2018.06.036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10.1016/j.actaastro.2024.12.060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10.1016/j.actaastro.2026.01.033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10.1016/j.actaastro.2026.05.060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10.1016/j.actaastro.2022.12.014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Resilience of LEO Constellations to Fragmentation Events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bl>
    <w:bookmarkEnd w:id="163"/>
    <w:bookmarkStart w:id="16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64"/>
    <w:bookmarkEnd w:id="165"/>
    <w:bookmarkStart w:id="173" w:name="Xa9fdae58104bceaa15dcdf851d6fdc8d35ea247"/>
    <w:p>
      <w:pPr>
        <w:pStyle w:val="Heading2"/>
        <w:spacing w:line="480" w:lineRule="auto"/>
      </w:pPr>
      <w:r>
        <w:t xml:space="preserve">A.2 Attention Accumulation in Does Commercial Proliferation Deter Testing Whether Distributed Mega-Constellat: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6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-0.1611</w:t>
            </w:r>
          </w:p>
        </w:tc>
        <w:tc>
          <w:tcPr>
            <w:tcW w:w="0" w:type="auto"/>
          </w:tcPr>
          <w:p>
            <w:pPr>
              <w:spacing w:line="240" w:lineRule="auto" w:before="0" w:after="0"/>
              <w:pStyle w:val="Compact"/>
            </w:pPr>
            <w:r>
              <w:rPr>
                <w:sz w:val="20"/>
                <w:szCs w:val="20"/>
              </w:rPr>
              <w:t xml:space="preserve">0.4475</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0.7189</w:t>
            </w:r>
          </w:p>
        </w:tc>
        <w:tc>
          <w:tcPr>
            <w:tcW w:w="0" w:type="auto"/>
          </w:tcPr>
          <w:p>
            <w:pPr>
              <w:spacing w:line="240" w:lineRule="auto" w:before="0" w:after="0"/>
              <w:pStyle w:val="Compact"/>
            </w:pPr>
            <w:r>
              <w:rPr>
                <w:sz w:val="20"/>
                <w:szCs w:val="20"/>
              </w:rPr>
              <w:t xml:space="preserve">[-1.0381, 0.7159]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0.5687</w:t>
            </w:r>
          </w:p>
        </w:tc>
        <w:tc>
          <w:tcPr>
            <w:tcW w:w="0" w:type="auto"/>
          </w:tcPr>
          <w:p>
            <w:pPr>
              <w:spacing w:line="240" w:lineRule="auto" w:before="0" w:after="0"/>
              <w:pStyle w:val="Compact"/>
            </w:pPr>
            <w:r>
              <w:rPr>
                <w:sz w:val="20"/>
                <w:szCs w:val="20"/>
              </w:rPr>
              <w:t xml:space="preserve">0.4236</w:t>
            </w:r>
          </w:p>
        </w:tc>
        <w:tc>
          <w:tcPr>
            <w:tcW w:w="0" w:type="auto"/>
          </w:tcPr>
          <w:p>
            <w:pPr>
              <w:spacing w:line="240" w:lineRule="auto" w:before="0" w:after="0"/>
              <w:pStyle w:val="Compact"/>
            </w:pPr>
            <w:r>
              <w:rPr>
                <w:sz w:val="20"/>
                <w:szCs w:val="20"/>
              </w:rPr>
              <w:t xml:space="preserve">1.3425</w:t>
            </w:r>
          </w:p>
        </w:tc>
        <w:tc>
          <w:tcPr>
            <w:tcW w:w="0" w:type="auto"/>
          </w:tcPr>
          <w:p>
            <w:pPr>
              <w:spacing w:line="240" w:lineRule="auto" w:before="0" w:after="0"/>
              <w:pStyle w:val="Compact"/>
            </w:pPr>
            <w:r>
              <w:rPr>
                <w:sz w:val="20"/>
                <w:szCs w:val="20"/>
              </w:rPr>
              <w:t xml:space="preserve">0.1794</w:t>
            </w:r>
          </w:p>
        </w:tc>
        <w:tc>
          <w:tcPr>
            <w:tcW w:w="0" w:type="auto"/>
          </w:tcPr>
          <w:p>
            <w:pPr>
              <w:spacing w:line="240" w:lineRule="auto" w:before="0" w:after="0"/>
              <w:pStyle w:val="Compact"/>
            </w:pPr>
            <w:r>
              <w:rPr>
                <w:sz w:val="20"/>
                <w:szCs w:val="20"/>
              </w:rPr>
              <w:t xml:space="preserve">[-0.2616, 1.3989]</w:t>
            </w:r>
          </w:p>
        </w:tc>
      </w:tr>
    </w:tbl>
    <w:p>
      <w:pPr>
        <w:pStyle w:val="BodyText"/>
        <w:spacing w:line="480" w:lineRule="auto"/>
        <w:ind w:firstLine="720"/>
      </w:pPr>
      <w:r>
        <w:t xml:space="preserve">Fit: N = 30 R2 = 0.0729 elasticity_b = 0.5687 progress_ratio_2^b = 1.4831</w:t>
      </w:r>
    </w:p>
    <w:bookmarkEnd w:id="166"/>
    <w:bookmarkStart w:id="17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68" name="Picture"/>
            <a:graphic>
              <a:graphicData uri="http://schemas.openxmlformats.org/drawingml/2006/picture">
                <pic:pic>
                  <pic:nvPicPr>
                    <pic:cNvPr descr="D:/Claude_Code/brain/collegium/candidates/dissertations/SECURITY_DETERRENCE_09/research_papers/p2/paper_fig1.png" id="169" name="Picture"/>
                    <pic:cNvPicPr>
                      <a:picLocks noChangeArrowheads="1" noChangeAspect="1"/>
                    </pic:cNvPicPr>
                  </pic:nvPicPr>
                  <pic:blipFill>
                    <a:blip r:embed="rId16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70"/>
    <w:bookmarkStart w:id="17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https://amostech.space/year/2020/international-collaboration-framework-for-space-domain-awareness/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https://amostech.space/year/2021/report-on-2020-megaconstellation-deployments-and-impacts-to-space-domain-awareness/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https://amostech.space/year/2022/an-autonomous-geographically-distributed-ground-network-that-scales/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10.64861/CZGF7141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10.64861/UKLE4659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10.64861/ENMJ6539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https://amostech.space/year/2019/sensor-network-for-global-monitoring-of-spacecraft-situational-awareness/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10.64861/RCFO1556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https://amostech.space/year/2021/comparing-photometric-behavior-of-leo-constellations-to-spacex-starlink-using-a-space-based-optical-sensor/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https://amostech.space/year/2022/all-sky-electro-optical-tracking-of-mega-constellations-in-low-earth-orbit/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10.1016/j.actaastro.2018.06.036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10.1016/j.actaastro.2024.12.060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10.1016/j.actaastro.2026.01.033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10.1016/j.actaastro.2026.05.060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10.1016/j.actaastro.2022.12.014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Resilience of LEO Constellations to Fragmentation Events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bl>
    <w:bookmarkEnd w:id="171"/>
    <w:bookmarkStart w:id="17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72"/>
    <w:bookmarkEnd w:id="173"/>
    <w:bookmarkEnd w:id="17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59" Type="http://schemas.openxmlformats.org/officeDocument/2006/relationships/image" Target="media/rId159.png"/><Relationship Id="rId167" Type="http://schemas.openxmlformats.org/officeDocument/2006/relationships/image" Target="media/rId167.png"/><Relationship Id="rId141" Type="http://schemas.openxmlformats.org/officeDocument/2006/relationships/hyperlink" Target="https://doi.org/10.1016/j.actaastro.2017.04.034" TargetMode="External"/><Relationship Id="rId147" Type="http://schemas.openxmlformats.org/officeDocument/2006/relationships/hyperlink" Target="https://doi.org/10.1016/j.actaastro.2018.06.036" TargetMode="External"/><Relationship Id="rId155" Type="http://schemas.openxmlformats.org/officeDocument/2006/relationships/hyperlink" Target="https://doi.org/10.1016/j.actaastro.2022.06.005" TargetMode="External"/><Relationship Id="rId143" Type="http://schemas.openxmlformats.org/officeDocument/2006/relationships/hyperlink" Target="https://doi.org/10.1016/j.actaastro.2024.09.057" TargetMode="External"/><Relationship Id="rId151" Type="http://schemas.openxmlformats.org/officeDocument/2006/relationships/hyperlink" Target="https://doi.org/10.1016/j.actaastro.2024.11.060" TargetMode="External"/><Relationship Id="rId153" Type="http://schemas.openxmlformats.org/officeDocument/2006/relationships/hyperlink" Target="https://doi.org/10.1016/j.actaastro.2024.12.060" TargetMode="External"/><Relationship Id="rId145" Type="http://schemas.openxmlformats.org/officeDocument/2006/relationships/hyperlink" Target="https://doi.org/10.1016/j.actaastro.2025.04.033" TargetMode="External"/><Relationship Id="rId149" Type="http://schemas.openxmlformats.org/officeDocument/2006/relationships/hyperlink" Target="https://doi.org/10.1016/j.actaastro.2026.01.049" TargetMode="External"/><Relationship Id="rId132" Type="http://schemas.openxmlformats.org/officeDocument/2006/relationships/hyperlink" Target="https://doi.org/10.64861/CZGF7141" TargetMode="External"/><Relationship Id="rId136" Type="http://schemas.openxmlformats.org/officeDocument/2006/relationships/hyperlink" Target="https://doi.org/10.64861/ENMJ6539" TargetMode="External"/><Relationship Id="rId139" Type="http://schemas.openxmlformats.org/officeDocument/2006/relationships/hyperlink" Target="https://doi.org/10.64861/RCFO1556" TargetMode="External"/><Relationship Id="rId134" Type="http://schemas.openxmlformats.org/officeDocument/2006/relationships/hyperlink" Target="https://doi.org/10.64861/UKLE4659" TargetMode="External"/></Relationships>
</file>

<file path=word/_rels/footnotes.xml.rels><?xml version='1.0' encoding='UTF-8' standalone='yes'?>
<Relationships xmlns="http://schemas.openxmlformats.org/package/2006/relationships"><Relationship Id="rId141" Type="http://schemas.openxmlformats.org/officeDocument/2006/relationships/hyperlink" Target="https://doi.org/10.1016/j.actaastro.2017.04.034" TargetMode="External"/><Relationship Id="rId147" Type="http://schemas.openxmlformats.org/officeDocument/2006/relationships/hyperlink" Target="https://doi.org/10.1016/j.actaastro.2018.06.036" TargetMode="External"/><Relationship Id="rId155" Type="http://schemas.openxmlformats.org/officeDocument/2006/relationships/hyperlink" Target="https://doi.org/10.1016/j.actaastro.2022.06.005" TargetMode="External"/><Relationship Id="rId143" Type="http://schemas.openxmlformats.org/officeDocument/2006/relationships/hyperlink" Target="https://doi.org/10.1016/j.actaastro.2024.09.057" TargetMode="External"/><Relationship Id="rId151" Type="http://schemas.openxmlformats.org/officeDocument/2006/relationships/hyperlink" Target="https://doi.org/10.1016/j.actaastro.2024.11.060" TargetMode="External"/><Relationship Id="rId153" Type="http://schemas.openxmlformats.org/officeDocument/2006/relationships/hyperlink" Target="https://doi.org/10.1016/j.actaastro.2024.12.060" TargetMode="External"/><Relationship Id="rId145" Type="http://schemas.openxmlformats.org/officeDocument/2006/relationships/hyperlink" Target="https://doi.org/10.1016/j.actaastro.2025.04.033" TargetMode="External"/><Relationship Id="rId149" Type="http://schemas.openxmlformats.org/officeDocument/2006/relationships/hyperlink" Target="https://doi.org/10.1016/j.actaastro.2026.01.049" TargetMode="External"/><Relationship Id="rId132" Type="http://schemas.openxmlformats.org/officeDocument/2006/relationships/hyperlink" Target="https://doi.org/10.64861/CZGF7141" TargetMode="External"/><Relationship Id="rId136" Type="http://schemas.openxmlformats.org/officeDocument/2006/relationships/hyperlink" Target="https://doi.org/10.64861/ENMJ6539" TargetMode="External"/><Relationship Id="rId139" Type="http://schemas.openxmlformats.org/officeDocument/2006/relationships/hyperlink" Target="https://doi.org/10.64861/RCFO1556" TargetMode="External"/><Relationship Id="rId134" Type="http://schemas.openxmlformats.org/officeDocument/2006/relationships/hyperlink" Target="https://doi.org/10.64861/UKLE46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Commercial Proliferation Deter? Testing Whether Distributed Mega-Constellat</dc:title>
  <dc:creator>Aaron Calder (1B-SEC-219)</dc:creator>
  <cp:keywords/>
  <dcterms:created xsi:type="dcterms:W3CDTF">2026-07-02T22:17:46Z</dcterms:created>
  <dcterms:modified xsi:type="dcterms:W3CDTF">2026-07-02T22:17:46Z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