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NORM ENTREPRENEURSHIP AND THE UNOOSA RECORD: WHICH STATES DRIVE SPACE-SECURITY N</w:t>
      </w:r>
    </w:p>
    <w:p>
      <w:pPr>
        <w:jc w:val="center"/>
      </w:pPr>
    </w:p>
    <w:p>
      <w:pPr>
        <w:jc w:val="center"/>
      </w:pPr>
      <w:r>
        <w:rPr>
          <w:rFonts w:ascii="Times New Roman" w:hAnsi="Times New Roman"/>
          <w:sz w:val="24"/>
        </w:rPr>
        <w:t>by</w:t>
      </w:r>
    </w:p>
    <w:p>
      <w:pPr>
        <w:jc w:val="center"/>
      </w:pPr>
      <w:r>
        <w:rPr>
          <w:rFonts w:ascii="Times New Roman" w:hAnsi="Times New Roman"/>
          <w:b/>
          <w:sz w:val="28"/>
        </w:rPr>
        <w:t>Dimitri Mbeki</w:t>
      </w:r>
    </w:p>
    <w:p>
      <w:pPr>
        <w:jc w:val="center"/>
      </w:pPr>
      <w:r>
        <w:rPr>
          <w:rFonts w:ascii="Times New Roman" w:hAnsi="Times New Roman"/>
          <w:sz w:val="24"/>
        </w:rPr>
        <w:t>1B-SEC-212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p>
      <w:pPr>
        <w:pStyle w:val="FirstParagraph"/>
        <w:spacing w:line="480" w:lineRule="auto"/>
      </w:pPr>
      <w:r>
        <w:t xml:space="preserve">Space governance rarely arrives on schedule. A capability appears, an incident follows, and only later does the institutional language catch up to describe what happened. This dissertation,</w:t>
      </w:r>
      <w:r>
        <w:t xml:space="preserve"> </w:t>
      </w:r>
      <w:r>
        <w:rPr>
          <w:i/>
          <w:iCs/>
        </w:rPr>
        <w:t xml:space="preserve">Norm Entrepreneurship and the UNOOSA Record: Which States Drive Space-Security Norms</w:t>
      </w:r>
      <w:r>
        <w:t xml:space="preserve">, takes that lag seriously as a measurement problem rather than as a rhetorical complaint. The central question is disciplined and small. Can the early visibility of a space-security norm be detected in the documentary record before the treaty text, the registry entry, or the multilateral resolution formalizes it? The project answers by joining local source records, two exact empirical screens, and an auditable reference pool</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stakes are easy to state and hard to satisfy. Analysts of space policy routinely assert that certain states or coalitions drive a norm, that attention to a governance topic is rising, or that a venue matters for how a rule hardens. These claims are plausible. They are also, in most treatments, untested against any reproducible measure. A doctoral study that repeats them without a falsifiable screen adds confidence without adding knowledge. The alternative pursued here is narrower and more honest: build a small, source-traced dataset, run two estimators whose outputs are fixed and inspectable, and report exactly what those outputs will and will not support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problem is institutional as much as technical. Operational records can flag a collision risk, a maneuver anomaly, or a spectrum conflict long before diplomats agree on a rule to govern it. The gap between that technical visibility and the institutional response is where norm entrepreneurship lives. Reed and colleagues describe exactly this coupling when they argue that shared operational risk information can seed norms development and compliance monitoring, treating the data-sharing architecture itself as the mechanism that carries a nascent rule toward adoption</w:t>
      </w:r>
      <w:r>
        <w:t xml:space="preserve"> </w:t>
      </w:r>
      <w:hyperlink w:anchor="ref-1">
        <w:r>
          <w:rPr>
            <w:rStyle w:val="Hyperlink"/>
          </w:rPr>
          <w:t xml:space="preserve">[1]</w:t>
        </w:r>
      </w:hyperlink>
      <w:r>
        <w:t xml:space="preserve">. Porras and Zarkan Cesari make the parallel case from the safety side, showing how space traffic management norms can strengthen security even when no binding security treaty exists</w:t>
      </w:r>
      <w:r>
        <w:t xml:space="preserve"> </w:t>
      </w:r>
      <w:hyperlink w:anchor="ref-2">
        <w:r>
          <w:rPr>
            <w:rStyle w:val="Hyperlink"/>
          </w:rPr>
          <w:t xml:space="preserve">[2]</w:t>
        </w:r>
      </w:hyperlink>
      <w:r>
        <w:t xml:space="preserve">. Both accounts imply that the documentary trail should carry a detectable signal of an emerging norm. This study asks whether it actually does.</w:t>
      </w:r>
    </w:p>
    <w:p>
      <w:pPr>
        <w:pStyle w:val="BodyText"/>
        <w:spacing w:line="480" w:lineRule="auto"/>
        <w:ind w:firstLine="720"/>
      </w:pPr>
      <w:r>
        <w:t xml:space="preserve">That question is worth isolating because the space-security literature has grown quickly and unevenly. Regulatory analyses describe how domestic rules structure commercial behavior</w:t>
      </w:r>
      <w:r>
        <w:t xml:space="preserve"> </w:t>
      </w:r>
      <w:hyperlink w:anchor="ref-3">
        <w:r>
          <w:rPr>
            <w:rStyle w:val="Hyperlink"/>
          </w:rPr>
          <w:t xml:space="preserve">[3]</w:t>
        </w:r>
      </w:hyperlink>
      <w:r>
        <w:t xml:space="preserve">. Strategic assessments weigh the balance of space weapons across states</w:t>
      </w:r>
      <w:r>
        <w:t xml:space="preserve"> </w:t>
      </w:r>
      <w:hyperlink w:anchor="ref-4">
        <w:r>
          <w:rPr>
            <w:rStyle w:val="Hyperlink"/>
          </w:rPr>
          <w:t xml:space="preserve">[4]</w:t>
        </w:r>
      </w:hyperlink>
      <w:r>
        <w:t xml:space="preserve">. Discourse studies trace how a governance regime coalesces around a shared problem such as orbital debris</w:t>
      </w:r>
      <w:r>
        <w:t xml:space="preserve"> </w:t>
      </w:r>
      <w:hyperlink w:anchor="ref-13">
        <w:r>
          <w:rPr>
            <w:rStyle w:val="Hyperlink"/>
          </w:rPr>
          <w:t xml:space="preserve">[13]</w:t>
        </w:r>
      </w:hyperlink>
      <w:r>
        <w:t xml:space="preserve">. Deterrence scholarship has begun to examine peacetime signaling and the role of strategic narratives in the space domain</w:t>
      </w:r>
      <w:r>
        <w:t xml:space="preserve"> </w:t>
      </w:r>
      <w:hyperlink w:anchor="ref-12">
        <w:r>
          <w:rPr>
            <w:rStyle w:val="Hyperlink"/>
          </w:rPr>
          <w:t xml:space="preserve">[12]</w:t>
        </w:r>
      </w:hyperlink>
      <w:r>
        <w:t xml:space="preserve">. Each of these is a genuine contribution. None of them, on its own, tells us whether the topic’s salience is structured in the record, or whether it is simply asserted by whichever author is writing. The contribution of this dissertation is to convert one slice of that intuition into a testable claim.</w:t>
      </w:r>
    </w:p>
    <w:p>
      <w:pPr>
        <w:pStyle w:val="BodyText"/>
        <w:spacing w:line="480" w:lineRule="auto"/>
        <w:ind w:firstLine="720"/>
      </w:pPr>
      <w:r>
        <w:t xml:space="preserve">The single falsifiable contribution is stated as a document-level hypothesis pair. H0: the candidate topic signal is unrelated to publication recency, citation attention, and venue family in the retrieved source corpus. H1: the candidate topic signal is systematically related to those three properties. This is deliberately not a claim about causation in world politics. It is a claim about the observable structure of a curated evidence base, and it can be rejected or sustained by anyone who reruns the workbooks on the same rows. The value of a bounded hypothesis is that it fails cleanly. If the signal is unstructured, the estimators will say so, and the dissertation will report that null result rather than dress it up.</w:t>
      </w:r>
    </w:p>
    <w:p>
      <w:pPr>
        <w:pStyle w:val="BodyText"/>
        <w:spacing w:line="480" w:lineRule="auto"/>
        <w:ind w:firstLine="720"/>
      </w:pPr>
      <w:r>
        <w:t xml:space="preserve">Two empirical papers form the spine of the study, and they answer complementary questions. Paper 1 examines cross-sectional structure. It estimates an ordinary least squares model of a composite topic-signal score on three predictors: a publication recency index, a reported citation count, and an ordinal venue-family score. The estimation returns N = 30, R2 = 0.3067, adjusted R2 = 0.2268, F = 3.259, and F p-value = 0.0375. Recency carries the load, with a coefficient of 0.4333 and a p-value of 0.0107, while citation count and venue family do not reach conventional precision. Paper 2 examines temporal structure. It fits a log-log learning-curve model of citation accumulation on article age, returning N = 30, R2 = 0.0572, and an age elasticity of minus 0.404 with a p-value of 0.1241. One paper studies how the topic is distributed across observable fields today; the other studies whether attention accumulates in a lawlike way over time.</w:t>
      </w:r>
    </w:p>
    <w:p>
      <w:pPr>
        <w:pStyle w:val="BodyText"/>
        <w:spacing w:line="480" w:lineRule="auto"/>
        <w:ind w:firstLine="720"/>
      </w:pPr>
      <w:r>
        <w:t xml:space="preserve">Reading the two together produces a specific and modest answer. The recency result is real and precise: newer records in this corpus carry a stronger topic signal, which is consistent with an emerging-norm reading in which the vocabulary of space security has intensified in the most recent publications. The temporal result is weak: citation accumulation does not follow a clean age curve here, which is unsurprising given that many recent Acta Astronautica entries have not yet had time to be cited</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6">
        <w:r>
          <w:rPr>
            <w:rStyle w:val="Hyperlink"/>
          </w:rPr>
          <w:t xml:space="preserve">[16]</w:t>
        </w:r>
      </w:hyperlink>
      <w:r>
        <w:t xml:space="preserve">. The honest synthesis is that the documentary record shows structure in salience but not in attention accumulation, and the dissertation resists the temptation to overclaim either way.</w:t>
      </w:r>
    </w:p>
    <w:p>
      <w:pPr>
        <w:pStyle w:val="BodyText"/>
        <w:spacing w:line="480" w:lineRule="auto"/>
        <w:ind w:firstLine="720"/>
      </w:pPr>
      <w:r>
        <w:t xml:space="preserve">A word on scope protects the reader from mistaking this for something it is not. The corpus is a curated set of thirty source records drawn from a small number of venue families, not a census of the field. The signal score is a deterministic count of theme terms in titles, snippets, keywords, and author metadata, not a validated construct of political influence. Citation counts are local index measures, not universal counts. None of these limits is hidden. They are stated here, revisited in the data chapter, and carried explicitly into the discussion of threats to validity, because a dissertation earns trust by naming its own boundaries before a critic does.</w:t>
      </w:r>
    </w:p>
    <w:p>
      <w:pPr>
        <w:pStyle w:val="BodyText"/>
        <w:spacing w:line="480" w:lineRule="auto"/>
        <w:ind w:firstLine="720"/>
      </w:pPr>
      <w:r>
        <w:t xml:space="preserve">Why does any of this matter beyond the seminar room? Because programs and diplomatic offices increasingly want early indicators. If the salience of a space-security topic is detectable in the open record before formal codification, then a tractable screen over that record becomes a cheap early-warning instrument for the offices that track norm formation. The mechanism proposed by the norm-entrepreneurship literature, that information sharing itself seeds compliance and trust, gains an empirical handle if its documentary footprint is measurable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This dissertation does not deliver that instrument. It tests one precondition for building it, and it reports the test cleanly.</w:t>
      </w:r>
    </w:p>
    <w:p>
      <w:pPr>
        <w:pStyle w:val="BodyText"/>
        <w:spacing w:line="480" w:lineRule="auto"/>
        <w:ind w:firstLine="720"/>
      </w:pPr>
      <w:r>
        <w:t xml:space="preserve">The roadmap follows the logic of the argument. Chapter 2 situates the study against the space-security, norm-formation, and bibliometric-measurement literatures, using the reference pool to mark what has been established and what remains asserted. Chapter 3 develops the mechanism and states the testable predictions that connect norm entrepreneurship to observable documentary structure. Chapter 4 specifies the two estimators and explains why each identifies the association it targets. Chapter 5 describes the dataset, the variable construction rules, the sources, and the sample size. Chapter 6 reports the exact estimator output for both papers and interprets the signs and magnitudes. Chapter 7 discusses what the findings mean, catalogs the threats to validity, and states plainly what the data cannot show. Chapter 8 draws the contribution together, connects it to governance and program relevance, and specifies the next empirical step</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The through-line is a single commitment: every number in this dissertation is a workbook result, and every substantive claim is conditional on the sources the candidate actually retained.</w:t>
      </w:r>
    </w:p>
    <w:p>
      <w:pPr>
        <w:pStyle w:val="BodyText"/>
        <w:spacing w:line="480" w:lineRule="auto"/>
        <w:ind w:firstLine="720"/>
      </w:pPr>
      <w:r>
        <w:t xml:space="preserve">The remainder of this chapter fixes three terms that recur throughout. A norm, in the constructivist sense adopted here, is a shared standard of appropriate behavior for actors with a given identity, and its life cycle runs from emergence through a cascade of adoption to eventual internalization. A norm entrepreneur is an actor, a state, an agency, a firm, or a coalition, that invests reputational and material resources to move a candidate standard along that cycle. The documentary signal is the observable residue those efforts leave in titles, abstracts, keywords, and citations. The dissertation does not claim that the signal equals the norm. It claims something weaker and testable: that if entrepreneurship is active, the signal should be structured rather than random, and that structure is what the two workbooks are built to detect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13">
        <w:r>
          <w:rPr>
            <w:rStyle w:val="Hyperlink"/>
          </w:rPr>
          <w:t xml:space="preserve">[13]</w:t>
        </w:r>
      </w:hyperlink>
      <w:r>
        <w:t xml:space="preserve">.</w:t>
      </w:r>
    </w:p>
    <w:bookmarkStart w:id="61" w:name="Xcf14ebc4b899a4cb791e321883adf5819f12623"/>
    <w:p>
      <w:pPr>
        <w:pStyle w:val="Heading2"/>
        <w:spacing w:line="480" w:lineRule="auto"/>
      </w:pPr>
      <w:r>
        <w:t xml:space="preserve">1.1 Why the documentary record is the right place to look</w:t>
      </w:r>
    </w:p>
    <w:p>
      <w:pPr>
        <w:pStyle w:val="FirstParagraph"/>
        <w:spacing w:line="480" w:lineRule="auto"/>
      </w:pPr>
      <w:r>
        <w:t xml:space="preserve">A reader might reasonably ask why a study of norm formation should look at publications rather than at votes in the United Nations Committee on the Peaceful Uses of Outer Space, at treaty accessions, or at the registry of space objects. The answer is a matter of sequence. Formal institutional outputs are lagging indicators. A resolution passes after a coalition has already formed; a registry practice hardens after the operational community has already converged on it. If the goal is to detect a norm in its emergent phase, the formal record arrives too late, because by the time a standard reaches a vote it has already cascaded. The documentary record of scholarship and practitioner argument is a leading indicator by comparison, because the vocabulary of an emerging norm appears in published argument before it appears in binding text</w:t>
      </w:r>
      <w:r>
        <w:t xml:space="preserve"> </w:t>
      </w:r>
      <w:hyperlink w:anchor="ref-1">
        <w:r>
          <w:rPr>
            <w:rStyle w:val="Hyperlink"/>
          </w:rPr>
          <w:t xml:space="preserve">[1]</w:t>
        </w:r>
      </w:hyperlink>
      <w:r>
        <w:t xml:space="preserve"> </w:t>
      </w:r>
      <w:hyperlink w:anchor="ref-3">
        <w:r>
          <w:rPr>
            <w:rStyle w:val="Hyperlink"/>
          </w:rPr>
          <w:t xml:space="preserve">[3]</w:t>
        </w:r>
      </w:hyperlink>
      <w:r>
        <w:t xml:space="preserve">. This is not a claim that publications cause norms; it is a claim about timing, that the published record registers intensification earlier than the institutional record registers adoption.</w:t>
      </w:r>
    </w:p>
    <w:p>
      <w:pPr>
        <w:pStyle w:val="BodyText"/>
        <w:spacing w:line="480" w:lineRule="auto"/>
        <w:ind w:firstLine="720"/>
      </w:pPr>
      <w:r>
        <w:t xml:space="preserve">The choice also reflects what is measurable at reasonable cost. Coding treaty negotiations for normative content requires access to closed diplomatic records and expert judgment that does not reproduce across analysts. Counting theme-relevant terms in an open corpus of titles, abstracts, and keywords requires only the corpus and a fixed term list, and it returns the same value for every analyst who runs it. For a design that prizes reproducibility, the open documentary record is the tractable substrate, and its tractability is a feature rather than a compromise</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debris-regime work of Yap and colleagues demonstrates that the documentary record can carry regime-formation signal at all, which is the precondition this study builds on</w:t>
      </w:r>
      <w:r>
        <w:t xml:space="preserve"> </w:t>
      </w:r>
      <w:hyperlink w:anchor="ref-13">
        <w:r>
          <w:rPr>
            <w:rStyle w:val="Hyperlink"/>
          </w:rPr>
          <w:t xml:space="preserve">[13]</w:t>
        </w:r>
      </w:hyperlink>
      <w:r>
        <w:t xml:space="preserve">.</w:t>
      </w:r>
    </w:p>
    <w:bookmarkEnd w:id="61"/>
    <w:bookmarkStart w:id="62" w:name="X93910ea924a3c6acb3d834a9a5c4b3cf129cc1c"/>
    <w:p>
      <w:pPr>
        <w:pStyle w:val="Heading2"/>
        <w:spacing w:line="480" w:lineRule="auto"/>
      </w:pPr>
      <w:r>
        <w:t xml:space="preserve">1.2 The shape of the argument and its burden of proof</w:t>
      </w:r>
    </w:p>
    <w:p>
      <w:pPr>
        <w:pStyle w:val="FirstParagraph"/>
        <w:spacing w:line="480" w:lineRule="auto"/>
      </w:pPr>
      <w:r>
        <w:t xml:space="preserve">The argument carries a specific burden. To sustain the emerging-norm reading, the study must show that the topic signal is structured by an observable property, structured beyond what a random corpus would produce. It sets recency as the primary test because recency is the property most directly implied by the entrepreneurship mechanism: an intensifying campaign concentrates its vocabulary in the newest work. If recency shows no structure, the reading fails, and the dissertation is obligated to report that failure rather than retreat to a weaker claim. This up-front commitment to a decisive term is what distinguishes a falsifiable design from a narrative that can absorb any result</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companion temporal test carries a lighter burden by design, because the framework concedes in advance that the corpus is unfavorable to a strong temporal result. Setting a test whose likely outcome is a null might seem self-defeating, but it serves a purpose. Reporting a predicted null demonstrates that the two screens are not simply tuned to produce significance wherever it is convenient. A design that returns one precise effect and one predicted null, each where the theory said it would, is more credible than a design that returns significance everywhere, because the pattern of results was specified before the estimators ran</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burden of proof, in short, is asymmetric on purpose: heavy on recency, light on temporal accumulation, and honest about which is which.</w:t>
      </w:r>
    </w:p>
    <w:bookmarkEnd w:id="62"/>
    <w:bookmarkStart w:id="63" w:name="Xd820cdfc2110aac58442712c0ec66aee86564fa"/>
    <w:p>
      <w:pPr>
        <w:pStyle w:val="Heading2"/>
        <w:spacing w:line="480" w:lineRule="auto"/>
      </w:pPr>
      <w:r>
        <w:t xml:space="preserve">1.3 Situating the candidate’s question in the field</w:t>
      </w:r>
    </w:p>
    <w:p>
      <w:pPr>
        <w:pStyle w:val="FirstParagraph"/>
        <w:spacing w:line="480" w:lineRule="auto"/>
      </w:pPr>
      <w:r>
        <w:t xml:space="preserve">The candidate’s titular question, which states drive space-security norms, sits at the intersection of two research programs that rarely speak to each other. One program is the strategic-studies analysis of space as a warfighting and deterrence domain, where the emphasis falls on capabilities, postures, and the balance among major powers</w:t>
      </w:r>
      <w:r>
        <w:t xml:space="preserve"> </w:t>
      </w:r>
      <w:hyperlink w:anchor="ref-4">
        <w:r>
          <w:rPr>
            <w:rStyle w:val="Hyperlink"/>
          </w:rPr>
          <w:t xml:space="preserve">[4]</w:t>
        </w:r>
      </w:hyperlink>
      <w:r>
        <w:t xml:space="preserve"> </w:t>
      </w:r>
      <w:hyperlink w:anchor="ref-12">
        <w:r>
          <w:rPr>
            <w:rStyle w:val="Hyperlink"/>
          </w:rPr>
          <w:t xml:space="preserve">[12]</w:t>
        </w:r>
      </w:hyperlink>
      <w:r>
        <w:t xml:space="preserve">. The other is the governance-and-law program, where the emphasis falls on rules, registration, and the diffusion of standards for responsible behavior</w:t>
      </w:r>
      <w:r>
        <w:t xml:space="preserve"> </w:t>
      </w:r>
      <w:hyperlink w:anchor="ref-2">
        <w:r>
          <w:rPr>
            <w:rStyle w:val="Hyperlink"/>
          </w:rPr>
          <w:t xml:space="preserve">[2]</w:t>
        </w:r>
      </w:hyperlink>
      <w:r>
        <w:t xml:space="preserve"> </w:t>
      </w:r>
      <w:hyperlink w:anchor="ref-14">
        <w:r>
          <w:rPr>
            <w:rStyle w:val="Hyperlink"/>
          </w:rPr>
          <w:t xml:space="preserve">[14]</w:t>
        </w:r>
      </w:hyperlink>
      <w:r>
        <w:t xml:space="preserve">. Norm entrepreneurship is the connective tissue: it is how a governance standard becomes strategically salient and how a strategic concern becomes a governance rule. By testing whether that entrepreneurship is measurable in the record, this dissertation offers a small bridge between the two programs, one that neither the strategic nor the governance literature currently provides</w:t>
      </w:r>
      <w:r>
        <w:t xml:space="preserve"> </w:t>
      </w:r>
      <w:hyperlink w:anchor="ref-1">
        <w:r>
          <w:rPr>
            <w:rStyle w:val="Hyperlink"/>
          </w:rPr>
          <w:t xml:space="preserve">[1]</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bridge is deliberately narrow. The study does not adjudicate the strategic debate about whether space is offense-dominant, and it does not resolve the legal debate about whether existing treaties suffice. It occupies the measurement question that both debates presuppose: is the normative activity that both sides invoke actually visible in the record they both cite? Answering that question does not settle either debate, but it gives both a shared, reproducible instrument, which is the modest but real service a bounded empirical study can render to a field long on assertion and short on falsifiable measurement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63"/>
    <w:bookmarkStart w:id="64" w:name="X8d0ee2f93e40eb50a7a10dc44cfe9a805b6d2a0"/>
    <w:p>
      <w:pPr>
        <w:pStyle w:val="Heading2"/>
        <w:spacing w:line="480" w:lineRule="auto"/>
      </w:pPr>
      <w:r>
        <w:t xml:space="preserve">1.4 A note on the UNOOSA record and what this study does and does not use</w:t>
      </w:r>
    </w:p>
    <w:p>
      <w:pPr>
        <w:pStyle w:val="FirstParagraph"/>
        <w:spacing w:line="480" w:lineRule="auto"/>
      </w:pPr>
      <w:r>
        <w:t xml:space="preserve">The dissertation’s title invokes the record of the United Nations Office for Outer Space Affairs, and honesty requires a precise statement of how that record relates to the evidence actually used. The office maintains the register of space objects and hosts the committee proceedings where space-governance norms are debated and, eventually, codified. That record is the formal endpoint of norm formation, the place where an emerged norm becomes institutional fact. It is also, for reasons of access and reproducibility, not the corpus this study screens. The evidence here is the open scholarly and practitioner literature that argues toward those institutional outcomes, not the institutional outputs themselves</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relationship between the two is the leading-versus-lagging distinction drawn earlier. The scholarly record intensifies first; the institutional record hardens later. A study that wanted to detect an already-codified norm would go to the office’s register and proceedings. A study that wants to detect a norm in its emergent phase, before codification, goes to the literature where the emergence is argued, which is what this design does. The title therefore names the destination of the norms under study, while the method observes their departure, and the concluding chapter’s call for a document-coding extension is, in part, a call to connect the two by tracing which literature-stage norms actually reach the institutional record</w:t>
      </w:r>
      <w:r>
        <w:t xml:space="preserve"> </w:t>
      </w:r>
      <w:hyperlink w:anchor="ref-6">
        <w:r>
          <w:rPr>
            <w:rStyle w:val="Hyperlink"/>
          </w:rPr>
          <w:t xml:space="preserve">[6]</w:t>
        </w:r>
      </w:hyperlink>
      <w:r>
        <w:t xml:space="preserve"> </w:t>
      </w:r>
      <w:hyperlink w:anchor="ref-14">
        <w:r>
          <w:rPr>
            <w:rStyle w:val="Hyperlink"/>
          </w:rPr>
          <w:t xml:space="preserve">[14]</w:t>
        </w:r>
      </w:hyperlink>
      <w:r>
        <w:t xml:space="preserve">. Stating this alignment plainly prevents a reader from expecting register data that the study, by design, does not analyze.</w:t>
      </w:r>
    </w:p>
    <w:bookmarkEnd w:id="64"/>
    <w:bookmarkStart w:id="65" w:name="readers-guide-to-the-empirical-claims"/>
    <w:p>
      <w:pPr>
        <w:pStyle w:val="Heading2"/>
        <w:spacing w:line="480" w:lineRule="auto"/>
      </w:pPr>
      <w:r>
        <w:t xml:space="preserve">1.5 Reader’s guide to the empirical claims</w:t>
      </w:r>
    </w:p>
    <w:p>
      <w:pPr>
        <w:pStyle w:val="FirstParagraph"/>
        <w:spacing w:line="480" w:lineRule="auto"/>
      </w:pPr>
      <w:r>
        <w:t xml:space="preserve">Because the dissertation reports exact estimator output, a brief guide helps the reader weight each number correctly before reaching the results chapter. Two numbers carry the argument. The first is the recency coefficient of 0.4333 with its p-value of 0.0107, which is the precise, load-bearing result on which the cross-sectional conclusion rests. The second is the age elasticity of minus 0.404 with its p-value of 0.1241, which is the imprecise, deliberately non-load-bearing result that the framework predicted would be weak. Every other coefficient in the study is context: the intercepts anchor the baselines, and the citation and venue terms are reported as nulls that inform the limits of their respective proxies rather than as findings</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p>
      <w:pPr>
        <w:pStyle w:val="BodyText"/>
        <w:spacing w:line="480" w:lineRule="auto"/>
        <w:ind w:firstLine="720"/>
      </w:pPr>
      <w:r>
        <w:t xml:space="preserve">Reading the two decisive numbers against each other is the whole empirical story in miniature. Salience is structured by time and precisely so; attention accumulation is not structured by time and only weakly so. The rest of the dissertation builds the apparatus that makes those two numbers trustworthy and draws out what they imply, but a reader who holds just those two figures in mind, one precise and one imprecise, exactly where the theory said each would fall, already grasps the shape of the contribution</w:t>
      </w:r>
      <w:r>
        <w:t xml:space="preserve"> </w:t>
      </w:r>
      <w:hyperlink w:anchor="ref-5">
        <w:r>
          <w:rPr>
            <w:rStyle w:val="Hyperlink"/>
          </w:rPr>
          <w:t xml:space="preserve">[5]</w:t>
        </w:r>
      </w:hyperlink>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bookmarkEnd w:id="65"/>
    <w:bookmarkEnd w:id="66"/>
    <w:bookmarkStart w:id="77" w:name="chapter-2.-literature-review"/>
    <w:p>
      <w:pPr>
        <w:pStyle w:val="Heading1"/>
        <w:spacing w:line="480" w:lineRule="auto"/>
      </w:pPr>
      <w:r>
        <w:t xml:space="preserve">Chapter 2. Literature Review</w:t>
      </w:r>
    </w:p>
    <w:p>
      <w:pPr>
        <w:pStyle w:val="FirstParagraph"/>
        <w:spacing w:line="480" w:lineRule="auto"/>
      </w:pPr>
      <w:r>
        <w:t xml:space="preserve">Three bodies of scholarship converge here. None answers the question directly. The first is the space-security and governance literature, which describes how rules for behavior in orbit emerge, harden, or fail. The second is the norm-entrepreneurship tradition in international relations, which explains who drives a standard and by what means. The third is the measurement literature on how salience and attention leave traces in the documentary record. Each is strong on its own terms. Each leaves the joint question open. The gap this study occupies sits where the three meet: the intuition that norm entrepreneurship should be visible in documents is widely shared, yet it is almost never tested against a reproducible screen. This chapter maps each body, marks what has been established, and isolates the untested claim that the empirical papers pursue.</w:t>
      </w:r>
    </w:p>
    <w:bookmarkStart w:id="67" w:name="X4063a701669452e2e9f58cbe634de8b78b5c6e5"/>
    <w:p>
      <w:pPr>
        <w:pStyle w:val="Heading2"/>
        <w:spacing w:line="480" w:lineRule="auto"/>
      </w:pPr>
      <w:r>
        <w:t xml:space="preserve">2.1 Space-security governance and the operational-to-institutional bridge</w:t>
      </w:r>
    </w:p>
    <w:p>
      <w:pPr>
        <w:pStyle w:val="FirstParagraph"/>
        <w:spacing w:line="480" w:lineRule="auto"/>
      </w:pPr>
      <w:r>
        <w:t xml:space="preserve">The starting observation is simple. Operational risk becomes legible before institutions agree how to govern it. Reed and colleagues make this concrete by arguing that sharing operational risk information can itself facilitate norms development and compliance monitoring, so that the data-sharing arrangement is not merely a technical convenience but a carrier of nascent governance</w:t>
      </w:r>
      <w:r>
        <w:t xml:space="preserve"> </w:t>
      </w:r>
      <w:hyperlink w:anchor="ref-1">
        <w:r>
          <w:rPr>
            <w:rStyle w:val="Hyperlink"/>
          </w:rPr>
          <w:t xml:space="preserve">[1]</w:t>
        </w:r>
      </w:hyperlink>
      <w:r>
        <w:t xml:space="preserve">. The claim is important because it locates the mechanism of norm formation in an artifact that can be observed, namely the flow of shared information, rather than in the private intentions of states. A companion argument extends the same logic to trust: decentralized information sharing is presented as a key enabler of trust and the preservation of the space environment, which reframes a security problem as an architecture problem</w:t>
      </w:r>
      <w:r>
        <w:t xml:space="preserve"> </w:t>
      </w:r>
      <w:hyperlink w:anchor="ref-6">
        <w:r>
          <w:rPr>
            <w:rStyle w:val="Hyperlink"/>
          </w:rPr>
          <w:t xml:space="preserve">[6]</w:t>
        </w:r>
      </w:hyperlink>
      <w:r>
        <w:t xml:space="preserve">.</w:t>
      </w:r>
    </w:p>
    <w:p>
      <w:pPr>
        <w:pStyle w:val="BodyText"/>
        <w:spacing w:line="480" w:lineRule="auto"/>
        <w:ind w:firstLine="720"/>
      </w:pPr>
      <w:r>
        <w:t xml:space="preserve">Porras and Zarkan Cesari approach the bridge from the safety side. They contend that the development of space traffic management norms can strengthen security even where no dedicated security instrument exists, because the operational discipline of coordinating traffic generates habits of restraint that spill into the security domain</w:t>
      </w:r>
      <w:r>
        <w:t xml:space="preserve"> </w:t>
      </w:r>
      <w:hyperlink w:anchor="ref-2">
        <w:r>
          <w:rPr>
            <w:rStyle w:val="Hyperlink"/>
          </w:rPr>
          <w:t xml:space="preserve">[2]</w:t>
        </w:r>
      </w:hyperlink>
      <w:r>
        <w:t xml:space="preserve">. This is a norm-diffusion claim in disguise: a rule that begins as a safety convention migrates into a security expectation. Goehring’s regulatory analysis of United States commercial space oversight, framed around a rule of three, complements this by showing how domestic regulatory structure shapes the behavior that any international norm would eventually have to accommodate</w:t>
      </w:r>
      <w:r>
        <w:t xml:space="preserve"> </w:t>
      </w:r>
      <w:hyperlink w:anchor="ref-3">
        <w:r>
          <w:rPr>
            <w:rStyle w:val="Hyperlink"/>
          </w:rPr>
          <w:t xml:space="preserve">[3]</w:t>
        </w:r>
      </w:hyperlink>
      <w:r>
        <w:t xml:space="preserve">. Together these works establish that governance in orbit is built incrementally, often from technical and commercial practice upward rather than from treaty text downward.</w:t>
      </w:r>
    </w:p>
    <w:p>
      <w:pPr>
        <w:pStyle w:val="BodyText"/>
        <w:spacing w:line="480" w:lineRule="auto"/>
        <w:ind w:firstLine="720"/>
      </w:pPr>
      <w:r>
        <w:t xml:space="preserve">The two literatures divide the labor. Operational work is strong on mechanism. Strategic work is strong on stakes. Harrison’s assessment of international perspectives on space weapons catalogs how different states read the offense-defense balance and what postures they adopt, which supplies the security backdrop against which any norm must be negotiated</w:t>
      </w:r>
      <w:r>
        <w:t xml:space="preserve"> </w:t>
      </w:r>
      <w:hyperlink w:anchor="ref-4">
        <w:r>
          <w:rPr>
            <w:rStyle w:val="Hyperlink"/>
          </w:rPr>
          <w:t xml:space="preserve">[4]</w:t>
        </w:r>
      </w:hyperlink>
      <w:r>
        <w:t xml:space="preserve">. Chronopoulos advances this into deterrence theory proper, offering a preliminary examination of general deterrence in space during peacetime and emphasizing the role of strategic narratives in United States and China dynamics</w:t>
      </w:r>
      <w:r>
        <w:t xml:space="preserve"> </w:t>
      </w:r>
      <w:hyperlink w:anchor="ref-12">
        <w:r>
          <w:rPr>
            <w:rStyle w:val="Hyperlink"/>
          </w:rPr>
          <w:t xml:space="preserve">[12]</w:t>
        </w:r>
      </w:hyperlink>
      <w:r>
        <w:t xml:space="preserve">. The narrative emphasis matters for the present study because narratives are precisely the kind of thing that leaves a documentary footprint. If deterrence in space is partly a contest of narratives, then the intensity of a topic in the published record is not a side effect; it is part of the phenomenon.</w:t>
      </w:r>
    </w:p>
    <w:bookmarkEnd w:id="67"/>
    <w:bookmarkStart w:id="68" w:name="X641127c2ea77d755128db7d69d0f6dcafd4a784"/>
    <w:p>
      <w:pPr>
        <w:pStyle w:val="Heading2"/>
        <w:spacing w:line="480" w:lineRule="auto"/>
      </w:pPr>
      <w:r>
        <w:t xml:space="preserve">2.2 Debris, registration, and the hardening of a regime</w:t>
      </w:r>
    </w:p>
    <w:p>
      <w:pPr>
        <w:pStyle w:val="FirstParagraph"/>
        <w:spacing w:line="480" w:lineRule="auto"/>
      </w:pPr>
      <w:r>
        <w:t xml:space="preserve">Debris is the clearest case. A single technical problem can crystallize an entire governance regime, which is the closest available analog to the norm-emergence process this dissertation tries to detect. Yap, Heiberg, and Truffer perform a discourse network analysis of the emerging global socio-technical regime for tackling space debris, tracing how actors, framings, and coalitions align over time until a recognizable regime takes shape</w:t>
      </w:r>
      <w:r>
        <w:t xml:space="preserve"> </w:t>
      </w:r>
      <w:hyperlink w:anchor="ref-13">
        <w:r>
          <w:rPr>
            <w:rStyle w:val="Hyperlink"/>
          </w:rPr>
          <w:t xml:space="preserve">[13]</w:t>
        </w:r>
      </w:hyperlink>
      <w:r>
        <w:t xml:space="preserve">. This is the methodological cousin of the present work: both treat the documentary record as evidence of regime formation, though the discourse network approach maps relations among actors while this study screens for structure in metadata. Steele’s inquiry into whether international law can provide a basis for actively removing debris shows the legal friction that accompanies regime hardening, where a widely shared operational goal outruns the legal authority to pursue it</w:t>
      </w:r>
      <w:r>
        <w:t xml:space="preserve"> </w:t>
      </w:r>
      <w:hyperlink w:anchor="ref-8">
        <w:r>
          <w:rPr>
            <w:rStyle w:val="Hyperlink"/>
          </w:rPr>
          <w:t xml:space="preserve">[8]</w:t>
        </w:r>
      </w:hyperlink>
      <w:r>
        <w:t xml:space="preserve">.</w:t>
      </w:r>
    </w:p>
    <w:p>
      <w:pPr>
        <w:pStyle w:val="BodyText"/>
        <w:spacing w:line="480" w:lineRule="auto"/>
        <w:ind w:firstLine="720"/>
      </w:pPr>
      <w:r>
        <w:t xml:space="preserve">Registration practice supplies a further test case. Masson-Zwaan and colleagues argue that registration practices must improve in the context of space traffic management, which is a norm-entrepreneurship claim stated as an administrative reform: a coalition of scholars and practitioners is trying to move a standard along its life cycle by naming a deficiency and proposing a correction</w:t>
      </w:r>
      <w:r>
        <w:t xml:space="preserve"> </w:t>
      </w:r>
      <w:hyperlink w:anchor="ref-14">
        <w:r>
          <w:rPr>
            <w:rStyle w:val="Hyperlink"/>
          </w:rPr>
          <w:t xml:space="preserve">[14]</w:t>
        </w:r>
      </w:hyperlink>
      <w:r>
        <w:t xml:space="preserve">. Dalal, Boley, and Byers sharpen the security dimension by connecting space debris to nuclear strategic stability, arguing that collision risks and attribution potential in geostationary orbit carry consequences for deterrence itself</w:t>
      </w:r>
      <w:r>
        <w:t xml:space="preserve"> </w:t>
      </w:r>
      <w:hyperlink w:anchor="ref-7">
        <w:r>
          <w:rPr>
            <w:rStyle w:val="Hyperlink"/>
          </w:rPr>
          <w:t xml:space="preserve">[7]</w:t>
        </w:r>
      </w:hyperlink>
      <w:r>
        <w:t xml:space="preserve">. The through-line across this cluster is that governance regimes form around problems, and the debris problem has generated the densest and best-documented example, which is why the corpus for this study is weighted toward it.</w:t>
      </w:r>
    </w:p>
    <w:bookmarkEnd w:id="68"/>
    <w:bookmarkStart w:id="69" w:name="Xdca5ae9a36acd4cc2a38d6f896544420c66505d"/>
    <w:p>
      <w:pPr>
        <w:pStyle w:val="Heading2"/>
        <w:spacing w:line="480" w:lineRule="auto"/>
      </w:pPr>
      <w:r>
        <w:t xml:space="preserve">2.3 Norm entrepreneurship and the constructivist account of who drives rules</w:t>
      </w:r>
    </w:p>
    <w:p>
      <w:pPr>
        <w:pStyle w:val="FirstParagraph"/>
        <w:spacing w:line="480" w:lineRule="auto"/>
      </w:pPr>
      <w:r>
        <w:t xml:space="preserve">Theory enters here. The international relations tradition supplies the account that gives the empirical screen its meaning. In the constructivist account, norms move through a life cycle, and specific actors, the entrepreneurs, expend resources to push a candidate standard from emergence toward a cascade of adoption. The space-security works above are, read together, a catalog of entrepreneurship in action: the MITRE and Secure World Foundation authors advancing information-sharing norms are entrepreneurs for a transparency standard</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traffic-management advocates are entrepreneurs for a coordination standard</w:t>
      </w:r>
      <w:r>
        <w:t xml:space="preserve"> </w:t>
      </w:r>
      <w:hyperlink w:anchor="ref-2">
        <w:r>
          <w:rPr>
            <w:rStyle w:val="Hyperlink"/>
          </w:rPr>
          <w:t xml:space="preserve">[2]</w:t>
        </w:r>
      </w:hyperlink>
      <w:r>
        <w:t xml:space="preserve"> </w:t>
      </w:r>
      <w:hyperlink w:anchor="ref-14">
        <w:r>
          <w:rPr>
            <w:rStyle w:val="Hyperlink"/>
          </w:rPr>
          <w:t xml:space="preserve">[14]</w:t>
        </w:r>
      </w:hyperlink>
      <w:r>
        <w:t xml:space="preserve">; the debris-regime analysts document a cascade in progress</w:t>
      </w:r>
      <w:r>
        <w:t xml:space="preserve"> </w:t>
      </w:r>
      <w:hyperlink w:anchor="ref-13">
        <w:r>
          <w:rPr>
            <w:rStyle w:val="Hyperlink"/>
          </w:rPr>
          <w:t xml:space="preserve">[13]</w:t>
        </w:r>
      </w:hyperlink>
      <w:r>
        <w:t xml:space="preserve">. What the tradition predicts, and what has not been tested here, is that entrepreneurship should produce observable structure in the record. Active entrepreneurship implies clustering, recency, and venue concentration rather than a flat, random distribution of attention.</w:t>
      </w:r>
    </w:p>
    <w:p>
      <w:pPr>
        <w:pStyle w:val="BodyText"/>
        <w:spacing w:line="480" w:lineRule="auto"/>
        <w:ind w:firstLine="720"/>
      </w:pPr>
      <w:r>
        <w:t xml:space="preserve">This prediction connects to a specific piece of the candidate’s own intellectual context. The dataset includes a doctoral thesis proposing an international space reference architecture as a socio-technological mechanism to resolve governance failures by coupling enterprise architecture with constructivist theory, blockchain-enabled information sharing, and norms entrepreneurship. That the retrieved corpus contains such a document is itself evidence that the entrepreneurship framing is live in the field, and it justifies treating norm entrepreneurship not as an external lens imposed on the data but as a category the field already uses to describe itself</w:t>
      </w:r>
      <w:r>
        <w:t xml:space="preserve"> </w:t>
      </w:r>
      <w:hyperlink w:anchor="ref-6">
        <w:r>
          <w:rPr>
            <w:rStyle w:val="Hyperlink"/>
          </w:rPr>
          <w:t xml:space="preserve">[6]</w:t>
        </w:r>
      </w:hyperlink>
      <w:r>
        <w:t xml:space="preserve">. The dissertation therefore does not need to argue that entrepreneurship exists in space governance. It needs to test whether that entrepreneurship is measurable.</w:t>
      </w:r>
    </w:p>
    <w:bookmarkEnd w:id="69"/>
    <w:bookmarkStart w:id="70" w:name="X0693cd70aacd56c7a9f808050c64ad1270d1e0d"/>
    <w:p>
      <w:pPr>
        <w:pStyle w:val="Heading2"/>
        <w:spacing w:line="480" w:lineRule="auto"/>
      </w:pPr>
      <w:r>
        <w:t xml:space="preserve">2.4 Measurement, salience, and the bibliometric residue of attention</w:t>
      </w:r>
    </w:p>
    <w:p>
      <w:pPr>
        <w:pStyle w:val="FirstParagraph"/>
        <w:spacing w:line="480" w:lineRule="auto"/>
      </w:pPr>
      <w:r>
        <w:t xml:space="preserve">The third body of work concerns how salience and attention register in metadata. Bibliometric reasoning holds that a topic gaining ground should show recency effects, as newer work adopts the emerging vocabulary, and citation effects, as the community converges on anchor references. The learning-curve tradition adds a temporal expectation: attention to a body of work often accumulates in a patterned way as documents age, which is the intuition Paper 2 tests directly. These expectations are not automatic. Recency can be swamped by venue idiosyncrasy, and citation counts drawn from a local index can diverge sharply from universal counts, a hazard this study confronts head-on because its citation field is a local brain measure rather than a global one.</w:t>
      </w:r>
    </w:p>
    <w:p>
      <w:pPr>
        <w:pStyle w:val="BodyText"/>
        <w:spacing w:line="480" w:lineRule="auto"/>
        <w:ind w:firstLine="720"/>
      </w:pPr>
      <w:r>
        <w:t xml:space="preserve">Adjacent Acta Astronautica work illustrates both the promise and the noise. Studies on the governance of AI-based space systems</w:t>
      </w:r>
      <w:r>
        <w:t xml:space="preserve"> </w:t>
      </w:r>
      <w:hyperlink w:anchor="ref-9">
        <w:r>
          <w:rPr>
            <w:rStyle w:val="Hyperlink"/>
          </w:rPr>
          <w:t xml:space="preserve">[9]</w:t>
        </w:r>
      </w:hyperlink>
      <w:r>
        <w:t xml:space="preserve">, on institutional bottlenecks in laser utilization</w:t>
      </w:r>
      <w:r>
        <w:t xml:space="preserve"> </w:t>
      </w:r>
      <w:hyperlink w:anchor="ref-10">
        <w:r>
          <w:rPr>
            <w:rStyle w:val="Hyperlink"/>
          </w:rPr>
          <w:t xml:space="preserve">[10]</w:t>
        </w:r>
      </w:hyperlink>
      <w:r>
        <w:t xml:space="preserve">, on the sustainability implications of the new space economy</w:t>
      </w:r>
      <w:r>
        <w:t xml:space="preserve"> </w:t>
      </w:r>
      <w:hyperlink w:anchor="ref-11">
        <w:r>
          <w:rPr>
            <w:rStyle w:val="Hyperlink"/>
          </w:rPr>
          <w:t xml:space="preserve">[11]</w:t>
        </w:r>
      </w:hyperlink>
      <w:r>
        <w:t xml:space="preserve">, on gamification as a strategy in space law</w:t>
      </w:r>
      <w:r>
        <w:t xml:space="preserve"> </w:t>
      </w:r>
      <w:hyperlink w:anchor="ref-15">
        <w:r>
          <w:rPr>
            <w:rStyle w:val="Hyperlink"/>
          </w:rPr>
          <w:t xml:space="preserve">[15]</w:t>
        </w:r>
      </w:hyperlink>
      <w:r>
        <w:t xml:space="preserve">, and on multispecies framings shared between the search for extraterrestrial intelligence and space sustainability</w:t>
      </w:r>
      <w:r>
        <w:t xml:space="preserve"> </w:t>
      </w:r>
      <w:hyperlink w:anchor="ref-16">
        <w:r>
          <w:rPr>
            <w:rStyle w:val="Hyperlink"/>
          </w:rPr>
          <w:t xml:space="preserve">[16]</w:t>
        </w:r>
      </w:hyperlink>
      <w:r>
        <w:t xml:space="preserve"> </w:t>
      </w:r>
      <w:r>
        <w:t xml:space="preserve">show a field rapidly generating new governance vocabulary. Many of these entries are very recent and therefore lightly cited, which is exactly the condition under which a citation-based temporal screen should return a weak result. The measurement literature thus predicts, in advance, that this corpus should show a recency signal in salience and a muted signal in citation accumulation, a prediction the results chapter will confirm rather than contradict.</w:t>
      </w:r>
    </w:p>
    <w:bookmarkEnd w:id="70"/>
    <w:bookmarkStart w:id="71" w:name="the-gap-and-the-contribution"/>
    <w:p>
      <w:pPr>
        <w:pStyle w:val="Heading2"/>
        <w:spacing w:line="480" w:lineRule="auto"/>
      </w:pPr>
      <w:r>
        <w:t xml:space="preserve">2.5 The gap and the contribution</w:t>
      </w:r>
    </w:p>
    <w:bookmarkEnd w:id="71"/>
    <w:bookmarkStart w:id="72" w:name="X6e48404f7db056366e269b05099bb8947323ba6"/>
    <w:p>
      <w:pPr>
        <w:pStyle w:val="Heading2"/>
        <w:spacing w:line="480" w:lineRule="auto"/>
      </w:pPr>
      <w:r>
        <w:t xml:space="preserve">2.6 Deterrence, narratives, and the strategic reading of the record</w:t>
      </w:r>
    </w:p>
    <w:p>
      <w:pPr>
        <w:pStyle w:val="FirstParagraph"/>
        <w:spacing w:line="480" w:lineRule="auto"/>
      </w:pPr>
      <w:r>
        <w:t xml:space="preserve">The deterrence turn in space-security scholarship deserves separate treatment because it changes what a documentary signal means. Chronopoulos argues that general deterrence operates in space even during peacetime, and that strategic narratives, the stories states tell about their capabilities and intentions, are part of how deterrence is produced and sustained</w:t>
      </w:r>
      <w:r>
        <w:t xml:space="preserve"> </w:t>
      </w:r>
      <w:hyperlink w:anchor="ref-12">
        <w:r>
          <w:rPr>
            <w:rStyle w:val="Hyperlink"/>
          </w:rPr>
          <w:t xml:space="preserve">[12]</w:t>
        </w:r>
      </w:hyperlink>
      <w:r>
        <w:t xml:space="preserve">. If this is right, then published argument is not merely a description of the security environment; it is an input to it. A rising density of space-security norm language in the literature is, on this reading, partly constitutive of the deterrent relationship rather than a passive reflection of it. That gives the recency signal a second interpretation beyond norm emergence: it may track the intensification of the narrative contest itself.</w:t>
      </w:r>
    </w:p>
    <w:p>
      <w:pPr>
        <w:pStyle w:val="BodyText"/>
        <w:spacing w:line="480" w:lineRule="auto"/>
        <w:ind w:firstLine="720"/>
      </w:pPr>
      <w:r>
        <w:t xml:space="preserve">Harrison’s cataloging of international perspectives on space weapons supplies the raw material for such a contest, showing that states read the offense-defense balance differently and adopt correspondingly different postures</w:t>
      </w:r>
      <w:r>
        <w:t xml:space="preserve"> </w:t>
      </w:r>
      <w:hyperlink w:anchor="ref-4">
        <w:r>
          <w:rPr>
            <w:rStyle w:val="Hyperlink"/>
          </w:rPr>
          <w:t xml:space="preserve">[4]</w:t>
        </w:r>
      </w:hyperlink>
      <w:r>
        <w:t xml:space="preserve">. Dalal, Boley, and Byers connect the physical and the strategic by arguing that debris in geostationary orbit carries consequences for nuclear strategic stability, since collision risk and attribution potential shape how states assess one another’s intentions</w:t>
      </w:r>
      <w:r>
        <w:t xml:space="preserve"> </w:t>
      </w:r>
      <w:hyperlink w:anchor="ref-7">
        <w:r>
          <w:rPr>
            <w:rStyle w:val="Hyperlink"/>
          </w:rPr>
          <w:t xml:space="preserve">[7]</w:t>
        </w:r>
      </w:hyperlink>
      <w:r>
        <w:t xml:space="preserve">. Read together, these works imply that the space-security record braids three threads at once: a governance thread about rules, a strategic thread about deterrence, and a technical thread about the physical environment. The screen in this dissertation does not disentangle the three; it detects that their combined vocabulary is intensifying. Disentangling them is a task the concluding chapter names as future work, and it is beyond the reach of a metadata-only design</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bookmarkEnd w:id="72"/>
    <w:bookmarkStart w:id="73" w:name="X7573c047a9f9459d7174ad5d5d935104bf15a5f"/>
    <w:p>
      <w:pPr>
        <w:pStyle w:val="Heading2"/>
        <w:spacing w:line="480" w:lineRule="auto"/>
      </w:pPr>
      <w:r>
        <w:t xml:space="preserve">2.7 The measurement literature’s cautions, taken seriously</w:t>
      </w:r>
    </w:p>
    <w:p>
      <w:pPr>
        <w:pStyle w:val="FirstParagraph"/>
        <w:spacing w:line="480" w:lineRule="auto"/>
      </w:pPr>
      <w:r>
        <w:t xml:space="preserve">The bibliometric tradition supplies not only expectations but warnings, and a responsible review must record the warnings as carefully as the expectations. Three cautions bear directly on this study. The first is that recency effects can be confounded by venue publishing cycles: a journal that runs a special issue on a topic in a given year will inject a burst of theme-dense records that mimics an emerging-norm signal without any underlying norm dynamic</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The second is that local citation counts are unreliable proxies for salience in young corpora, because the citing community has not had time to respond, a hazard the present corpus embodies almost perfectly given its weighting toward recent entries</w:t>
      </w:r>
      <w:r>
        <w:t xml:space="preserve"> </w:t>
      </w:r>
      <w:hyperlink w:anchor="ref-9">
        <w:r>
          <w:rPr>
            <w:rStyle w:val="Hyperlink"/>
          </w:rPr>
          <w:t xml:space="preserve">[9]</w:t>
        </w:r>
      </w:hyperlink>
      <w:r>
        <w:t xml:space="preserve"> </w:t>
      </w:r>
      <w:hyperlink w:anchor="ref-16">
        <w:r>
          <w:rPr>
            <w:rStyle w:val="Hyperlink"/>
          </w:rPr>
          <w:t xml:space="preserve">[16]</w:t>
        </w:r>
      </w:hyperlink>
      <w:r>
        <w:t xml:space="preserve">. The third is that ordinal venue codes invite over-interpretation, since the spacing between venue families is not an interval quantity and a coefficient on such a code cannot be read as a rate</w:t>
      </w:r>
      <w:r>
        <w:t xml:space="preserve"> </w:t>
      </w:r>
      <w:hyperlink w:anchor="ref-3">
        <w:r>
          <w:rPr>
            <w:rStyle w:val="Hyperlink"/>
          </w:rPr>
          <w:t xml:space="preserve">[3]</w:t>
        </w:r>
      </w:hyperlink>
      <w:r>
        <w:t xml:space="preserve">.</w:t>
      </w:r>
    </w:p>
    <w:p>
      <w:pPr>
        <w:pStyle w:val="BodyText"/>
        <w:spacing w:line="480" w:lineRule="auto"/>
        <w:ind w:firstLine="720"/>
      </w:pPr>
      <w:r>
        <w:t xml:space="preserve">These cautions are not reasons to abandon the design; they are reasons to specify it conservatively, which the methodology chapter does. Each caution maps to a concrete choice: robust standard errors to guard against the heteroskedasticity that heterogeneous venues produce, an explicit refusal to read the citation null as substantive, and an ordinal rather than interval treatment of venue. The review records them here so that the results chapter can invoke them without appearing to invent excuses after the fact. A study that anticipates its own confounds in the literature review is harder to accuse of rationalizing them at the end</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73"/>
    <w:bookmarkStart w:id="74" w:name="X09ee718ea69a76dcb1387ef7376be3fcfd8fbed"/>
    <w:p>
      <w:pPr>
        <w:pStyle w:val="Heading2"/>
        <w:spacing w:line="480" w:lineRule="auto"/>
      </w:pPr>
      <w:r>
        <w:t xml:space="preserve">2.9 The commercial and economic literature as boundary condition</w:t>
      </w:r>
    </w:p>
    <w:p>
      <w:pPr>
        <w:pStyle w:val="FirstParagraph"/>
        <w:spacing w:line="480" w:lineRule="auto"/>
      </w:pPr>
      <w:r>
        <w:t xml:space="preserve">A further strand deserves mention because it sets a boundary on how far a security-norm reading can travel: the literature on the commercial and economic transformation of the space sector. Paravano and colleagues survey the impact of the new space economy on sustainability, showing that commercial actors have become central to the governance conversation and that their incentives do not always align with the security priorities that dominate the strategic literature</w:t>
      </w:r>
      <w:r>
        <w:t xml:space="preserve"> </w:t>
      </w:r>
      <w:hyperlink w:anchor="ref-11">
        <w:r>
          <w:rPr>
            <w:rStyle w:val="Hyperlink"/>
          </w:rPr>
          <w:t xml:space="preserve">[11]</w:t>
        </w:r>
      </w:hyperlink>
      <w:r>
        <w:t xml:space="preserve">. This matters for the present study because the corpus mixes security-driven and commercially driven records, and the theme-term screen does not separate the two. A rising signal could reflect security-norm entrepreneurship, commercial-sustainability advocacy, or both intertwined.</w:t>
      </w:r>
    </w:p>
    <w:p>
      <w:pPr>
        <w:pStyle w:val="BodyText"/>
        <w:spacing w:line="480" w:lineRule="auto"/>
        <w:ind w:firstLine="720"/>
      </w:pPr>
      <w:r>
        <w:t xml:space="preserve">Goehring’s rule-of-three analysis of commercial oversight sits at exactly this seam, describing how domestic regulation channels commercial behavior in ways that any international security norm must accommodate</w:t>
      </w:r>
      <w:r>
        <w:t xml:space="preserve"> </w:t>
      </w:r>
      <w:hyperlink w:anchor="ref-3">
        <w:r>
          <w:rPr>
            <w:rStyle w:val="Hyperlink"/>
          </w:rPr>
          <w:t xml:space="preserve">[3]</w:t>
        </w:r>
      </w:hyperlink>
      <w:r>
        <w:t xml:space="preserve">. Long and Chen’s account of institutional bottlenecks in laser utilization shows a related dynamic, where a dual-use technology generates governance pressure that is simultaneously commercial, safety-oriented, and security-relevant</w:t>
      </w:r>
      <w:r>
        <w:t xml:space="preserve"> </w:t>
      </w:r>
      <w:hyperlink w:anchor="ref-10">
        <w:r>
          <w:rPr>
            <w:rStyle w:val="Hyperlink"/>
          </w:rPr>
          <w:t xml:space="preserve">[10]</w:t>
        </w:r>
      </w:hyperlink>
      <w:r>
        <w:t xml:space="preserve">. The lesson for this review is that the space-security norm does not form in isolation from the economic transformation of the domain, and a metadata screen that counts theme vocabulary will inevitably fold some commercial-governance salience into its measure. The dissertation treats this as a boundary condition on interpretation rather than as a flaw, and the discussion chapter returns to it when weighing what the recency signal can and cannot be said to represent</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bookmarkEnd w:id="74"/>
    <w:bookmarkStart w:id="75" w:name="X6d5800b716567de80bc21a9fbddf3f9ce162429"/>
    <w:p>
      <w:pPr>
        <w:pStyle w:val="Heading2"/>
        <w:spacing w:line="480" w:lineRule="auto"/>
      </w:pPr>
      <w:r>
        <w:t xml:space="preserve">2.10 Novel framings and the breadth of the emerging vocabulary</w:t>
      </w:r>
    </w:p>
    <w:p>
      <w:pPr>
        <w:pStyle w:val="FirstParagraph"/>
        <w:spacing w:line="480" w:lineRule="auto"/>
      </w:pPr>
      <w:r>
        <w:t xml:space="preserve">The most recent entries in the reference pool illustrate how quickly the governance vocabulary is expanding, which is itself relevant to a recency-based screen. Hurova and colleagues examine gamification as a strategy for navigating the growing landscape of space law, a framing that would have been unusual only a few years earlier</w:t>
      </w:r>
      <w:r>
        <w:t xml:space="preserve"> </w:t>
      </w:r>
      <w:hyperlink w:anchor="ref-15">
        <w:r>
          <w:rPr>
            <w:rStyle w:val="Hyperlink"/>
          </w:rPr>
          <w:t xml:space="preserve">[15]</w:t>
        </w:r>
      </w:hyperlink>
      <w:r>
        <w:t xml:space="preserve">. Profitiliotis draws a connection between the search for extraterrestrial intelligence and space sustainability through a multispecies lens, stretching the sustainability conversation into territory the earlier literature never occupied</w:t>
      </w:r>
      <w:r>
        <w:t xml:space="preserve"> </w:t>
      </w:r>
      <w:hyperlink w:anchor="ref-16">
        <w:r>
          <w:rPr>
            <w:rStyle w:val="Hyperlink"/>
          </w:rPr>
          <w:t xml:space="preserve">[16]</w:t>
        </w:r>
      </w:hyperlink>
      <w:r>
        <w:t xml:space="preserve">. Tricco and colleagues bring a data-driven governance perspective to the protection of AI-based space systems, folding a new technological category into the security-norm discussion</w:t>
      </w:r>
      <w:r>
        <w:t xml:space="preserve"> </w:t>
      </w:r>
      <w:hyperlink w:anchor="ref-9">
        <w:r>
          <w:rPr>
            <w:rStyle w:val="Hyperlink"/>
          </w:rPr>
          <w:t xml:space="preserve">[9]</w:t>
        </w:r>
      </w:hyperlink>
      <w:r>
        <w:t xml:space="preserve">.</w:t>
      </w:r>
    </w:p>
    <w:p>
      <w:pPr>
        <w:pStyle w:val="BodyText"/>
        <w:spacing w:line="480" w:lineRule="auto"/>
        <w:ind w:firstLine="720"/>
      </w:pPr>
      <w:r>
        <w:t xml:space="preserve">These framings share a property that bears directly on the study’s design: they are recent, they are theme-dense, and they carry almost no citations because they are new. A recency-based salience screen will register them strongly, while a citation-based screen will register them not at all, which is a compact illustration of why the two papers return the results they do. The breadth of the emerging vocabulary is, in this sense, both the phenomenon the study detects and the reason its citation proxy fails: a field generating novel governance framings faster than the citing community can respond will always show strong recency structure and weak citation structure</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w:t>
      </w:r>
    </w:p>
    <w:bookmarkEnd w:id="75"/>
    <w:bookmarkStart w:id="76" w:name="the-gap-and-the-contribution-1"/>
    <w:p>
      <w:pPr>
        <w:pStyle w:val="Heading2"/>
        <w:spacing w:line="480" w:lineRule="auto"/>
      </w:pPr>
      <w:r>
        <w:t xml:space="preserve">2.11 The gap and the contribution</w:t>
      </w:r>
    </w:p>
    <w:p>
      <w:pPr>
        <w:pStyle w:val="FirstParagraph"/>
        <w:spacing w:line="480" w:lineRule="auto"/>
      </w:pPr>
      <w:r>
        <w:t xml:space="preserve">Pulling the three strands together exposes the gap precisely. The governance literature establishes that norms in orbit form incrementally from operational practice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The constructivist tradition names the entrepreneurs and predicts that their activity should be observable</w:t>
      </w:r>
      <w:r>
        <w:t xml:space="preserve"> </w:t>
      </w:r>
      <w:hyperlink w:anchor="ref-6">
        <w:r>
          <w:rPr>
            <w:rStyle w:val="Hyperlink"/>
          </w:rPr>
          <w:t xml:space="preserve">[6]</w:t>
        </w:r>
      </w:hyperlink>
      <w:r>
        <w:t xml:space="preserve"> </w:t>
      </w:r>
      <w:hyperlink w:anchor="ref-14">
        <w:r>
          <w:rPr>
            <w:rStyle w:val="Hyperlink"/>
          </w:rPr>
          <w:t xml:space="preserve">[14]</w:t>
        </w:r>
      </w:hyperlink>
      <w:r>
        <w:t xml:space="preserve">. The measurement literature specifies where that observability should appear: in recency, citation, and venue structure. What no existing work in this pool does is run the joint test. Nobody has taken a source-traced corpus of space-security records and asked, with a fixed estimator, whether the topic signal is actually structured by those three properties. That omission is the opening. The contribution of this dissertation is not a new theory of space norms and not a new governance proposal. It is a reproducible screen that turns a widely repeated intuition into a claim that can be rejected, and a companion temporal screen that tests whether the field’s attention accumulates in a lawlike way.</w:t>
      </w:r>
    </w:p>
    <w:p>
      <w:pPr>
        <w:pStyle w:val="BodyText"/>
        <w:spacing w:line="480" w:lineRule="auto"/>
        <w:ind w:firstLine="720"/>
      </w:pPr>
      <w:r>
        <w:t xml:space="preserve">The legal-authority literature adds one final framing that the review should record, because it marks where norm emergence collides with institutional reality. Steele’s inquiry into whether international law can support active debris removal shows a case in which operational consensus outran legal authority: the community broadly agreed removal was desirable while the legal basis for pursuing it remained contested</w:t>
      </w:r>
      <w:r>
        <w:t xml:space="preserve"> </w:t>
      </w:r>
      <w:hyperlink w:anchor="ref-8">
        <w:r>
          <w:rPr>
            <w:rStyle w:val="Hyperlink"/>
          </w:rPr>
          <w:t xml:space="preserve">[8]</w:t>
        </w:r>
      </w:hyperlink>
      <w:r>
        <w:t xml:space="preserve">. Masson-Zwaan and colleagues describe a parallel gap in registration practice, where a coalition of scholars presses for reform that the existing instruments do not yet require</w:t>
      </w:r>
      <w:r>
        <w:t xml:space="preserve"> </w:t>
      </w:r>
      <w:hyperlink w:anchor="ref-14">
        <w:r>
          <w:rPr>
            <w:rStyle w:val="Hyperlink"/>
          </w:rPr>
          <w:t xml:space="preserve">[14]</w:t>
        </w:r>
      </w:hyperlink>
      <w:r>
        <w:t xml:space="preserve">. Both cases illustrate that a norm can be highly salient in the literature, and thus detectable by a recency screen, long before it acquires binding force, which is precisely the emergence-before-codification dynamic this study is built to observe. The chapters that follow build that screen, run it, and report exactly what it returns</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76"/>
    <w:bookmarkEnd w:id="77"/>
    <w:bookmarkStart w:id="88"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A theory earns its place by risking failure. It must generate predictions that could be wrong. This chapter builds the mechanism that links norm entrepreneurship to the documentary record, then converts that mechanism into testable predictions with explicit signs. The argument proceeds in three moves. First, it specifies what norm entrepreneurship does and where it should leave a trace. Second, it derives the cross-sectional predictions that Paper 1 tests. Third, it derives the temporal prediction that Paper 2 tests. Throughout, the aim is to keep the theory tight enough that the estimators can adjudicate it rather than merely illustrate it.</w:t>
      </w:r>
    </w:p>
    <w:bookmarkStart w:id="78" w:name="X7dfea22dbe0d20ac8603f6d06fc2f35155a6169"/>
    <w:p>
      <w:pPr>
        <w:pStyle w:val="Heading2"/>
        <w:spacing w:line="480" w:lineRule="auto"/>
      </w:pPr>
      <w:r>
        <w:t xml:space="preserve">3.0 The constructivist premise and its testable edge</w:t>
      </w:r>
    </w:p>
    <w:p>
      <w:pPr>
        <w:pStyle w:val="FirstParagraph"/>
        <w:spacing w:line="480" w:lineRule="auto"/>
      </w:pPr>
      <w:r>
        <w:t xml:space="preserve">The framework rests on a constructivist premise: that behavior in orbit is governed not only by capability and interest but by shared understandings of what counts as appropriate conduct. On this view, a norm is not a rule imposed from outside but a standard that actors come to hold and enforce on one another, and its power grows as more actors internalize it. The premise is not itself testable in the abstract, which is a familiar complaint about constructivism, that it explains everything and predicts nothing. The response this dissertation offers is to attach the premise to an observable: if shared understandings are being actively cultivated, that cultivation should leave a trace in the record where the understandings are argued and diffused</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testable edge of the premise, then, is not the existence of norms but their observable emergence. Reed and colleagues supply the clearest example of cultivation in action, treating an information-sharing architecture as a device for building the shared understanding that underwrites compliance</w:t>
      </w:r>
      <w:r>
        <w:t xml:space="preserve"> </w:t>
      </w:r>
      <w:hyperlink w:anchor="ref-1">
        <w:r>
          <w:rPr>
            <w:rStyle w:val="Hyperlink"/>
          </w:rPr>
          <w:t xml:space="preserve">[1]</w:t>
        </w:r>
      </w:hyperlink>
      <w:r>
        <w:t xml:space="preserve">. Porras and Zarkan Cesari supply a second, showing how a safety convention becomes a security expectation as actors internalize the coordination it requires</w:t>
      </w:r>
      <w:r>
        <w:t xml:space="preserve"> </w:t>
      </w:r>
      <w:hyperlink w:anchor="ref-2">
        <w:r>
          <w:rPr>
            <w:rStyle w:val="Hyperlink"/>
          </w:rPr>
          <w:t xml:space="preserve">[2]</w:t>
        </w:r>
      </w:hyperlink>
      <w:r>
        <w:t xml:space="preserve">. In both cases the shared understanding is being built in public, through argument, and that public construction is what the signal score is designed to register. The framework thus converts a soft constructivist claim into a hard prediction about documentary structure, which is the move that makes the rest of the dissertation possible</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bookmarkEnd w:id="78"/>
    <w:bookmarkStart w:id="79" w:name="Xe160dd44ff199f0230e794da3f7df7bacceddc5"/>
    <w:p>
      <w:pPr>
        <w:pStyle w:val="Heading2"/>
        <w:spacing w:line="480" w:lineRule="auto"/>
      </w:pPr>
      <w:r>
        <w:t xml:space="preserve">3.1 The mechanism: entrepreneurship as documented investment</w:t>
      </w:r>
    </w:p>
    <w:p>
      <w:pPr>
        <w:pStyle w:val="FirstParagraph"/>
        <w:spacing w:line="480" w:lineRule="auto"/>
      </w:pPr>
      <w:r>
        <w:t xml:space="preserve">Entrepreneurship is not free. In the constructivist reading adopted here, it is costly and deliberate. An actor who wants a candidate standard to advance does not simply hold a preference; the actor invests, through publications, framings, coalition statements, and repeated advocacy, to move the standard from emergence toward wider adoption. That investment is the mechanism. Its observable residue is the documentary signal. When Reed and colleagues publish a case for sharing operational risk information to facilitate norms development, they are not describing entrepreneurship from the outside; they are performing it, and the publication itself is a data point in the process they analyze</w:t>
      </w:r>
      <w:r>
        <w:t xml:space="preserve"> </w:t>
      </w:r>
      <w:hyperlink w:anchor="ref-1">
        <w:r>
          <w:rPr>
            <w:rStyle w:val="Hyperlink"/>
          </w:rPr>
          <w:t xml:space="preserve">[1]</w:t>
        </w:r>
      </w:hyperlink>
      <w:r>
        <w:t xml:space="preserve">. The same is true of the decentralized information-sharing argument, which advances a transparency standard by articulating it and attaching institutional weight to it</w:t>
      </w:r>
      <w:r>
        <w:t xml:space="preserve"> </w:t>
      </w:r>
      <w:hyperlink w:anchor="ref-6">
        <w:r>
          <w:rPr>
            <w:rStyle w:val="Hyperlink"/>
          </w:rPr>
          <w:t xml:space="preserve">[6]</w:t>
        </w:r>
      </w:hyperlink>
      <w:r>
        <w:t xml:space="preserve">.</w:t>
      </w:r>
    </w:p>
    <w:p>
      <w:pPr>
        <w:pStyle w:val="BodyText"/>
        <w:spacing w:line="480" w:lineRule="auto"/>
        <w:ind w:firstLine="720"/>
      </w:pPr>
      <w:r>
        <w:t xml:space="preserve">The mechanism has a direction in time. It points forward. Entrepreneurship intensifies as a norm gathers momentum. Early in a norm’s life, only a few advocates use the emerging vocabulary. As a cascade builds, more authors adopt the framing, the terminology stabilizes, and the density of theme-relevant language in new publications rises. This is why recency, not merely volume, should carry information. A field where a norm is actively being driven should show its strongest theme signal in its newest records, because those records are written by a community that has already absorbed the emerging standard. Porras and Zarkan Cesari illustrate the mechanism’s spillover form, where a coordination norm developed for traffic management migrates into the security domain as the vocabulary diffuses</w:t>
      </w:r>
      <w:r>
        <w:t xml:space="preserve"> </w:t>
      </w:r>
      <w:hyperlink w:anchor="ref-2">
        <w:r>
          <w:rPr>
            <w:rStyle w:val="Hyperlink"/>
          </w:rPr>
          <w:t xml:space="preserve">[2]</w:t>
        </w:r>
      </w:hyperlink>
      <w:r>
        <w:t xml:space="preserve">.</w:t>
      </w:r>
    </w:p>
    <w:p>
      <w:pPr>
        <w:pStyle w:val="BodyText"/>
        <w:spacing w:line="480" w:lineRule="auto"/>
        <w:ind w:firstLine="720"/>
      </w:pPr>
      <w:r>
        <w:t xml:space="preserve">The mechanism also has a structure across venues. Different publication venues host different stages of a norm’s life. Conference proceedings often carry the early, operationally driven articulations, where practitioners name a problem and propose a rule of practice</w:t>
      </w:r>
      <w:r>
        <w:t xml:space="preserve"> </w:t>
      </w:r>
      <w:hyperlink w:anchor="ref-3">
        <w:r>
          <w:rPr>
            <w:rStyle w:val="Hyperlink"/>
          </w:rPr>
          <w:t xml:space="preserve">[3]</w:t>
        </w:r>
      </w:hyperlink>
      <w:r>
        <w:t xml:space="preserve"> </w:t>
      </w:r>
      <w:hyperlink w:anchor="ref-4">
        <w:r>
          <w:rPr>
            <w:rStyle w:val="Hyperlink"/>
          </w:rPr>
          <w:t xml:space="preserve">[4]</w:t>
        </w:r>
      </w:hyperlink>
      <w:r>
        <w:t xml:space="preserve">. Journal venues tend to host the later, more theorized statements, where the standard is analyzed rather than merely proposed</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Curated policy and architecture documents occupy a third position, closer to synthesis and prescription. The venue score in this study encodes that ordering. Whether venue family carries independent signal, once recency and citation are held constant, is an open question the theory does not resolve in advance, which is precisely why it is left to the estimator.</w:t>
      </w:r>
    </w:p>
    <w:bookmarkEnd w:id="79"/>
    <w:bookmarkStart w:id="80" w:name="X3295991b368b3bf7356e9aa020627bf86173fcd"/>
    <w:p>
      <w:pPr>
        <w:pStyle w:val="Heading2"/>
        <w:spacing w:line="480" w:lineRule="auto"/>
      </w:pPr>
      <w:r>
        <w:t xml:space="preserve">3.2 From mechanism to cross-sectional predictions</w:t>
      </w:r>
    </w:p>
    <w:p>
      <w:pPr>
        <w:pStyle w:val="FirstParagraph"/>
        <w:spacing w:line="480" w:lineRule="auto"/>
      </w:pPr>
      <w:r>
        <w:t xml:space="preserve">The cross-sectional test asks whether the topic signal is structured by three observable properties: publication recency, citation attention, and venue family. Each property maps to a component of the mechanism, and each yields a signed prediction.</w:t>
      </w:r>
    </w:p>
    <w:p>
      <w:pPr>
        <w:pStyle w:val="BodyText"/>
        <w:spacing w:line="480" w:lineRule="auto"/>
        <w:ind w:firstLine="720"/>
      </w:pPr>
      <w:r>
        <w:t xml:space="preserve">Recency should carry a positive sign. If entrepreneurship intensifies as a norm advances, newer records should contain a denser concentration of theme-relevant language than older records, because the emerging vocabulary has diffused more widely by the time the newer records are written. This is the primary prediction. The dissertation stakes its central claim on it. A positive and precise recency coefficient supports the emerging-norm reading; a null or negative coefficient would falsify it for this corpus.</w:t>
      </w:r>
    </w:p>
    <w:p>
      <w:pPr>
        <w:pStyle w:val="BodyText"/>
        <w:spacing w:line="480" w:lineRule="auto"/>
        <w:ind w:firstLine="720"/>
      </w:pPr>
      <w:r>
        <w:t xml:space="preserve">Citation attention should, in the strong version of the mechanism, carry a positive sign as well, because a community converging on a standard tends to converge on anchor references. The weak version of the mechanism qualifies this sharply. Citation counts drawn from a local index are noisy, and in a corpus weighted toward very recent journal entries, the newest and most theme-dense records may have accrued almost no citations simply because too little time has passed</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6">
        <w:r>
          <w:rPr>
            <w:rStyle w:val="Hyperlink"/>
          </w:rPr>
          <w:t xml:space="preserve">[16]</w:t>
        </w:r>
      </w:hyperlink>
      <w:r>
        <w:t xml:space="preserve">. The theory therefore predicts a positive sign but warns that precision may be low, and it treats an imprecise citation coefficient not as a failure of the model but as information about the limits of citation as a salience proxy in a young literature.</w:t>
      </w:r>
    </w:p>
    <w:p>
      <w:pPr>
        <w:pStyle w:val="BodyText"/>
        <w:spacing w:line="480" w:lineRule="auto"/>
        <w:ind w:firstLine="720"/>
      </w:pPr>
      <w:r>
        <w:t xml:space="preserve">Venue family carries the least determinate prediction. There is a plausible positive story, in which higher-order venues host the more theorized and theme-dense statements, and an equally plausible negative story, in which the operationally driven conference records that seed a norm carry more raw theme language than the abstracted journal treatments. Because the mechanism supports both readings, the theory declines to commit to a sign for venue and instead flags the coefficient as an exploratory quantity whose interpretation depends on which story the data favor</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bookmarkEnd w:id="80"/>
    <w:bookmarkStart w:id="81" w:name="the-temporal-prediction"/>
    <w:p>
      <w:pPr>
        <w:pStyle w:val="Heading2"/>
        <w:spacing w:line="480" w:lineRule="auto"/>
      </w:pPr>
      <w:r>
        <w:t xml:space="preserve">3.3 The temporal prediction</w:t>
      </w:r>
    </w:p>
    <w:p>
      <w:pPr>
        <w:pStyle w:val="FirstParagraph"/>
        <w:spacing w:line="480" w:lineRule="auto"/>
      </w:pPr>
      <w:r>
        <w:t xml:space="preserve">The temporal test asks a different question. Does citation accumulation follow a lawlike pattern as documents age? The learning-curve framing formalizes the intuition that attention to a body of work grows, and that the growth can be described by an elasticity of citations with respect to age. A clean positive elasticity would indicate that older records have systematically accumulated more attention, consistent with a maturing field in which anchor works accrue citations steadily over time.</w:t>
      </w:r>
    </w:p>
    <w:p>
      <w:pPr>
        <w:pStyle w:val="BodyText"/>
        <w:spacing w:line="480" w:lineRule="auto"/>
        <w:ind w:firstLine="720"/>
      </w:pPr>
      <w:r>
        <w:t xml:space="preserve">The mechanism, applied honestly to this corpus, predicts a weak temporal result rather than a strong one. The corpus is dominated by recent entries, many of them from the last two years, and citation counts for those entries are near zero because the citing community has not yet had time to respond</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5">
        <w:r>
          <w:rPr>
            <w:rStyle w:val="Hyperlink"/>
          </w:rPr>
          <w:t xml:space="preserve">[15]</w:t>
        </w:r>
      </w:hyperlink>
      <w:r>
        <w:t xml:space="preserve">. Under these conditions, the age-citation relationship should be flat or even mildly inverted, because the few older records happen to include both heavily cited anchors and lightly cited ones, while the many recent records cluster at low citation counts regardless of their theme density. The theory thus predicts that the temporal elasticity will be imprecise, and it commits in advance to reading an imprecise elasticity as evidence about the corpus’s youth rather than as evidence against the emerging-norm reading.</w:t>
      </w:r>
    </w:p>
    <w:bookmarkEnd w:id="81"/>
    <w:bookmarkStart w:id="82" w:name="the-hypotheses-stated-for-falsification"/>
    <w:p>
      <w:pPr>
        <w:pStyle w:val="Heading2"/>
        <w:spacing w:line="480" w:lineRule="auto"/>
      </w:pPr>
      <w:r>
        <w:t xml:space="preserve">3.4 The hypotheses, stated for falsification</w:t>
      </w:r>
    </w:p>
    <w:p>
      <w:pPr>
        <w:pStyle w:val="FirstParagraph"/>
        <w:spacing w:line="480" w:lineRule="auto"/>
      </w:pPr>
      <w:r>
        <w:t xml:space="preserve">The predictions above collapse into two hypothesis pairs, one per paper, each stated so that the estimator can reject it.</w:t>
      </w:r>
    </w:p>
    <w:p>
      <w:pPr>
        <w:pStyle w:val="BodyText"/>
        <w:spacing w:line="480" w:lineRule="auto"/>
        <w:ind w:firstLine="720"/>
      </w:pPr>
      <w:r>
        <w:t xml:space="preserve">For the cross-sectional screen: H0 holds that the topic-signal score is unrelated to publication recency, citation attention, and venue family. H1 holds that the topic-signal score increases with recency and citation attention. The decisive term is recency. A precise positive recency coefficient rejects H0 in favor of the emerging-norm reading; a null recency coefficient sustains H0 and would force the dissertation to report that the salience of the topic is not structured by time in this corpus.</w:t>
      </w:r>
    </w:p>
    <w:p>
      <w:pPr>
        <w:pStyle w:val="BodyText"/>
        <w:spacing w:line="480" w:lineRule="auto"/>
        <w:ind w:firstLine="720"/>
      </w:pPr>
      <w:r>
        <w:t xml:space="preserve">For the temporal screen: H0 holds that citation accumulation is unrelated to article age. H1 holds that citation accumulation follows a measurable age-based curve. Here the theory has already conceded that the corpus is unfavorable to a strong result, so the interesting outcome is not whether H1 triumphs but whether the estimated elasticity is signed and precise enough to distinguish a maturing field from a young one dominated by recent, uncited work</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82"/>
    <w:bookmarkStart w:id="83" w:name="X5bec4f26dc29d91961c5b152d061a626c17c496"/>
    <w:p>
      <w:pPr>
        <w:pStyle w:val="Heading2"/>
        <w:spacing w:line="480" w:lineRule="auto"/>
      </w:pPr>
      <w:r>
        <w:t xml:space="preserve">3.5 Alternative mechanisms and how the design distinguishes them</w:t>
      </w:r>
    </w:p>
    <w:p>
      <w:pPr>
        <w:pStyle w:val="FirstParagraph"/>
        <w:spacing w:line="480" w:lineRule="auto"/>
      </w:pPr>
      <w:r>
        <w:t xml:space="preserve">A serious framework names the rival explanations that could produce the same observable pattern and says how the design would tell them apart. Three rivals to the emerging-norm mechanism deserve statement. The first is the special-issue rival: a journal commissions a themed collection, injecting a cluster of theme-dense records in a single recent year, which would produce a recency signal with no underlying norm dynamic</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The design cannot fully exclude this rival with a corpus of thirty, but it can bound it, because the recency effect in this corpus is spread across multiple recent years and multiple venue families rather than concentrated in a single issue, which is inconsistent with a pure special-issue artifact.</w:t>
      </w:r>
    </w:p>
    <w:p>
      <w:pPr>
        <w:pStyle w:val="BodyText"/>
        <w:spacing w:line="480" w:lineRule="auto"/>
        <w:ind w:firstLine="720"/>
      </w:pPr>
      <w:r>
        <w:t xml:space="preserve">The second rival is the vocabulary-drift explanation, in which the terms used to describe space security simply change over time, so that newer records score higher not because the norm is intensifying but because the field has adopted new phrasing that happens to match the term list. This rival is harder to dismiss, and the framework concedes it openly: the signal score measures term density against a fixed list, and if the list is biased toward recent vocabulary, recency and score will correlate mechanically. The mitigation is that the term list is built from the enduring concepts of the norm literature, information sharing, traffic management, security, deterrence, rather than from transient jargon, which reduces but does not eliminate the drift concern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third rival is reverse causation at the level of the field: perhaps salience does not rise because a norm is emerging but because an exogenous shock, a prominent anti-satellite test or a high-profile collision, drives a burst of attention that would fade without any norm cascade. The cross-sectional design cannot distinguish a durable norm from a transient shock, and the framework does not pretend it can. What it can say is that a shock-driven burst and a norm cascade both predict a positive recency effect, so detecting that effect is a necessary step toward either explanation, and separating them requires the longitudinal data the concluding chapter calls for</w:t>
      </w:r>
      <w:r>
        <w:t xml:space="preserve"> </w:t>
      </w:r>
      <w:hyperlink w:anchor="ref-7">
        <w:r>
          <w:rPr>
            <w:rStyle w:val="Hyperlink"/>
          </w:rPr>
          <w:t xml:space="preserve">[7]</w:t>
        </w:r>
      </w:hyperlink>
      <w:r>
        <w:t xml:space="preserve"> </w:t>
      </w:r>
      <w:hyperlink w:anchor="ref-12">
        <w:r>
          <w:rPr>
            <w:rStyle w:val="Hyperlink"/>
          </w:rPr>
          <w:t xml:space="preserve">[12]</w:t>
        </w:r>
      </w:hyperlink>
      <w:r>
        <w:t xml:space="preserve">. Naming these rivals is what keeps the recency result honest: the effect is real, but its interpretation as norm emergence is one of several readings the data permit.</w:t>
      </w:r>
    </w:p>
    <w:bookmarkEnd w:id="83"/>
    <w:bookmarkStart w:id="84" w:name="what-the-framework-deliberately-excludes"/>
    <w:p>
      <w:pPr>
        <w:pStyle w:val="Heading2"/>
        <w:spacing w:line="480" w:lineRule="auto"/>
      </w:pPr>
      <w:r>
        <w:t xml:space="preserve">3.6 What the framework deliberately excludes</w:t>
      </w:r>
    </w:p>
    <w:p>
      <w:pPr>
        <w:pStyle w:val="FirstParagraph"/>
        <w:spacing w:line="480" w:lineRule="auto"/>
      </w:pPr>
      <w:r>
        <w:t xml:space="preserve">The framework stops short of two claims it could have made and could not have defended. It does not claim that the topic signal measures the political influence of any state, because the corpus records theme language, not attributed national advocacy, and inferring influence from language density would overreach the data. It does not claim that the recency effect is causal in world politics, because a cross-sectional association in a curated corpus cannot rule out that both recency and theme density are driven by a third factor such as venue publishing cycles. These exclusions are not evasions. They define the boundary within which the hypotheses are meaningful, and they hand the next chapter a clean task: specify estimators that identify the associations the theory names, and no more</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4"/>
    <w:bookmarkStart w:id="85" w:name="Xa8c51a35c5a8f1b1d613e5ddb1ca168ded271c2"/>
    <w:p>
      <w:pPr>
        <w:pStyle w:val="Heading2"/>
        <w:spacing w:line="480" w:lineRule="auto"/>
      </w:pPr>
      <w:r>
        <w:t xml:space="preserve">3.7 The norm life cycle mapped onto the two screens</w:t>
      </w:r>
    </w:p>
    <w:p>
      <w:pPr>
        <w:pStyle w:val="FirstParagraph"/>
        <w:spacing w:line="480" w:lineRule="auto"/>
      </w:pPr>
      <w:r>
        <w:t xml:space="preserve">It helps to place the two screens explicitly on the constructivist norm life cycle, because doing so shows why each screen is suited to a different phase. The life cycle runs from emergence, where a few entrepreneurs articulate a candidate standard, through a cascade, where adoption accelerates as more actors take up the standard, to internalization, where the standard becomes taken for granted. The cross-sectional recency screen is a detector for the emergence-into-cascade transition, because that transition is exactly when new work concentrates the emerging vocabulary and older work does not. A strong recency effect is the documentary signature of a norm moving from emergence toward cascade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temporal citation screen, by contrast, is better suited to detecting a later phase, because citation accumulation reflects a community converging on anchor references, which happens as a norm matures and its foundational statements become canonical</w:t>
      </w:r>
      <w:r>
        <w:t xml:space="preserve"> </w:t>
      </w:r>
      <w:hyperlink w:anchor="ref-13">
        <w:r>
          <w:rPr>
            <w:rStyle w:val="Hyperlink"/>
          </w:rPr>
          <w:t xml:space="preserve">[13]</w:t>
        </w:r>
      </w:hyperlink>
      <w:r>
        <w:t xml:space="preserve">. A field still in the emergence-into-cascade transition has not yet produced settled anchors, so its citation structure is thin, which is precisely the weak temporal result the framework predicts. Mapping the screens onto the life cycle thus explains the joint pattern in advance: strong recency and weak citation together locate the space-security norm in the early, entrepreneurial phase rather than in mature internalization</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two screens are not redundant tests of the same thing; they are phase detectors tuned to different points on the same cycle.</w:t>
      </w:r>
    </w:p>
    <w:bookmarkEnd w:id="85"/>
    <w:bookmarkStart w:id="86" w:name="predictions-restated-as-a-decision-table"/>
    <w:p>
      <w:pPr>
        <w:pStyle w:val="Heading2"/>
        <w:spacing w:line="480" w:lineRule="auto"/>
      </w:pPr>
      <w:r>
        <w:t xml:space="preserve">3.8 Predictions restated as a decision table</w:t>
      </w:r>
    </w:p>
    <w:p>
      <w:pPr>
        <w:pStyle w:val="FirstParagraph"/>
        <w:spacing w:line="480" w:lineRule="auto"/>
      </w:pPr>
      <w:r>
        <w:t xml:space="preserve">For maximum falsifiability, the framework’s predictions can be restated as a small decision table that fixes what each outcome would mean before any estimation. If recency is positive and precise, the emerging-norm reading is sustained for the corpus, and H0 for Paper 1 is rejected. If recency is null or negative, the reading fails, and H0 is sustained, obligating the dissertation to report that salience is not time-structured. If citation is positive and precise, the strong version of the mechanism gains support; if citation is null, the study reads the proxy as uninformative in a young corpus rather than the mechanism as false</w:t>
      </w:r>
      <w:r>
        <w:t xml:space="preserve"> </w:t>
      </w:r>
      <w:hyperlink w:anchor="ref-9">
        <w:r>
          <w:rPr>
            <w:rStyle w:val="Hyperlink"/>
          </w:rPr>
          <w:t xml:space="preserve">[9]</w:t>
        </w:r>
      </w:hyperlink>
      <w:r>
        <w:t xml:space="preserve"> </w:t>
      </w:r>
      <w:hyperlink w:anchor="ref-11">
        <w:r>
          <w:rPr>
            <w:rStyle w:val="Hyperlink"/>
          </w:rPr>
          <w:t xml:space="preserve">[11]</w:t>
        </w:r>
      </w:hyperlink>
      <w:r>
        <w:t xml:space="preserve">. If the venue term is signed and precise in either direction, its sign is interpreted against the corpus composition; if it is null, venue adds nothing beyond recency.</w:t>
      </w:r>
    </w:p>
    <w:p>
      <w:pPr>
        <w:pStyle w:val="BodyText"/>
        <w:spacing w:line="480" w:lineRule="auto"/>
        <w:ind w:firstLine="720"/>
      </w:pPr>
      <w:r>
        <w:t xml:space="preserve">For Paper 2, if the age elasticity is positive and precise, the field shows lawlike attention accumulation and H0 is rejected; if the elasticity is imprecise, H0 is sustained and the flatness is attributed to corpus youth rather than to a real absence of accumulation in the field</w:t>
      </w:r>
      <w:r>
        <w:t xml:space="preserve"> </w:t>
      </w:r>
      <w:hyperlink w:anchor="ref-7">
        <w:r>
          <w:rPr>
            <w:rStyle w:val="Hyperlink"/>
          </w:rPr>
          <w:t xml:space="preserve">[7]</w:t>
        </w:r>
      </w:hyperlink>
      <w:r>
        <w:t xml:space="preserve"> </w:t>
      </w:r>
      <w:hyperlink w:anchor="ref-10">
        <w:r>
          <w:rPr>
            <w:rStyle w:val="Hyperlink"/>
          </w:rPr>
          <w:t xml:space="preserve">[10]</w:t>
        </w:r>
      </w:hyperlink>
      <w:r>
        <w:t xml:space="preserve">. Fixing these interpretations in advance is what protects the study from the charge that it rationalized whatever it found. The decision table commits the analysis to a reading of every possible outcome before the data speak, which is the essence of a falsifiable design and the standard the results chapter will be held to</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86"/>
    <w:bookmarkStart w:id="87" w:name="scope-conditions-on-the-mechanism"/>
    <w:p>
      <w:pPr>
        <w:pStyle w:val="Heading2"/>
        <w:spacing w:line="480" w:lineRule="auto"/>
      </w:pPr>
      <w:r>
        <w:t xml:space="preserve">3.9 Scope conditions on the mechanism</w:t>
      </w:r>
    </w:p>
    <w:p>
      <w:pPr>
        <w:pStyle w:val="FirstParagraph"/>
        <w:spacing w:line="480" w:lineRule="auto"/>
      </w:pPr>
      <w:r>
        <w:t xml:space="preserve">Every mechanism holds only under stated conditions, and naming those conditions guards against applying the framework where it does not belong. The recency mechanism assumes an open literature in which entrepreneurs argue in public, so it would not apply to a norm advanced entirely through closed diplomatic channels that leave no scholarly trace</w:t>
      </w:r>
      <w:r>
        <w:t xml:space="preserve"> </w:t>
      </w:r>
      <w:hyperlink w:anchor="ref-2">
        <w:r>
          <w:rPr>
            <w:rStyle w:val="Hyperlink"/>
          </w:rPr>
          <w:t xml:space="preserve">[2]</w:t>
        </w:r>
      </w:hyperlink>
      <w:r>
        <w:t xml:space="preserve"> </w:t>
      </w:r>
      <w:hyperlink w:anchor="ref-6">
        <w:r>
          <w:rPr>
            <w:rStyle w:val="Hyperlink"/>
          </w:rPr>
          <w:t xml:space="preserve">[6]</w:t>
        </w:r>
      </w:hyperlink>
      <w:r>
        <w:t xml:space="preserve">. It assumes a term list stable enough that theme density means the same thing across the observation window, so it degrades if the field’s vocabulary turns over faster than the list can track</w:t>
      </w:r>
      <w:r>
        <w:t xml:space="preserve"> </w:t>
      </w:r>
      <w:hyperlink w:anchor="ref-15">
        <w:r>
          <w:rPr>
            <w:rStyle w:val="Hyperlink"/>
          </w:rPr>
          <w:t xml:space="preserve">[15]</w:t>
        </w:r>
      </w:hyperlink>
      <w:r>
        <w:t xml:space="preserve">. And it assumes an observation window short enough that the linear approximation to the recency-signal relationship holds, so it should not be extrapolated across decades where the relationship might curve</w:t>
      </w:r>
      <w:r>
        <w:t xml:space="preserve"> </w:t>
      </w:r>
      <w:hyperlink w:anchor="ref-11">
        <w:r>
          <w:rPr>
            <w:rStyle w:val="Hyperlink"/>
          </w:rPr>
          <w:t xml:space="preserve">[11]</w:t>
        </w:r>
      </w:hyperlink>
      <w:r>
        <w:t xml:space="preserve">. These conditions are met, approximately, in the present corpus, and the framework applies within them and makes no claim outside them.</w:t>
      </w:r>
    </w:p>
    <w:p>
      <w:pPr>
        <w:pStyle w:val="BodyText"/>
        <w:spacing w:line="480" w:lineRule="auto"/>
        <w:ind w:firstLine="720"/>
      </w:pPr>
      <w:r>
        <w:t xml:space="preserve">The temporal mechanism carries its own scope condition, which is that enough time has elapsed for citations to accumulate. In a mature literature this condition is satisfied and the learning-curve framing has real purchase; in the young corpus studied here it is violated, which is why the framework predicts a weak temporal result</w:t>
      </w:r>
      <w:r>
        <w:t xml:space="preserve"> </w:t>
      </w:r>
      <w:hyperlink w:anchor="ref-7">
        <w:r>
          <w:rPr>
            <w:rStyle w:val="Hyperlink"/>
          </w:rPr>
          <w:t xml:space="preserve">[7]</w:t>
        </w:r>
      </w:hyperlink>
      <w:r>
        <w:t xml:space="preserve"> </w:t>
      </w:r>
      <w:hyperlink w:anchor="ref-10">
        <w:r>
          <w:rPr>
            <w:rStyle w:val="Hyperlink"/>
          </w:rPr>
          <w:t xml:space="preserve">[10]</w:t>
        </w:r>
      </w:hyperlink>
      <w:r>
        <w:t xml:space="preserve">. Stating the scope condition explicitly turns the weak result from an embarrassment into a confirmation: the temporal mechanism is expected to be undetectable exactly where its scope condition fails, and the corpus is such a place. A framework that specifies when its own mechanisms should and should not appear is more useful than one that claims universal reach, and this one earns that specificity by naming the conditions under which each of its two predictions holds</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bookmarkEnd w:id="87"/>
    <w:bookmarkEnd w:id="88"/>
    <w:bookmarkStart w:id="99" w:name="X940caaf6d3ac92c12a69529db0381ad3e868d7e"/>
    <w:p>
      <w:pPr>
        <w:pStyle w:val="Heading1"/>
        <w:spacing w:line="480" w:lineRule="auto"/>
      </w:pPr>
      <w:r>
        <w:t xml:space="preserve">Chapter 4. Methodology and Identification</w:t>
      </w:r>
    </w:p>
    <w:p>
      <w:pPr>
        <w:pStyle w:val="FirstParagraph"/>
        <w:spacing w:line="480" w:lineRule="auto"/>
      </w:pPr>
      <w:r>
        <w:t xml:space="preserve">Identification is a discipline of restraint. It means knowing what an estimate can and cannot claim. This chapter specifies the two estimators that carry the empirical weight of the dissertation, states the assumptions each requires, and explains why each identifies the association it targets. The two designs are chosen to be transparent rather than clever. Both are ordinary least squares in form, one in levels and one in logs, because a small curated corpus rewards estimators whose output a reader can reproduce by hand more than it rewards machinery whose behavior in small samples is opaque</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Start w:id="89" w:name="X5b880d5497859307e401dc41aa79f48ce53865e"/>
    <w:p>
      <w:pPr>
        <w:pStyle w:val="Heading2"/>
        <w:spacing w:line="480" w:lineRule="auto"/>
      </w:pPr>
      <w:r>
        <w:t xml:space="preserve">4.1 Estimator one: ordinary least squares for cross-sectional structure</w:t>
      </w:r>
    </w:p>
    <w:p>
      <w:pPr>
        <w:pStyle w:val="FirstParagraph"/>
        <w:spacing w:line="480" w:lineRule="auto"/>
      </w:pPr>
      <w:r>
        <w:t xml:space="preserve">Start with Paper 1. It estimates a linear model of the topic-signal score on three predictors. The specification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where the outcome is the deterministic composite signal score for source record i, and the three predictors are the recency index, the reported citation count, and the ordinal venue-family score. The estimator is ordinary least squares with heteroskedasticity-robust HC1 standard errors. The choice of HC1 is deliberate. A corpus assembled from heterogeneous venues almost certainly violates the constant-variance assumption, because conference abstracts, journal articles, and curated policy documents generate signal scores with different dispersions. Robust standard errors do not fix a biased coefficient, but they prevent the inference from overstating precision when the error variance is uneven, which is the exact failure mode a heterogeneous corpus invites.</w:t>
      </w:r>
    </w:p>
    <w:p>
      <w:pPr>
        <w:pStyle w:val="BodyText"/>
        <w:spacing w:line="480" w:lineRule="auto"/>
        <w:ind w:firstLine="720"/>
      </w:pPr>
      <w:r>
        <w:t xml:space="preserve">What does this model identify? The answer is bounded. Under the standard exogeneity assumption, that the error term is mean-independent of the three predictors, each coefficient identifies the partial association between its predictor and the signal score, holding the other two fixed. The recency coefficient answers a specific counterfactual question within the corpus: comparing two records that share a citation count and a venue family but differ by one unit of recency, how much does the expected signal score change? That is the quantity the theory cares about, because it isolates the time gradient in salience from the confounding influence of venue and citation. Identification here is associational, not causal, and the dissertation says so plainly. The model cannot rule out an omitted factor, such as a venue’s editorial appetite for a topic in a given year, that drives both recency and signal density. What it can do is establish whether the partial association exists and is precise, which is the falsifiable content of H1.</w:t>
      </w:r>
    </w:p>
    <w:p>
      <w:pPr>
        <w:pStyle w:val="BodyText"/>
        <w:spacing w:line="480" w:lineRule="auto"/>
        <w:ind w:firstLine="720"/>
      </w:pPr>
      <w:r>
        <w:t xml:space="preserve">Three features of the design protect the estimate from easy criticism. The predictors are constructed before the outcome is examined, so there is no specification search that tunes the covariates to the result. The venue score is ordinal and low-dimensional, which avoids spuriously absorbing variation through a high-dimensional fixed-effect structure that a sample of thirty could not support. And the outcome is a deterministic count, not a subjective rating, so the dependent variable cannot drift with the analyst’s expectations. These are modest safeguards, appropriate to a modest sample, and they are stated so a reader can weigh them</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89"/>
    <w:bookmarkStart w:id="90" w:name="Xa9a23fb923bac8b8059083f7e9aad6d877bc8e0"/>
    <w:p>
      <w:pPr>
        <w:pStyle w:val="Heading2"/>
        <w:spacing w:line="480" w:lineRule="auto"/>
      </w:pPr>
      <w:r>
        <w:t xml:space="preserve">4.2 Estimator two: the log-log learning curve for temporal structure</w:t>
      </w:r>
    </w:p>
    <w:p>
      <w:pPr>
        <w:pStyle w:val="FirstParagraph"/>
        <w:spacing w:line="480" w:lineRule="auto"/>
      </w:pPr>
      <w:r>
        <w:t xml:space="preserve">Paper 2 estimates a learning-curve model of citation accumulation on document age. The specification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where the outcome is the natural log of citation count plus one, and the single predictor is the natural log of the age index. The plus-one transformation is not cosmetic; it is what makes the log defined for the many uncited records in the corpus, and it converts the coefficient into an interpretable elasticity. The estimator is again ordinary least squares with HC1 robust standard errors, for the same heteroskedasticity reason: citation dispersion is wildly uneven, with most records at zero and a few at twenty or more.</w:t>
      </w:r>
    </w:p>
    <w:p>
      <w:pPr>
        <w:pStyle w:val="BodyText"/>
        <w:spacing w:line="480" w:lineRule="auto"/>
        <w:ind w:firstLine="720"/>
      </w:pPr>
      <w:r>
        <w:t xml:space="preserve">The log-log form identifies an elasticity: the percentage change in citations-plus-one associated with a one percent change in age. A positive elasticity would indicate that older documents have systematically accumulated more attention, the signature of a maturing field in which anchor works accrue citations over time. A negative or imprecise elasticity would indicate that age does not organize attention in this corpus, which, given the corpus’s youth, is the theoretically expected outcome. The learning-curve framing also yields a progress-ratio interpretation through two raised to the elasticity, a convention borrowed from the productivity literature that expresses how citations scale each time age doubles. Reporting that ratio keeps the temporal result legible even when the elasticity itself is imprecise.</w:t>
      </w:r>
    </w:p>
    <w:p>
      <w:pPr>
        <w:pStyle w:val="BodyText"/>
        <w:spacing w:line="480" w:lineRule="auto"/>
        <w:ind w:firstLine="720"/>
      </w:pPr>
      <w:r>
        <w:t xml:space="preserve">The temporal design is weaker. Identification here falls short of the cross-sectional case, and the chapter does not pretend otherwise. Age is mechanically related to publication year, so the estimator is really asking whether the corpus’s citation counts line up with its publication timeline. The threat is obvious: a corpus deliberately weighted toward recent, theme-relevant journal entries will bunch at low citation counts regardless of age, muting any true accumulation curve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6">
        <w:r>
          <w:rPr>
            <w:rStyle w:val="Hyperlink"/>
          </w:rPr>
          <w:t xml:space="preserve">[16]</w:t>
        </w:r>
      </w:hyperlink>
      <w:r>
        <w:t xml:space="preserve">. The design cannot separate genuine absence of accumulation from censoring by insufficient elapsed time. This is why the temporal paper is framed as a bound rather than an estimate, and why its imprecision is treated as informative about the corpus rather than as a defect of the method.</w:t>
      </w:r>
    </w:p>
    <w:bookmarkEnd w:id="90"/>
    <w:bookmarkStart w:id="91" w:name="why-two-estimators-rather-than-one"/>
    <w:p>
      <w:pPr>
        <w:pStyle w:val="Heading2"/>
        <w:spacing w:line="480" w:lineRule="auto"/>
      </w:pPr>
      <w:r>
        <w:t xml:space="preserve">4.3 Why two estimators rather than one</w:t>
      </w:r>
    </w:p>
    <w:p>
      <w:pPr>
        <w:pStyle w:val="FirstParagraph"/>
        <w:spacing w:line="480" w:lineRule="auto"/>
      </w:pPr>
      <w:r>
        <w:t xml:space="preserve">The two designs are complementary by construction. Neither substitutes for the other. The cross-sectional model asks whether salience is structured across observable fields at a single moment; the temporal model asks whether attention accumulates in a lawlike way across time. A field can show one without the other. The results, previewed here only to explain the design logic, do exactly that: strong cross-sectional recency structure alongside weak temporal structure. Running both estimators is what makes that pattern visible. A single model would have forced a false choice between the two questions and would have hidden the fact that the corpus organizes salience by recency while failing to organize attention by age</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There is also an epistemic reason to run two screens. A single significant coefficient in a small sample is fragile evidence, easily dismissed as a fluke of curation. Two estimators that return a coherent joint pattern, one signal present and one signal absent exactly where the theory predicts, are harder to dismiss, because the pattern itself was predicted in advance. The framework in Chapter 3 committed to a positive recency effect and a muted temporal effect before either was estimated. The methodology’s job is to make those commitments testable, and the two-estimator design does that by giving each prediction its own falsification path.</w:t>
      </w:r>
    </w:p>
    <w:bookmarkEnd w:id="91"/>
    <w:bookmarkStart w:id="92" w:name="robustness-posture-and-reporting-rules"/>
    <w:p>
      <w:pPr>
        <w:pStyle w:val="Heading2"/>
        <w:spacing w:line="480" w:lineRule="auto"/>
      </w:pPr>
      <w:r>
        <w:t xml:space="preserve">4.4 Robustness posture and reporting rules</w:t>
      </w:r>
    </w:p>
    <w:p>
      <w:pPr>
        <w:pStyle w:val="FirstParagraph"/>
        <w:spacing w:line="480" w:lineRule="auto"/>
      </w:pPr>
      <w:r>
        <w:t xml:space="preserve">The dissertation adopts three reporting rules that constrain how the results may be read. First, every coefficient is reported with its robust standard error and its p-value, and no coefficient is described as supporting a claim unless its precision warrants it; a signed but imprecise coefficient is reported as suggestive at most. Second, fit statistics are reported alongside term estimates, so that the reader can judge how much of the variation the model accounts for before weighing any single term. Third, no number in the results chapter is generated for this dissertation; every value is copied from the workbook output for the two papers, and the chapter’s task is interpretation, not computation.</w:t>
      </w:r>
    </w:p>
    <w:p>
      <w:pPr>
        <w:pStyle w:val="BodyText"/>
        <w:spacing w:line="480" w:lineRule="auto"/>
        <w:ind w:firstLine="720"/>
      </w:pPr>
      <w:r>
        <w:t xml:space="preserve">These rules matter more in a small sample than in a large one. With thirty observations, the temptation to overread a lucky coefficient is strong, and the discipline that resists it has to be built into the reporting rather than assumed in the analyst. The robustness posture here is therefore conservative on purpose. Where the evidence is precise, the dissertation will say so and lean on it. Where the evidence is imprecise, the dissertation will report the imprecision as a finding about the limits of the present corpus and will name the stronger dataset that a future design would require</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92"/>
    <w:bookmarkStart w:id="93" w:name="X03687975f6b1604e8d591a69c9f3001270dbbb2"/>
    <w:p>
      <w:pPr>
        <w:pStyle w:val="Heading2"/>
        <w:spacing w:line="480" w:lineRule="auto"/>
      </w:pPr>
      <w:r>
        <w:t xml:space="preserve">4.5 Functional form and why levels-then-logs is the right pairing</w:t>
      </w:r>
    </w:p>
    <w:p>
      <w:pPr>
        <w:pStyle w:val="FirstParagraph"/>
        <w:spacing w:line="480" w:lineRule="auto"/>
      </w:pPr>
      <w:r>
        <w:t xml:space="preserve">The two estimators use different functional forms on purpose. The pairing is deliberate. It is itself a methodological choice worth defending. Paper 1 models the signal score in levels because the outcome is a bounded count with no natural multiplicative structure; a one-unit change in recency plausibly shifts the expected count by a constant amount, which is exactly what a linear specification encodes. Modeling a small integer count in logs would distort the interpretation and would founder on the zero-free but compressed range of the score. The levels form keeps the recency coefficient legible as a per-year increment in theme density, which is the quantity the theory asks about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Paper 2 models citations in logs because citation processes are multiplicative rather than additive: attention tends to scale proportionally, and the learning-curve tradition is built on exactly this proportional-scaling intuition. The log-log form turns the age coefficient into an elasticity and licenses the progress-ratio interpretation through two raised to the elasticity, both of which are the standard vocabulary of accumulation analysis. Using logs for the count outcome would be wrong; using levels for the accumulation outcome would discard the proportional structure the framing depends on. Matching each outcome to its appropriate form is not decorative; it is what makes each coefficient mean what the chapter says it means</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bookmarkEnd w:id="93"/>
    <w:bookmarkStart w:id="94" w:name="X1ffb317283be9b0cacf413cd5afc01d7239c9ce"/>
    <w:p>
      <w:pPr>
        <w:pStyle w:val="Heading2"/>
        <w:spacing w:line="480" w:lineRule="auto"/>
      </w:pPr>
      <w:r>
        <w:t xml:space="preserve">4.6 Inference in a small sample: what robust standard errors can and cannot do</w:t>
      </w:r>
    </w:p>
    <w:p>
      <w:pPr>
        <w:pStyle w:val="FirstParagraph"/>
        <w:spacing w:line="480" w:lineRule="auto"/>
      </w:pPr>
      <w:r>
        <w:t xml:space="preserve">Inference has limits here, and a candid chapter states them. HC1 robust standard errors correct for heteroskedasticity. They are consistent only asymptotically, and thirty observations is not asymptopia. In small samples, robust standard errors can be biased downward, which would make p-values appear more favorable than they should. The dissertation acknowledges this and adopts a compensating conservatism: it treats results near the conventional threshold with suspicion and leans only on coefficients whose precision is comfortable rather than marginal. The recency term, at a p-value of 0.0107, clears this higher bar; the venue and citation terms, well short of significance even under possibly optimistic standard errors, are read as null regardless</w:t>
      </w:r>
      <w:r>
        <w:t xml:space="preserve"> </w:t>
      </w:r>
      <w:hyperlink w:anchor="ref-5">
        <w:r>
          <w:rPr>
            <w:rStyle w:val="Hyperlink"/>
          </w:rPr>
          <w:t xml:space="preserve">[5]</w:t>
        </w:r>
      </w:hyperlink>
      <w:r>
        <w:t xml:space="preserve">.</w:t>
      </w:r>
    </w:p>
    <w:p>
      <w:pPr>
        <w:pStyle w:val="BodyText"/>
        <w:spacing w:line="480" w:lineRule="auto"/>
        <w:ind w:firstLine="720"/>
      </w:pPr>
      <w:r>
        <w:t xml:space="preserve">There is also a design-level response to small-sample fragility, which is to prefer a decisive single term over a diffuse pattern. A model that improves fit through the joint contribution of several marginally significant terms is fragile, because the significance can evaporate with one observation added or removed. A model whose finding rests on one precise term is more robust to such perturbation, because the term either survives the perturbation or it does not, and its survival is easy to check. The methodology deliberately stakes the cross-sectional claim on recency alone for this reason, and it treats the model’s overall fit as supporting context rather than as the finding itself</w:t>
      </w:r>
      <w:r>
        <w:t xml:space="preserve"> </w:t>
      </w:r>
      <w:hyperlink w:anchor="ref-1">
        <w:r>
          <w:rPr>
            <w:rStyle w:val="Hyperlink"/>
          </w:rPr>
          <w:t xml:space="preserve">[1]</w:t>
        </w:r>
      </w:hyperlink>
      <w:r>
        <w:t xml:space="preserve"> </w:t>
      </w:r>
      <w:hyperlink w:anchor="ref-4">
        <w:r>
          <w:rPr>
            <w:rStyle w:val="Hyperlink"/>
          </w:rPr>
          <w:t xml:space="preserve">[4]</w:t>
        </w:r>
      </w:hyperlink>
      <w:r>
        <w:t xml:space="preserve">. This posture will recur in the results chapter, where the recency term carries the weight and the fit statistics supply the frame.</w:t>
      </w:r>
    </w:p>
    <w:bookmarkEnd w:id="94"/>
    <w:bookmarkStart w:id="95" w:name="X65062064268afbb5c00ca918fbe805a78d9dcb2"/>
    <w:p>
      <w:pPr>
        <w:pStyle w:val="Heading2"/>
        <w:spacing w:line="480" w:lineRule="auto"/>
      </w:pPr>
      <w:r>
        <w:t xml:space="preserve">4.7 Endogeneity, omitted variables, and the honest limits of identification</w:t>
      </w:r>
    </w:p>
    <w:p>
      <w:pPr>
        <w:pStyle w:val="FirstParagraph"/>
        <w:spacing w:line="480" w:lineRule="auto"/>
      </w:pPr>
      <w:r>
        <w:t xml:space="preserve">No observational design escapes the omitted-variable problem, and the methodology states its exposure rather than assuming it away. The recency coefficient identifies a partial association under the assumption that the error term is mean-independent of recency once citation and venue are controlled. That assumption fails if some unmeasured factor drives both recency and signal density. The most plausible such factor is a temporal shift in publishing appetite: if venues became more willing to publish theme-dense space-security work over the observation window, recency and signal would rise together for reasons of editorial supply rather than norm emergence</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design cannot rule this out, and it says so, because pretending to causal identification from a cross-section of thirty records would be a misrepresentation.</w:t>
      </w:r>
    </w:p>
    <w:p>
      <w:pPr>
        <w:pStyle w:val="BodyText"/>
        <w:spacing w:line="480" w:lineRule="auto"/>
        <w:ind w:firstLine="720"/>
      </w:pPr>
      <w:r>
        <w:t xml:space="preserve">What the design can offer is a clear statement of what would be required to move from association to causation. An instrument for recency that affected signal density only through recency would identify a causal effect, but no such instrument is available in this corpus, and inventing one would be worse than admitting its absence. A panel that tracked the same venues over time and differenced out venue-specific publishing trends would isolate within-venue intensification from cross-venue supply shifts, and the concluding chapter names exactly this design as the next step</w:t>
      </w:r>
      <w:r>
        <w:t xml:space="preserve"> </w:t>
      </w:r>
      <w:hyperlink w:anchor="ref-7">
        <w:r>
          <w:rPr>
            <w:rStyle w:val="Hyperlink"/>
          </w:rPr>
          <w:t xml:space="preserve">[7]</w:t>
        </w:r>
      </w:hyperlink>
      <w:r>
        <w:t xml:space="preserve"> </w:t>
      </w:r>
      <w:hyperlink w:anchor="ref-12">
        <w:r>
          <w:rPr>
            <w:rStyle w:val="Hyperlink"/>
          </w:rPr>
          <w:t xml:space="preserve">[12]</w:t>
        </w:r>
      </w:hyperlink>
      <w:r>
        <w:t xml:space="preserve">. The methodology thus draws a bright line: the present study identifies a robust partial association, and it hands the causal question forward to a design built to answer it.</w:t>
      </w:r>
    </w:p>
    <w:bookmarkEnd w:id="95"/>
    <w:bookmarkStart w:id="96" w:name="why-not-a-more-elaborate-model"/>
    <w:p>
      <w:pPr>
        <w:pStyle w:val="Heading2"/>
        <w:spacing w:line="480" w:lineRule="auto"/>
      </w:pPr>
      <w:r>
        <w:t xml:space="preserve">4.8 Why not a more elaborate model</w:t>
      </w:r>
    </w:p>
    <w:p>
      <w:pPr>
        <w:pStyle w:val="FirstParagraph"/>
        <w:spacing w:line="480" w:lineRule="auto"/>
      </w:pPr>
      <w:r>
        <w:t xml:space="preserve">A reviewer might ask why the study does not adopt a count model for the signal score, a censored model for the citation outcome, or a specification with venue fixed effects and interaction terms, all of which are defensible in principle. The answer is sample size discipline. With thirty observations, each additional parameter consumes scarce degrees of freedom and raises the risk that the model fits noise rather than signal. A three-predictor linear model and a one-predictor log-log model are near the ceiling of what thirty records can support without overfitting, and pushing past that ceiling would buy apparent sophistication at the cost of stability</w:t>
      </w:r>
      <w:r>
        <w:t xml:space="preserve"> </w:t>
      </w:r>
      <w:hyperlink w:anchor="ref-5">
        <w:r>
          <w:rPr>
            <w:rStyle w:val="Hyperlink"/>
          </w:rPr>
          <w:t xml:space="preserve">[5]</w:t>
        </w:r>
      </w:hyperlink>
      <w:r>
        <w:t xml:space="preserve">. The simpler models also have the virtue that a reader can reproduce them by hand and check every number, which a fixed-effect or censored specification would obscure.</w:t>
      </w:r>
    </w:p>
    <w:p>
      <w:pPr>
        <w:pStyle w:val="BodyText"/>
        <w:spacing w:line="480" w:lineRule="auto"/>
        <w:ind w:firstLine="720"/>
      </w:pPr>
      <w:r>
        <w:t xml:space="preserve">There is a deeper principle at work. The goal of the study is a falsifiable screen, not the best possible fit to thirty records. A screen earns trust by being transparent and reproducible, and transparency is a function of simplicity as much as of correctness. A more elaborate model might squeeze out a marginally higher R-squared, but it would weaken the very property that makes the screen useful as an instrument others can adopt and check</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methodology therefore chooses the simplest specifications that the theory and the data can support, and it treats that choice as a strength rather than as a compromise.</w:t>
      </w:r>
    </w:p>
    <w:bookmarkEnd w:id="96"/>
    <w:bookmarkStart w:id="97" w:name="the-estimand-in-plain-language"/>
    <w:p>
      <w:pPr>
        <w:pStyle w:val="Heading2"/>
        <w:spacing w:line="480" w:lineRule="auto"/>
      </w:pPr>
      <w:r>
        <w:t xml:space="preserve">4.9 The estimand in plain language</w:t>
      </w:r>
    </w:p>
    <w:p>
      <w:pPr>
        <w:pStyle w:val="FirstParagraph"/>
        <w:spacing w:line="480" w:lineRule="auto"/>
      </w:pPr>
      <w:r>
        <w:t xml:space="preserve">Stripped of formalism, each estimator targets a plain-language quantity, and stating those quantities keeps the analysis anchored. Paper 1’s estimand is the answer to a comparison: take two source records that report the same citation count and come from the same venue family, but differ by one year in recency, and ask how much more theme-relevant vocabulary the newer one carries on average. That number, the recency coefficient, is what the whole cross-sectional argument turns on, and it is a quantity a non-technical reader can grasp without any statistics</w:t>
      </w:r>
      <w:r>
        <w:t xml:space="preserve"> </w:t>
      </w:r>
      <w:hyperlink w:anchor="ref-1">
        <w:r>
          <w:rPr>
            <w:rStyle w:val="Hyperlink"/>
          </w:rPr>
          <w:t xml:space="preserve">[1]</w:t>
        </w:r>
      </w:hyperlink>
      <w:r>
        <w:t xml:space="preserve">. Paper 2’s estimand is a percentage: as a record grows one percent older, by what percentage does its citation-plus-one count change on average? That number, the elasticity, is likewise plain once stated, and its imprecision is a plain fact about how little the age of a record tells us about its citations in this corpus</w:t>
      </w:r>
      <w:r>
        <w:t xml:space="preserve"> </w:t>
      </w:r>
      <w:hyperlink w:anchor="ref-7">
        <w:r>
          <w:rPr>
            <w:rStyle w:val="Hyperlink"/>
          </w:rPr>
          <w:t xml:space="preserve">[7]</w:t>
        </w:r>
      </w:hyperlink>
      <w:r>
        <w:t xml:space="preserve">.</w:t>
      </w:r>
    </w:p>
    <w:p>
      <w:pPr>
        <w:pStyle w:val="BodyText"/>
        <w:spacing w:line="480" w:lineRule="auto"/>
        <w:ind w:firstLine="720"/>
      </w:pPr>
      <w:r>
        <w:t xml:space="preserve">Keeping the estimands in plain language serves the study’s commitment to reproducibility and transparency. A reader who understands exactly what quantity each coefficient estimates can check whether the interpretation in the results chapter matches the estimand, and can catch any drift between what the model measures and what the prose claims. This alignment between formal estimand and plain-language target is a safeguard against the common failure in which a paper estimates one thing and then discusses another, subtly larger thing, importing conclusions the model never supported</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methodology commits to holding that line, and the results chapter reports each coefficient strictly as the plain-language quantity defined here.</w:t>
      </w:r>
    </w:p>
    <w:bookmarkEnd w:id="97"/>
    <w:bookmarkStart w:id="98" w:name="replication-protocol"/>
    <w:p>
      <w:pPr>
        <w:pStyle w:val="Heading2"/>
        <w:spacing w:line="480" w:lineRule="auto"/>
      </w:pPr>
      <w:r>
        <w:t xml:space="preserve">4.10 Replication protocol</w:t>
      </w:r>
    </w:p>
    <w:p>
      <w:pPr>
        <w:pStyle w:val="FirstParagraph"/>
        <w:spacing w:line="480" w:lineRule="auto"/>
      </w:pPr>
      <w:r>
        <w:t xml:space="preserve">The design specifies a replication protocol so that the screens are not merely reproducible in principle but reproducible in practice. A replicator needs three inputs: the thirty source records with their year, citation, venue, and theme-count fields; the arithmetic rules that transform year into recency and age indices and citation into citation-plus-one; and the ordinary least squares estimator with HC1 robust standard errors. Given these, the replicator regenerates the entire dataset deterministically, runs the two models, and should recover the reported coefficients to the precision printed in the results chapter. Any deviation localizes an error to one of the three inputs, which is the diagnostic value of a fully specified protocol</w:t>
      </w:r>
      <w:r>
        <w:t xml:space="preserve"> </w:t>
      </w:r>
      <w:hyperlink w:anchor="ref-5">
        <w:r>
          <w:rPr>
            <w:rStyle w:val="Hyperlink"/>
          </w:rPr>
          <w:t xml:space="preserve">[5]</w:t>
        </w:r>
      </w:hyperlink>
      <w:r>
        <w:t xml:space="preserve">.</w:t>
      </w:r>
    </w:p>
    <w:p>
      <w:pPr>
        <w:pStyle w:val="BodyText"/>
        <w:spacing w:line="480" w:lineRule="auto"/>
        <w:ind w:firstLine="720"/>
      </w:pPr>
      <w:r>
        <w:t xml:space="preserve">The protocol also fixes what may not vary. The term list that produces the signal score is part of the specification, not a tunable parameter, so a replicator who changed it would be running a different study rather than replicating this one. The venue coding is likewise fixed at the stated ordinal scheme. By naming what is fixed and what is derived, the protocol closes the door on the kind of undisclosed flexibility that makes many empirical findings hard to reproduce, and it hands the field a screen that can be rerun, checked, and extended without ambiguity about how it was built</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next chapter turns from estimators to inputs, describing the dataset those estimators consume: its sources, its variable construction, and its size.</w:t>
      </w:r>
    </w:p>
    <w:bookmarkEnd w:id="98"/>
    <w:bookmarkEnd w:id="99"/>
    <w:bookmarkStart w:id="110" w:name="chapter-5.-data-and-measurement"/>
    <w:p>
      <w:pPr>
        <w:pStyle w:val="Heading1"/>
        <w:spacing w:line="480" w:lineRule="auto"/>
      </w:pPr>
      <w:r>
        <w:t xml:space="preserve">Chapter 5. Data and Measurement</w:t>
      </w:r>
    </w:p>
    <w:p>
      <w:pPr>
        <w:pStyle w:val="FirstParagraph"/>
        <w:spacing w:line="480" w:lineRule="auto"/>
      </w:pPr>
      <w:r>
        <w:t xml:space="preserve">The credibility of the two screens rests on their inputs. Everything depends on the dataset they consume. This chapter describes that dataset in full: where the records come from, how each variable is constructed, what the sample size is, and which measurement choices could bias the result if they were made carelessly. The guiding principle is provenance. Every row in the estimation file carries a source column, so that any reader can trace a signal score back to the specific record that produced it and, in most cases, to a public identifier such as a conference URL or a digital object identifier</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00" w:name="the-corpus-and-its-provenance"/>
    <w:p>
      <w:pPr>
        <w:pStyle w:val="Heading2"/>
        <w:spacing w:line="480" w:lineRule="auto"/>
      </w:pPr>
      <w:r>
        <w:t xml:space="preserve">5.1 The corpus and its provenance</w:t>
      </w:r>
    </w:p>
    <w:p>
      <w:pPr>
        <w:pStyle w:val="FirstParagraph"/>
        <w:spacing w:line="480" w:lineRule="auto"/>
      </w:pPr>
      <w:r>
        <w:t xml:space="preserve">The estimation file contains thirty source records. This is a curated set, not a random draw. The records were assembled to represent the candidate topic across three venue families. The largest block comes from the Advanced Maui Optical and Space Surveillance conference proceedings, which supply the operationally grounded, practitioner-driven records that the theory associates with the early articulation of norms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A second block comes from Acta Astronautica, a peer-reviewed journal that hosts the more theorized governance statements, including work on the governance of AI-based space systems</w:t>
      </w:r>
      <w:r>
        <w:t xml:space="preserve"> </w:t>
      </w:r>
      <w:hyperlink w:anchor="ref-9">
        <w:r>
          <w:rPr>
            <w:rStyle w:val="Hyperlink"/>
          </w:rPr>
          <w:t xml:space="preserve">[9]</w:t>
        </w:r>
      </w:hyperlink>
      <w:r>
        <w:t xml:space="preserve">, institutional bottlenecks in laser utilization</w:t>
      </w:r>
      <w:r>
        <w:t xml:space="preserve"> </w:t>
      </w:r>
      <w:hyperlink w:anchor="ref-10">
        <w:r>
          <w:rPr>
            <w:rStyle w:val="Hyperlink"/>
          </w:rPr>
          <w:t xml:space="preserve">[10]</w:t>
        </w:r>
      </w:hyperlink>
      <w:r>
        <w:t xml:space="preserve">, the sustainability of the new space economy</w:t>
      </w:r>
      <w:r>
        <w:t xml:space="preserve"> </w:t>
      </w:r>
      <w:hyperlink w:anchor="ref-11">
        <w:r>
          <w:rPr>
            <w:rStyle w:val="Hyperlink"/>
          </w:rPr>
          <w:t xml:space="preserve">[11]</w:t>
        </w:r>
      </w:hyperlink>
      <w:r>
        <w:t xml:space="preserve">, and deterrence framings during peacetime</w:t>
      </w:r>
      <w:r>
        <w:t xml:space="preserve"> </w:t>
      </w:r>
      <w:hyperlink w:anchor="ref-12">
        <w:r>
          <w:rPr>
            <w:rStyle w:val="Hyperlink"/>
          </w:rPr>
          <w:t xml:space="preserve">[12]</w:t>
        </w:r>
      </w:hyperlink>
      <w:r>
        <w:t xml:space="preserve">. A third block comes from a curated policy and architecture set, including a doctoral thesis proposing an international space reference architecture that couples enterprise architecture with constructivist norms entrepreneurship</w:t>
      </w:r>
      <w:r>
        <w:t xml:space="preserve"> </w:t>
      </w:r>
      <w:hyperlink w:anchor="ref-6">
        <w:r>
          <w:rPr>
            <w:rStyle w:val="Hyperlink"/>
          </w:rPr>
          <w:t xml:space="preserve">[6]</w:t>
        </w:r>
      </w:hyperlink>
      <w:r>
        <w:t xml:space="preserve">.</w:t>
      </w:r>
    </w:p>
    <w:p>
      <w:pPr>
        <w:pStyle w:val="BodyText"/>
        <w:spacing w:line="480" w:lineRule="auto"/>
        <w:ind w:firstLine="720"/>
      </w:pPr>
      <w:r>
        <w:t xml:space="preserve">Provenance is preserved row by row. It is never merely asserted in aggregate. Records 1 through 12 resolve to conference proceedings with public URLs. Records 13 through 24 resolve to journal articles with digital object identifiers, several of which appear in the reference pool as anchor works</w:t>
      </w:r>
      <w:r>
        <w:t xml:space="preserve"> </w:t>
      </w:r>
      <w:hyperlink w:anchor="ref-9">
        <w:r>
          <w:rPr>
            <w:rStyle w:val="Hyperlink"/>
          </w:rPr>
          <w:t xml:space="preserve">[9]</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Records 25 through 30 are curated policy and architecture documents, identified by title and, where available, by identifier. This structure matters because it lets the venue-family variable be constructed mechanically from the record’s origin rather than from a subjective judgment about its character. The corpus is small, but it is legible end to end, which is the trade the design accepts: breadth is sacrificed for traceability.</w:t>
      </w:r>
    </w:p>
    <w:bookmarkEnd w:id="100"/>
    <w:bookmarkStart w:id="101" w:name="X867d32f50edad61433e46d902c09434addd1398"/>
    <w:p>
      <w:pPr>
        <w:pStyle w:val="Heading2"/>
        <w:spacing w:line="480" w:lineRule="auto"/>
      </w:pPr>
      <w:r>
        <w:t xml:space="preserve">5.2 Constructing the outcome: the topic-signal score</w:t>
      </w:r>
    </w:p>
    <w:p>
      <w:pPr>
        <w:pStyle w:val="FirstParagraph"/>
        <w:spacing w:line="480" w:lineRule="auto"/>
      </w:pPr>
      <w:r>
        <w:t xml:space="preserve">The dependent variable in Paper 1 is a composite topic-signal score. The construction is mechanical. It is a deterministic count, built by tallying candidate-theme term hits across four fields of each record: the title, the snippet or abstract, the keyword field, and the author metadata. A record whose title, keywords, and authorship all invoke the vocabulary of space-security norms accumulates a higher score than a record that touches the theme only glancingly. The score is not a rating and involves no analyst discretion at the point of measurement; given the same record and the same term list, it returns the same value every time.</w:t>
      </w:r>
    </w:p>
    <w:p>
      <w:pPr>
        <w:pStyle w:val="BodyText"/>
        <w:spacing w:line="480" w:lineRule="auto"/>
        <w:ind w:firstLine="720"/>
      </w:pPr>
      <w:r>
        <w:t xml:space="preserve">The distribution of the score across the corpus is informative in its own right. Scores range from a floor of one, for records that touch the theme only faintly, to a ceiling of eight, for records saturated with theme-relevant language. The highest scores concentrate among recent journal entries: a 2025 record on the protection of AI-based space systems carries a score of seven, and two other 2025 entries reach eight</w:t>
      </w:r>
      <w:r>
        <w:t xml:space="preserve"> </w:t>
      </w:r>
      <w:hyperlink w:anchor="ref-9">
        <w:r>
          <w:rPr>
            <w:rStyle w:val="Hyperlink"/>
          </w:rPr>
          <w:t xml:space="preserve">[9]</w:t>
        </w:r>
      </w:hyperlink>
      <w:r>
        <w:t xml:space="preserve"> </w:t>
      </w:r>
      <w:hyperlink w:anchor="ref-16">
        <w:r>
          <w:rPr>
            <w:rStyle w:val="Hyperlink"/>
          </w:rPr>
          <w:t xml:space="preserve">[16]</w:t>
        </w:r>
      </w:hyperlink>
      <w:r>
        <w:t xml:space="preserve">. The lowest scores appear among older or tangential records, such as a 2017 situational-understanding proceeding scored at one. This concentration of high scores among recent records is the raw material of the recency result, and it is visible in the data before any model is run, which is a reassuring sign that the estimator is detecting a real feature of the corpus rather than manufacturing one.</w:t>
      </w:r>
    </w:p>
    <w:bookmarkEnd w:id="101"/>
    <w:bookmarkStart w:id="102" w:name="constructing-the-predictors"/>
    <w:p>
      <w:pPr>
        <w:pStyle w:val="Heading2"/>
        <w:spacing w:line="480" w:lineRule="auto"/>
      </w:pPr>
      <w:r>
        <w:t xml:space="preserve">5.3 Constructing the predictors</w:t>
      </w:r>
    </w:p>
    <w:p>
      <w:pPr>
        <w:pStyle w:val="FirstParagraph"/>
        <w:spacing w:line="480" w:lineRule="auto"/>
      </w:pPr>
      <w:r>
        <w:t xml:space="preserve">Take recency first. The recency index is the publication year minus the minimum publication year in the sample, plus one. The earliest record dates to 2017 and receives a recency index of one; the latest dates to 2026 and receives the maximum. This construction turns calendar year into a clean integer scale on which the recency coefficient can be read directly as the expected change in signal score per additional year of recency. The plus-one offset keeps the scale positive and interpretable, and the anchoring to the sample minimum means the index is defined relative to this corpus rather than to an arbitrary external baseline.</w:t>
      </w:r>
    </w:p>
    <w:p>
      <w:pPr>
        <w:pStyle w:val="BodyText"/>
        <w:spacing w:line="480" w:lineRule="auto"/>
        <w:ind w:firstLine="720"/>
      </w:pPr>
      <w:r>
        <w:t xml:space="preserve">The citation count is parsed from the local brain index and takes the reported value, or zero when the index reported no count. This is the most fragile predictor in the study. The chapter names that fragility rather than burying it. Local index citation counts diverge from universal counts, and in a corpus of recent records the divergence is severe: most records report zero citations, a handful report values in the low twenties, and the distribution is dominated by the floor</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The two largest counts, twenty-two and twenty-one, attach to a 2024 and a 2023 journal article respectively, while the newest and most theme-dense records report zero because too little time has elapsed for citations to accrue</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 This structure is exactly why the theory predicted an imprecise citation coefficient.</w:t>
      </w:r>
    </w:p>
    <w:p>
      <w:pPr>
        <w:pStyle w:val="BodyText"/>
        <w:spacing w:line="480" w:lineRule="auto"/>
        <w:ind w:firstLine="720"/>
      </w:pPr>
      <w:r>
        <w:t xml:space="preserve">The venue score is an ordinal family code: conference proceedings receive one, journal articles receive two, and curated policy or economy documents receive three. The ordering is deliberate but not interval-scaled, and the dissertation warns against overreading it. A move from one to two encodes a shift from operational to theorized venues, not a doubling of any underlying quantity. Treating the code as ordinal keeps the venue coefficient honest: it captures whether venue family shifts the signal score in a consistent direction once recency and citation are held constant, without pretending the three families sit at equal spacings on a real scale</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bookmarkEnd w:id="102"/>
    <w:bookmarkStart w:id="103" w:name="the-temporal-file"/>
    <w:p>
      <w:pPr>
        <w:pStyle w:val="Heading2"/>
        <w:spacing w:line="480" w:lineRule="auto"/>
      </w:pPr>
      <w:r>
        <w:t xml:space="preserve">5.4 The temporal file</w:t>
      </w:r>
    </w:p>
    <w:p>
      <w:pPr>
        <w:pStyle w:val="FirstParagraph"/>
        <w:spacing w:line="480" w:lineRule="auto"/>
      </w:pPr>
      <w:r>
        <w:t xml:space="preserve">Paper 2 uses a closely related file. It is built for the age analysis. Its outcome is citations-plus-one, the reported citation count incremented by one so that the log transformation is defined for uncited records. Its single predictor is the age index, computed as 2026 minus the publication year plus one, so that a 2026 record has an age of one and a 2017 record has an age of ten. The same thirty records populate this file, with the same source column preserved, so that the temporal screen operates on the identical evidence base as the cross-sectional screen rather than on a separately curated set. Keeping the two files aligned is what licenses the joint reading in the results chapter, because any difference in findings can be attributed to the estimator rather than to a change in the underlying records</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03"/>
    <w:bookmarkStart w:id="104" w:name="sample-size-power-and-honest-limits"/>
    <w:p>
      <w:pPr>
        <w:pStyle w:val="Heading2"/>
        <w:spacing w:line="480" w:lineRule="auto"/>
      </w:pPr>
      <w:r>
        <w:t xml:space="preserve">5.5 Sample size, power, and honest limits</w:t>
      </w:r>
    </w:p>
    <w:p>
      <w:pPr>
        <w:pStyle w:val="FirstParagraph"/>
        <w:spacing w:line="480" w:lineRule="auto"/>
      </w:pPr>
      <w:r>
        <w:t xml:space="preserve">The sample is thirty records. That is small. The dissertation treats the number as a hard constraint on what the analysis can claim rather than as a detail to be waved past. With thirty observations and three predictors, the cross-sectional model has enough residual degrees of freedom to estimate its coefficients and their robust standard errors, but it has little power to detect small effects or to support a richer specification. The temporal model, with one predictor, is even more exposed to the corpus’s youth, because its identifying variation comes from a citation distribution that is mostly zeros.</w:t>
      </w:r>
    </w:p>
    <w:p>
      <w:pPr>
        <w:pStyle w:val="BodyText"/>
        <w:spacing w:line="480" w:lineRule="auto"/>
        <w:ind w:firstLine="720"/>
      </w:pPr>
      <w:r>
        <w:t xml:space="preserve">Two measurement limits follow directly and are carried forward into the threats-to-validity discussion. The first is construct validity: the signal score measures theme-term density, which is a proxy for salience, not a validated measure of political influence or of any state’s advocacy. The second is censoring: the citation counts are truncated by the corpus’s recency, so the temporal file cannot distinguish a field with no accumulation from a field too young to have accumulated yet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Naming these limits here, at the point of measurement, is what allows the results chapter to interpret the numbers without inflating them.</w:t>
      </w:r>
    </w:p>
    <w:bookmarkEnd w:id="104"/>
    <w:bookmarkStart w:id="105" w:name="Xc591b43e1c60b3b748dc392a2fa55f1b0274aca"/>
    <w:p>
      <w:pPr>
        <w:pStyle w:val="Heading2"/>
        <w:spacing w:line="480" w:lineRule="auto"/>
      </w:pPr>
      <w:r>
        <w:t xml:space="preserve">5.6 The venue-family composition and what it does to the estimates</w:t>
      </w:r>
    </w:p>
    <w:p>
      <w:pPr>
        <w:pStyle w:val="FirstParagraph"/>
        <w:spacing w:line="480" w:lineRule="auto"/>
      </w:pPr>
      <w:r>
        <w:t xml:space="preserve">The distribution of records across venue families is not balanced, and the imbalance shapes what the venue coefficient can detect. Twelve records come from conference proceedings scored at one, twelve from journal articles scored at two, and six from curated policy and architecture documents scored at three. The journal block is the most theme-dense on average, because it contains the recent governance-focused Acta Astronautica entries whose keywords and titles are saturated with security and sustainability vocabulary</w:t>
      </w:r>
      <w:r>
        <w:t xml:space="preserve"> </w:t>
      </w:r>
      <w:hyperlink w:anchor="ref-9">
        <w:r>
          <w:rPr>
            <w:rStyle w:val="Hyperlink"/>
          </w:rPr>
          <w:t xml:space="preserve">[9]</w:t>
        </w:r>
      </w:hyperlink>
      <w:r>
        <w:t xml:space="preserve"> </w:t>
      </w:r>
      <w:hyperlink w:anchor="ref-11">
        <w:r>
          <w:rPr>
            <w:rStyle w:val="Hyperlink"/>
          </w:rPr>
          <w:t xml:space="preserve">[11]</w:t>
        </w:r>
      </w:hyperlink>
      <w:r>
        <w:t xml:space="preserve"> </w:t>
      </w:r>
      <w:hyperlink w:anchor="ref-16">
        <w:r>
          <w:rPr>
            <w:rStyle w:val="Hyperlink"/>
          </w:rPr>
          <w:t xml:space="preserve">[16]</w:t>
        </w:r>
      </w:hyperlink>
      <w:r>
        <w:t xml:space="preserve">. The conference block is older on average and more operational in framing, and the policy block, though scored highest on the venue scale, contains several terse records with short titles and empty snippet fields, which mechanically depresses their signal scores.</w:t>
      </w:r>
    </w:p>
    <w:p>
      <w:pPr>
        <w:pStyle w:val="BodyText"/>
        <w:spacing w:line="480" w:lineRule="auto"/>
        <w:ind w:firstLine="720"/>
      </w:pPr>
      <w:r>
        <w:t xml:space="preserve">This composition explains why the venue coefficient, examined in the results chapter, carries the sign it does. Because the highest venue code attaches to a block with several low-signal records, the raw correlation between venue score and signal score is weaker than one might expect, and once recency is held constant the venue term turns slightly negative. The data chapter flags this in advance so that the negative venue coefficient is read as a feature of the corpus composition rather than as a surprising claim about journals carrying less signal than proceedings. The lesson for a future design is that a balanced corpus with fuller metadata for the policy block would give the venue term a fairer test</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bookmarkEnd w:id="105"/>
    <w:bookmarkStart w:id="106" w:name="X9d9b9d7431947ce5dab14c1145532b305549c48"/>
    <w:p>
      <w:pPr>
        <w:pStyle w:val="Heading2"/>
        <w:spacing w:line="480" w:lineRule="auto"/>
      </w:pPr>
      <w:r>
        <w:t xml:space="preserve">5.7 Reproducibility of the measurement pipeline</w:t>
      </w:r>
    </w:p>
    <w:p>
      <w:pPr>
        <w:pStyle w:val="FirstParagraph"/>
        <w:spacing w:line="480" w:lineRule="auto"/>
      </w:pPr>
      <w:r>
        <w:t xml:space="preserve">Every measurement in this study is reproducible from the retained files, and the chapter states the reproduction path explicitly. Given the thirty records with their year, citation, venue, and theme-count fields, the recency index is a deterministic arithmetic transform of year, the age index is a second deterministic transform of year, and citations-plus-one is a deterministic transform of the citation field. The signal score is a deterministic count against a fixed term list applied to four named fields. No step in the pipeline involves a random seed, a hyperparameter, or an analyst judgment applied after the outcome is seen. This means that the entire dataset can be regenerated from the source records and the term list alone, and any discrepancy between a reproduction and the reported values would signal an error to be corrected</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Reproducibility at the measurement stage is what makes reproducibility at the estimation stage meaningful. A screen whose inputs could not be regenerated would leave the coefficients unfalsifiable in practice, because a critic could not check whether a different result stemmed from a different method or a different dataset. By fixing the measurement pipeline deterministically, the study ensures that any future disagreement about the findings can be localized precisely: to the corpus selection, to the term list, or to the estimator, but never to an untraceable step in between. ## 5.8 A closer look at the extreme records</w:t>
      </w:r>
    </w:p>
    <w:p>
      <w:pPr>
        <w:pStyle w:val="BodyText"/>
        <w:spacing w:line="480" w:lineRule="auto"/>
        <w:ind w:firstLine="720"/>
      </w:pPr>
      <w:r>
        <w:t xml:space="preserve">Two kinds of extreme record shape the estimates, and describing them concretely makes the abstract measurement rules tangible. At the high-signal end sits a cluster of 2025 Acta Astronautica entries whose titles and keywords are dense with governance and security vocabulary, reaching signal scores of seven and eight. One examines the protection of AI-based space systems from a data-driven governance perspective</w:t>
      </w:r>
      <w:r>
        <w:t xml:space="preserve"> </w:t>
      </w:r>
      <w:hyperlink w:anchor="ref-9">
        <w:r>
          <w:rPr>
            <w:rStyle w:val="Hyperlink"/>
          </w:rPr>
          <w:t xml:space="preserve">[9]</w:t>
        </w:r>
      </w:hyperlink>
      <w:r>
        <w:t xml:space="preserve">; another advances a multispecies framing of space sustainability</w:t>
      </w:r>
      <w:r>
        <w:t xml:space="preserve"> </w:t>
      </w:r>
      <w:hyperlink w:anchor="ref-16">
        <w:r>
          <w:rPr>
            <w:rStyle w:val="Hyperlink"/>
          </w:rPr>
          <w:t xml:space="preserve">[16]</w:t>
        </w:r>
      </w:hyperlink>
      <w:r>
        <w:t xml:space="preserve">. These records are recent, so they anchor the top of the recency scale, and they are theme-saturated, so they anchor the top of the signal scale, which is why the recency-signal association is visible even before estimation. Yet they carry near-zero local citations, because they are too new to have been cited, which is why they simultaneously drag the citation proxy toward uselessness.</w:t>
      </w:r>
    </w:p>
    <w:p>
      <w:pPr>
        <w:pStyle w:val="BodyText"/>
        <w:spacing w:line="480" w:lineRule="auto"/>
        <w:ind w:firstLine="720"/>
      </w:pPr>
      <w:r>
        <w:t xml:space="preserve">At the low-signal end sit the terse policy records and the oldest proceeding. A 2017 situational-understanding proceeding scores at the floor, and several curated policy entries with short titles and empty snippet fields score low despite their high venue code</w:t>
      </w:r>
      <w:r>
        <w:t xml:space="preserve"> </w:t>
      </w:r>
      <w:hyperlink w:anchor="ref-3">
        <w:r>
          <w:rPr>
            <w:rStyle w:val="Hyperlink"/>
          </w:rPr>
          <w:t xml:space="preserve">[3]</w:t>
        </w:r>
      </w:hyperlink>
      <w:r>
        <w:t xml:space="preserve">. The two heavily cited records, a 2024 article at twenty-two citations and a 2023 article at twenty-one, occupy a middle position on signal and sit at moderate ages, which is exactly the configuration that produces a weak and negatively signed age elasticity in Paper 2</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Walking through these extremes shows that the estimates are not artifacts of a single outlier; they reflect a coherent structure in which recency and signal move together while citation and age do not organize the data.</w:t>
      </w:r>
    </w:p>
    <w:bookmarkEnd w:id="106"/>
    <w:bookmarkStart w:id="107" w:name="what-a-stronger-dataset-would-add"/>
    <w:p>
      <w:pPr>
        <w:pStyle w:val="Heading2"/>
        <w:spacing w:line="480" w:lineRule="auto"/>
      </w:pPr>
      <w:r>
        <w:t xml:space="preserve">5.9 What a stronger dataset would add</w:t>
      </w:r>
    </w:p>
    <w:p>
      <w:pPr>
        <w:pStyle w:val="FirstParagraph"/>
        <w:spacing w:line="480" w:lineRule="auto"/>
      </w:pPr>
      <w:r>
        <w:t xml:space="preserve">Naming the improvements a better dataset would bring is part of specifying the present one’s limits. Three additions would matter most. First, a probability sample of the space-security literature, rather than a curated set, would let the recency finding claim external validity beyond this corpus</w:t>
      </w:r>
      <w:r>
        <w:t xml:space="preserve"> </w:t>
      </w:r>
      <w:hyperlink w:anchor="ref-5">
        <w:r>
          <w:rPr>
            <w:rStyle w:val="Hyperlink"/>
          </w:rPr>
          <w:t xml:space="preserve">[5]</w:t>
        </w:r>
      </w:hyperlink>
      <w:r>
        <w:t xml:space="preserve">. Second, fuller metadata for the policy and architecture block, including abstracts and keyword fields presently empty, would give the venue term a fairer test and might change its sign or precision</w:t>
      </w:r>
      <w:r>
        <w:t xml:space="preserve"> </w:t>
      </w:r>
      <w:hyperlink w:anchor="ref-6">
        <w:r>
          <w:rPr>
            <w:rStyle w:val="Hyperlink"/>
          </w:rPr>
          <w:t xml:space="preserve">[6]</w:t>
        </w:r>
      </w:hyperlink>
      <w:r>
        <w:t xml:space="preserve">. Third, author-level attribution, tagging each record by the nationality and institution of its advocates, would let the study answer the titular question about which states drive the norm, which the present metadata-only file cannot approach</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Each of these additions is feasible, and none requires a new method, only a larger and richer corpus. That is a reassuring position for a dissertation to occupy, because it means the study’s limits are limits of data rather than of design: the screen is sound, and it would simply see more with more to look at.</w:t>
      </w:r>
    </w:p>
    <w:bookmarkEnd w:id="107"/>
    <w:bookmarkStart w:id="108" w:name="the-temporal-distribution-of-the-corpus"/>
    <w:p>
      <w:pPr>
        <w:pStyle w:val="Heading2"/>
        <w:spacing w:line="480" w:lineRule="auto"/>
      </w:pPr>
      <w:r>
        <w:t xml:space="preserve">5.10 The temporal distribution of the corpus</w:t>
      </w:r>
    </w:p>
    <w:p>
      <w:pPr>
        <w:pStyle w:val="FirstParagraph"/>
        <w:spacing w:line="480" w:lineRule="auto"/>
      </w:pPr>
      <w:r>
        <w:t xml:space="preserve">Because both screens depend on the corpus’s spread over time, the temporal distribution deserves explicit description. The records span 2017 to 2026, a ten-year window, but they are not evenly distributed across it. The density rises sharply toward the recent end: the single largest concentration of records falls in 2024 and 2025, driven by the recent Acta Astronautica governance entries, while the years before 2020 contribute only a handful of proceedings</w:t>
      </w:r>
      <w:r>
        <w:t xml:space="preserve"> </w:t>
      </w:r>
      <w:hyperlink w:anchor="ref-9">
        <w:r>
          <w:rPr>
            <w:rStyle w:val="Hyperlink"/>
          </w:rPr>
          <w:t xml:space="preserve">[9]</w:t>
        </w:r>
      </w:hyperlink>
      <w:r>
        <w:t xml:space="preserve"> </w:t>
      </w:r>
      <w:hyperlink w:anchor="ref-16">
        <w:r>
          <w:rPr>
            <w:rStyle w:val="Hyperlink"/>
          </w:rPr>
          <w:t xml:space="preserve">[16]</w:t>
        </w:r>
      </w:hyperlink>
      <w:r>
        <w:t xml:space="preserve">. This right-skew is deliberate, reflecting the study’s interest in an emerging rather than a settled norm, but it has consequences the data chapter must own.</w:t>
      </w:r>
    </w:p>
    <w:p>
      <w:pPr>
        <w:pStyle w:val="BodyText"/>
        <w:spacing w:line="480" w:lineRule="auto"/>
        <w:ind w:firstLine="720"/>
      </w:pPr>
      <w:r>
        <w:t xml:space="preserve">The consequence for Paper 1 is favorable: a corpus weighted toward recent years provides the variation in recency that the cross-sectional model needs, and it ensures the theme-dense recent records are well represented rather than swamped by older material. The consequence for Paper 2 is unfavorable, and it is the root of the temporal null: a corpus concentrated in the last two years is dominated by records too new to have accrued citations, so the age predictor cannot organize variation that has not yet had time to appear</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 The same temporal skew that strengthens the cross-sectional screen therefore weakens the temporal screen, which is not a contradiction but a direct consequence of the corpus’s shape, and stating it here prepares the reader to interpret the two results as complementary products of a single distribution.</w:t>
      </w:r>
    </w:p>
    <w:bookmarkEnd w:id="108"/>
    <w:bookmarkStart w:id="109" w:name="Xb780eab2310b7d65e9908b0f162f92e5309c362"/>
    <w:p>
      <w:pPr>
        <w:pStyle w:val="Heading2"/>
        <w:spacing w:line="480" w:lineRule="auto"/>
      </w:pPr>
      <w:r>
        <w:t xml:space="preserve">5.11 Data ethics and the public nature of the sources</w:t>
      </w:r>
    </w:p>
    <w:p>
      <w:pPr>
        <w:pStyle w:val="FirstParagraph"/>
        <w:spacing w:line="480" w:lineRule="auto"/>
      </w:pPr>
      <w:r>
        <w:t xml:space="preserve">A brief note on the provenance ethics closes the chapter. Every record in the corpus is drawn from public scholarly and practitioner sources: conference proceedings with public URLs, journal articles with digital object identifiers, and curated policy documents identified by title</w:t>
      </w:r>
      <w:r>
        <w:t xml:space="preserve"> </w:t>
      </w:r>
      <w:hyperlink w:anchor="ref-1">
        <w:r>
          <w:rPr>
            <w:rStyle w:val="Hyperlink"/>
          </w:rPr>
          <w:t xml:space="preserve">[1]</w:t>
        </w:r>
      </w:hyperlink>
      <w:r>
        <w:t xml:space="preserve"> </w:t>
      </w:r>
      <w:hyperlink w:anchor="ref-3">
        <w:r>
          <w:rPr>
            <w:rStyle w:val="Hyperlink"/>
          </w:rPr>
          <w:t xml:space="preserve">[3]</w:t>
        </w:r>
      </w:hyperlink>
      <w:r>
        <w:t xml:space="preserve">. No record contains private, classified, or personally sensitive information, and the analysis operates entirely on publicly available metadata. This matters for a study in the security domain, where the temptation to reach for restricted sources is real and the cost of doing so is a loss of reproducibility. By confining itself to public sources, the study keeps its entire evidence base inspectable by any reader, which is both an ethical posture and a methodological one, since a screen built on public data can be rerun by anyone rather than only by those with special access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public-source commitment also bounds what the study can claim, and the bound is worth restating. A screen over public literature detects public argument; it says nothing about advocacy conducted through closed channels, which by construction leaves no trace in the corpus. This is a limit the discussion chapter carries forward, but it is also a feature: the study measures the visible, reproducible part of norm entrepreneurship and makes no pretense to the invisible part</w:t>
      </w:r>
      <w:r>
        <w:t xml:space="preserve"> </w:t>
      </w:r>
      <w:hyperlink w:anchor="ref-2">
        <w:r>
          <w:rPr>
            <w:rStyle w:val="Hyperlink"/>
          </w:rPr>
          <w:t xml:space="preserve">[2]</w:t>
        </w:r>
      </w:hyperlink>
      <w:r>
        <w:t xml:space="preserve"> </w:t>
      </w:r>
      <w:hyperlink w:anchor="ref-14">
        <w:r>
          <w:rPr>
            <w:rStyle w:val="Hyperlink"/>
          </w:rPr>
          <w:t xml:space="preserve">[14]</w:t>
        </w:r>
      </w:hyperlink>
      <w:r>
        <w:t xml:space="preserve">. The dataset is modest, its provenance is complete, its composition is stated, its temporal skew is described, and its construction is reproducible. That is the foundation on which the next chapter reports the exact estimator output</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09"/>
    <w:bookmarkEnd w:id="110"/>
    <w:bookmarkStart w:id="122" w:name="chapter-6.-results"/>
    <w:p>
      <w:pPr>
        <w:pStyle w:val="Heading1"/>
        <w:spacing w:line="480" w:lineRule="auto"/>
      </w:pPr>
      <w:r>
        <w:t xml:space="preserve">Chapter 6. Results</w:t>
      </w:r>
    </w:p>
    <w:p>
      <w:pPr>
        <w:pStyle w:val="FirstParagraph"/>
        <w:spacing w:line="480" w:lineRule="auto"/>
      </w:pPr>
      <w:r>
        <w:t xml:space="preserve">This chapter reports the exact output of the two workbooks and interprets the signs and magnitudes without adding or altering a single value. Every number below is copied from the estimator output for Paper 1 and Paper 2. The chapter reads the cross-sectional model first, then the temporal model, and closes by reading the two together against the predictions set out in Chapter 3</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11" w:name="X3abe7df64a20f94f4dbd0cd3d53d14e0e39251c"/>
    <w:p>
      <w:pPr>
        <w:pStyle w:val="Heading2"/>
        <w:spacing w:line="480" w:lineRule="auto"/>
      </w:pPr>
      <w:r>
        <w:t xml:space="preserve">6.1 Paper 1: cross-sectional structure in the topic signal</w:t>
      </w:r>
    </w:p>
    <w:p>
      <w:pPr>
        <w:pStyle w:val="FirstParagraph"/>
        <w:spacing w:line="480" w:lineRule="auto"/>
      </w:pPr>
      <w:r>
        <w:t xml:space="preserve">Paper 1 estimates an ordinary least squares model of the topic-signal score on recency, citation count, and venue family, with heteroskedasticity-robust HC1 standard errors. The fit summary is exact: N = 30, R2 = 0.3067431057858272, adjusted R2 = 0.2267519256841919, F = 3.259013681877248, and the F p-value = 0.037532618194668736. The overall model is jointly significant at conventional levels, since the F p-value falls below 0.05. The model accounts for roughly thirty-one percent of the variation in the signal score, which is a substantial share for a three-predictor screen on a curated corpus of this size.</w:t>
      </w:r>
    </w:p>
    <w:p>
      <w:pPr>
        <w:pStyle w:val="BodyText"/>
        <w:spacing w:line="480" w:lineRule="auto"/>
        <w:ind w:firstLine="720"/>
      </w:pPr>
      <w:r>
        <w:t xml:space="preserve">The term-level estimates are the heart of the result. The constant coefficient is 2.5286864799356663 with a p-value of 0.011758196740133968. The recency_index coefficient is 0.4332903975796549 with a p-value of 0.010698715552124096. The cites_num coefficient is 0.030426212530881933 with a p-value of 0.5446116916165807. The venue_score coefficient is minus 0.7104099317626675 with a p-value of 0.15852753897667848.</w:t>
      </w:r>
    </w:p>
    <w:p>
      <w:pPr>
        <w:pStyle w:val="BodyText"/>
        <w:spacing w:line="480" w:lineRule="auto"/>
        <w:ind w:firstLine="720"/>
      </w:pPr>
      <w:r>
        <w:t xml:space="preserve">Recency is the decisive term, and it behaves exactly as the theory predicted. Its coefficient is positive and precise: a p-value of 0.0107 clears the conventional threshold, and the point estimate of 0.4333 says that each additional unit of recency is associated with an expected increase of about four-tenths of a point in the topic-signal score, holding citation count and venue family fixed. Across the nine-unit span of the recency index in this corpus, that gradient implies a difference of nearly four signal-score points between the oldest and the newest records, which is a large share of the score’s one-to-eight range. The emerging-norm reading is sustained for this corpus. Newer records carry a systematically denser concentration of space-security norm vocabulary, and the association survives conditioning on the two other predictors</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Citation attention does not carry a precise signal. Its coefficient is positive, at 0.0304, which matches the direction the strong version of the mechanism anticipated, but its p-value of 0.5446 is far from any threshold of significance. The dissertation reads this as evidence about the proxy rather than as a refutation of the mechanism. In a corpus dominated by recent records with near-zero local citation counts, the citation variable simply lacks the variation to identify an association, exactly the condition Chapter 3 flagged in advance</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The honest statement is that citation count, as measured by the local index in this young corpus, does not structure the topic signal, and that this null is informative about the limits of citation as a salience proxy here.</w:t>
      </w:r>
    </w:p>
    <w:p>
      <w:pPr>
        <w:pStyle w:val="BodyText"/>
        <w:spacing w:line="480" w:lineRule="auto"/>
        <w:ind w:firstLine="720"/>
      </w:pPr>
      <w:r>
        <w:t xml:space="preserve">Venue family carries a negative and imprecise coefficient, minus 0.7104, with a p-value of 0.1586. The sign is interesting even though the precision does not license a firm claim. A negative venue coefficient means that, holding recency and citation fixed, records from higher-ordered venue families tend to carry slightly lower theme-term density. This is consistent with the reading, floated but not committed to in Chapter 3, that operationally driven conference records pack more raw theme vocabulary into their metadata than the more abstracted journal and policy treatments, which theorize the topic in language that a term counter registers less densely</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13">
        <w:r>
          <w:rPr>
            <w:rStyle w:val="Hyperlink"/>
          </w:rPr>
          <w:t xml:space="preserve">[13]</w:t>
        </w:r>
      </w:hyperlink>
      <w:r>
        <w:t xml:space="preserve">. Because the coefficient does not reach significance, the dissertation reports it as suggestive only and declines to build any load-bearing claim on it.</w:t>
      </w:r>
    </w:p>
    <w:p>
      <w:pPr>
        <w:pStyle w:val="BodyText"/>
        <w:spacing w:line="480" w:lineRule="auto"/>
        <w:ind w:firstLine="720"/>
      </w:pPr>
      <w:r>
        <w:t xml:space="preserve">Read as a whole, Paper 1 rejects the cross-sectional null in favor of a specific and bounded conclusion. The topic signal is structured, and the structure runs through recency. H0 is rejected for this corpus, and the rejection rests on a single precise term rather than on a diffuse improvement in fit, which is the cleaner and more defensible outcome for a small sample</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11"/>
    <w:bookmarkStart w:id="112" w:name="Xeb0b970ec94d21b023d2ced48d9d91148439591"/>
    <w:p>
      <w:pPr>
        <w:pStyle w:val="Heading2"/>
        <w:spacing w:line="480" w:lineRule="auto"/>
      </w:pPr>
      <w:r>
        <w:t xml:space="preserve">6.2 Paper 2: temporal structure in citation accumulation</w:t>
      </w:r>
    </w:p>
    <w:p>
      <w:pPr>
        <w:pStyle w:val="FirstParagraph"/>
        <w:spacing w:line="480" w:lineRule="auto"/>
      </w:pPr>
      <w:r>
        <w:t xml:space="preserve">Paper 2 estimates a log-log learning-curve model of citations-plus-one on the age index, again with HC1 robust standard errors. The fit summary is exact: N = 30 and R2 = 0.05723058618617505. The elasticity, reported as the coefficient on log age, is minus 0.40401039586833704, and the progress ratio, two raised to that elasticity, is 0.7557545182720793. The term summary is exact: the constant coefficient is 1.108741045460923 with a p-value of 0.024281388168167658, and the log-age coefficient is minus 0.40401039586833704 with a p-value of 0.1241396046194116.</w:t>
      </w:r>
    </w:p>
    <w:p>
      <w:pPr>
        <w:pStyle w:val="BodyText"/>
        <w:spacing w:line="480" w:lineRule="auto"/>
        <w:ind w:firstLine="720"/>
      </w:pPr>
      <w:r>
        <w:t xml:space="preserve">The temporal result is weak, and it is weak in precisely the way the theory anticipated. The model accounts for under six percent of the variation in log citations, and the age elasticity, though signed, does not reach conventional significance at a p-value of 0.1241. The point estimate is negative, which on its face would suggest that older documents carry fewer citations rather than more, an inversion of the maturing-field expectation. The progress ratio of 0.7557 expresses the same fact: each doubling of age is associated with citations scaling by roughly three-quarters rather than growing.</w:t>
      </w:r>
    </w:p>
    <w:p>
      <w:pPr>
        <w:pStyle w:val="BodyText"/>
        <w:spacing w:line="480" w:lineRule="auto"/>
        <w:ind w:firstLine="720"/>
      </w:pPr>
      <w:r>
        <w:t xml:space="preserve">Interpreting this negative elasticity requires the caution Chapter 3 built in. The corpus is dominated by recent, theme-dense journal entries with near-zero citation counts, while the few older records include both a heavily cited anchor and several lightly cited ones. Under that censoring, the age-citation relationship is not measuring a genuine decay of attention with age; it is measuring the fact that the newest records have not yet had time to accrue citations, which pins them at the citation floor regardless of their salience</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 </w:t>
      </w:r>
      <w:hyperlink w:anchor="ref-16">
        <w:r>
          <w:rPr>
            <w:rStyle w:val="Hyperlink"/>
          </w:rPr>
          <w:t xml:space="preserve">[16]</w:t>
        </w:r>
      </w:hyperlink>
      <w:r>
        <w:t xml:space="preserve">. The negative sign is an artifact of corpus youth, not evidence that older space-security work loses attention. The dissertation therefore does not reject the temporal null with any confidence. It reports that citation accumulation in this corpus does not follow a clean age curve, and it attributes the flatness to censoring rather than to an absence of accumulation in the field at large</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12"/>
    <w:bookmarkStart w:id="113" w:name="reading-the-two-papers-together"/>
    <w:p>
      <w:pPr>
        <w:pStyle w:val="Heading2"/>
        <w:spacing w:line="480" w:lineRule="auto"/>
      </w:pPr>
      <w:r>
        <w:t xml:space="preserve">6.3 Reading the two papers together</w:t>
      </w:r>
    </w:p>
    <w:bookmarkEnd w:id="113"/>
    <w:bookmarkStart w:id="114" w:name="X855d7b6d39dbaf649c06529ace92d733644fad2"/>
    <w:p>
      <w:pPr>
        <w:pStyle w:val="Heading2"/>
        <w:spacing w:line="480" w:lineRule="auto"/>
      </w:pPr>
      <w:r>
        <w:t xml:space="preserve">6.2a Magnitude, not just sign: what the recency slope means in corpus terms</w:t>
      </w:r>
    </w:p>
    <w:p>
      <w:pPr>
        <w:pStyle w:val="FirstParagraph"/>
        <w:spacing w:line="480" w:lineRule="auto"/>
      </w:pPr>
      <w:r>
        <w:t xml:space="preserve">A significant coefficient is only half a result; the other half is its magnitude, and the recency slope of 0.4333 is large enough to matter in the corpus’s own units. The signal score ranges from one to eight across the thirty records. The recency index ranges from one, for the 2017 proceeding, to ten, for the 2026 policy record. Multiplying the slope by the nine-unit span gives an expected signal-score difference of about 3.9 points between the oldest and newest records, holding citation and venue fixed. That is roughly half the full range of the outcome, which means recency is not a marginal nudge but a dominant axis of variation in theme density. A reader who knew only a record’s recency, and nothing about its citations or venue, could predict a substantial part of its signal score, which is the practical content of the emerging-norm reading</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magnitude also disciplines the interpretation against overreach. A slope of 0.4333 per year does not imply unbounded growth; extrapolated naively it would push the score past its ceiling within a few years beyond the sample, which is impossible. This is a reminder that the linear specification is a local approximation valid within the observed range, not a law of the field. The correct reading is bounded: within the 2017 to 2026 window, theme density rises with recency at roughly this rate, and the dissertation makes no claim about the slope’s behavior outside that window</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14"/>
    <w:bookmarkStart w:id="115" w:name="b-the-intercept-and-the-models-baseline"/>
    <w:p>
      <w:pPr>
        <w:pStyle w:val="Heading2"/>
        <w:spacing w:line="480" w:lineRule="auto"/>
      </w:pPr>
      <w:r>
        <w:t xml:space="preserve">6.2b The intercept and the model’s baseline</w:t>
      </w:r>
    </w:p>
    <w:p>
      <w:pPr>
        <w:pStyle w:val="FirstParagraph"/>
        <w:spacing w:line="480" w:lineRule="auto"/>
      </w:pPr>
      <w:r>
        <w:t xml:space="preserve">The constant term of 2.5287, significant at a p-value of 0.0118, is not merely a nuisance parameter; it fixes the model’s baseline. It represents the expected signal score for a hypothetical record at the lowest recency, zero citations, and the lowest venue family, and its precision indicates that the corpus has a well-defined floor of theme density even among its least recent, least cited proceedings. That the intercept is both positive and precise is consistent with a field in which even the oldest records carry some space-security vocabulary, which is what one would expect if the topic was already present, if faint, at the start of the observation window rather than appearing from nothing</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intercept thus supplies context for the recency slope: the topic did not emerge from zero salience but intensified from a modest existing base.</w:t>
      </w:r>
    </w:p>
    <w:bookmarkEnd w:id="115"/>
    <w:bookmarkStart w:id="116" w:name="X7de378a134b7278164bc1f6df0d52dd0318ee61"/>
    <w:p>
      <w:pPr>
        <w:pStyle w:val="Heading2"/>
        <w:spacing w:line="480" w:lineRule="auto"/>
      </w:pPr>
      <w:r>
        <w:t xml:space="preserve">6.2c Why the negative venue term is coherent, not anomalous</w:t>
      </w:r>
    </w:p>
    <w:p>
      <w:pPr>
        <w:pStyle w:val="FirstParagraph"/>
        <w:spacing w:line="480" w:lineRule="auto"/>
      </w:pPr>
      <w:r>
        <w:t xml:space="preserve">The negative venue coefficient of minus 0.7104 could look anomalous to a reader who expected higher-ordered venues to carry more signal. The data chapter defused this in advance. Because the highest venue code attaches to a policy block that includes several terse records with empty snippet fields, and because the theme-dense recent journal entries sit at the middle venue code, the partial association between venue rank and signal score turns slightly negative once recency absorbs the time trend. The coefficient’s imprecision, at a p-value of 0.1586, means the dissertation does not lean on it, but its sign is coherent with the corpus composition rather than surprising</w:t>
      </w:r>
      <w:r>
        <w:t xml:space="preserve"> </w:t>
      </w:r>
      <w:hyperlink w:anchor="ref-3">
        <w:r>
          <w:rPr>
            <w:rStyle w:val="Hyperlink"/>
          </w:rPr>
          <w:t xml:space="preserve">[3]</w:t>
        </w:r>
      </w:hyperlink>
      <w:r>
        <w:t xml:space="preserve"> </w:t>
      </w:r>
      <w:hyperlink w:anchor="ref-13">
        <w:r>
          <w:rPr>
            <w:rStyle w:val="Hyperlink"/>
          </w:rPr>
          <w:t xml:space="preserve">[13]</w:t>
        </w:r>
      </w:hyperlink>
      <w:r>
        <w:t xml:space="preserve">. The honest reading is that venue family, as coded here, adds no reliable information about theme density beyond what recency already captures.</w:t>
      </w:r>
    </w:p>
    <w:bookmarkEnd w:id="116"/>
    <w:bookmarkStart w:id="117" w:name="X70ae2ef20ef3d8e0d215c2eb7da170848f32830"/>
    <w:p>
      <w:pPr>
        <w:pStyle w:val="Heading2"/>
        <w:spacing w:line="480" w:lineRule="auto"/>
      </w:pPr>
      <w:r>
        <w:t xml:space="preserve">6.3a The progress ratio and the shape of the temporal null</w:t>
      </w:r>
    </w:p>
    <w:p>
      <w:pPr>
        <w:pStyle w:val="FirstParagraph"/>
        <w:spacing w:line="480" w:lineRule="auto"/>
      </w:pPr>
      <w:r>
        <w:t xml:space="preserve">The progress ratio of 0.7557, two raised to the age elasticity of minus 0.404, expresses the temporal result in an interpretable form: each doubling of a record’s age is associated with citations scaling to about three-quarters of their prior level rather than growing. Taken at face value this would describe a field whose older work attracts less attention, an implausible claim on its own. The imprecision of the elasticity, at a p-value of 0.1241, is what rescues the interpretation from that implausibility, because it tells the reader that the ratio is not distinguishable from a flat or mildly positive relationship given the corpus’s noise. The progress ratio is reported for completeness and legibility, not as a load-bearing estimate</w:t>
      </w:r>
      <w:r>
        <w:t xml:space="preserve"> </w:t>
      </w:r>
      <w:hyperlink w:anchor="ref-7">
        <w:r>
          <w:rPr>
            <w:rStyle w:val="Hyperlink"/>
          </w:rPr>
          <w:t xml:space="preserve">[7]</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shape of this null is exactly what the framework anticipated for a young corpus. With most records reporting zero local citations and only a handful reporting counts in the low twenties, the log-citation outcome is dominated by the plus-one floor, and the age predictor cannot organize variation that is mostly absent. The two heavily cited records, a 2024 article at twenty-two citations and a 2023 article at twenty-one, sit at moderate ages, while the newest 2025 and 2026 records cluster at the citation floor regardless of their high signal scores</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 This structure mechanically produces a weak, negatively signed elasticity, and the results chapter reads it as a censoring artifact rather than as a field-level finding.</w:t>
      </w:r>
    </w:p>
    <w:bookmarkEnd w:id="117"/>
    <w:bookmarkStart w:id="118" w:name="reading-the-two-papers-together-1"/>
    <w:p>
      <w:pPr>
        <w:pStyle w:val="Heading2"/>
        <w:spacing w:line="480" w:lineRule="auto"/>
      </w:pPr>
      <w:r>
        <w:t xml:space="preserve">6.4 Reading the two papers together</w:t>
      </w:r>
    </w:p>
    <w:p>
      <w:pPr>
        <w:pStyle w:val="FirstParagraph"/>
        <w:spacing w:line="480" w:lineRule="auto"/>
      </w:pPr>
      <w:r>
        <w:t xml:space="preserve">The joint pattern is the finding, and it matches the framework’s advance commitments term for term. Cross-sectional salience is structured by recency, precisely and positively. Temporal attention is not structured by age, weakly and imprecisely. A field can exhibit exactly this combination when its emerging vocabulary is intensifying in new work faster than the citing community can respond, which is the signature of a norm in the early, entrepreneurial phase of its life cycle rather than a mature regime with settled anchor references</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That the two screens diverge is not a contradiction to be resolved but a distinction to be preserved. Paper 1 detects that the topic signal has time structure. Paper 2 detects that the attention economy around that signal has not yet matured. Both statements are true of the same thirty records, and both are reported at the precision the estimators actually returned. The dissertation claims no more than that.</w:t>
      </w:r>
    </w:p>
    <w:bookmarkEnd w:id="118"/>
    <w:bookmarkStart w:id="119" w:name="the-overall-fit-in-context"/>
    <w:p>
      <w:pPr>
        <w:pStyle w:val="Heading2"/>
        <w:spacing w:line="480" w:lineRule="auto"/>
      </w:pPr>
      <w:r>
        <w:t xml:space="preserve">6.5 The overall fit in context</w:t>
      </w:r>
    </w:p>
    <w:p>
      <w:pPr>
        <w:pStyle w:val="FirstParagraph"/>
        <w:spacing w:line="480" w:lineRule="auto"/>
      </w:pPr>
      <w:r>
        <w:t xml:space="preserve">The two models sit at opposite ends of the explanatory-power spectrum, and the contrast is itself informative. Paper 1 accounts for about thirty-one percent of the variation in the signal score, with an R2 of 0.3067 and an adjusted R2 of 0.2268; the gap between the two reflects the modest penalty for three predictors on thirty observations, and the fact that the adjusted figure remains comfortably positive indicates the model is not merely fitting noise. Paper 2 accounts for under six percent of the variation in log citations, with an R2 of 0.0572, a figure that would be disappointing if the temporal effect were the study’s central claim but is expected given the framework’s advance concession that citation accumulation is unmeasurable in a corpus this young</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Reading fit statistics honestly means resisting two errors. The first is treating Paper 1’s thirty-one percent as a weakness because it is far from complete explanation; for a three-predictor screen of a phenomenon as noisy as documentary salience, capturing a third of the variance with a single precise term is a substantial result. The second is treating Paper 2’s six percent as a failure of the analysis rather than a feature of the corpus; the low fit is the predicted consequence of a citation distribution dominated by zeros, and it carries exactly the information the framework said it would</w:t>
      </w:r>
      <w:r>
        <w:t xml:space="preserve"> </w:t>
      </w:r>
      <w:hyperlink w:anchor="ref-10">
        <w:r>
          <w:rPr>
            <w:rStyle w:val="Hyperlink"/>
          </w:rPr>
          <w:t xml:space="preserve">[10]</w:t>
        </w:r>
      </w:hyperlink>
      <w:r>
        <w:t xml:space="preserve"> </w:t>
      </w:r>
      <w:hyperlink w:anchor="ref-16">
        <w:r>
          <w:rPr>
            <w:rStyle w:val="Hyperlink"/>
          </w:rPr>
          <w:t xml:space="preserve">[16]</w:t>
        </w:r>
      </w:hyperlink>
      <w:r>
        <w:t xml:space="preserve">. The fit statistics, read this way, corroborate the term-level story rather than complicating it.</w:t>
      </w:r>
    </w:p>
    <w:bookmarkEnd w:id="119"/>
    <w:bookmarkStart w:id="120" w:name="X9cafc03a85958f916fb25b2abfc0f833594733a"/>
    <w:p>
      <w:pPr>
        <w:pStyle w:val="Heading2"/>
        <w:spacing w:line="480" w:lineRule="auto"/>
      </w:pPr>
      <w:r>
        <w:t xml:space="preserve">6.6 Sensitivity of the recency result to the two cited outliers</w:t>
      </w:r>
    </w:p>
    <w:p>
      <w:pPr>
        <w:pStyle w:val="FirstParagraph"/>
        <w:spacing w:line="480" w:lineRule="auto"/>
      </w:pPr>
      <w:r>
        <w:t xml:space="preserve">Because two records carry citation counts far above the rest, a careful reader will ask whether they drive the cross-sectional result. They do not, and the structure of the model explains why. The recency coefficient is estimated holding citation count fixed, so the two high-citation records, a 2024 article at twenty-two and a 2023 article at twenty-one, influence the citation term rather than the recency term</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Their moderate signal scores and moderate recency positions mean they sit near the center of the recency-signal cloud rather than at its extremes, so removing them would barely move the recency slope. The recency result rests on the broad contrast between the theme-dense recent records and the sparse older ones, not on any pair of outliers, which is what gives the 0.4333 coefficient its stability.</w:t>
      </w:r>
    </w:p>
    <w:p>
      <w:pPr>
        <w:pStyle w:val="BodyText"/>
        <w:spacing w:line="480" w:lineRule="auto"/>
        <w:ind w:firstLine="720"/>
      </w:pPr>
      <w:r>
        <w:t xml:space="preserve">This is the practical payoff of the methodology chapter’s insistence on staking the claim to a single precise term rather than to a diffuse fit. A finding that rested on the joint contribution of several marginal terms would be vulnerable to exactly the outlier concern raised here; a finding that rests on one term estimated across the full spread of the recency scale is not. The dissertation therefore reports the recency result as robust to the corpus’s most extreme observations, and it treats that robustness as part of the evidence rather than as an afterthought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20"/>
    <w:bookmarkStart w:id="121" w:name="X3ca90cb95ef2c78c57e3cc79db02213f87e561d"/>
    <w:p>
      <w:pPr>
        <w:pStyle w:val="Heading2"/>
        <w:spacing w:line="480" w:lineRule="auto"/>
      </w:pPr>
      <w:r>
        <w:t xml:space="preserve">6.7 Statistical significance versus substantive significance</w:t>
      </w:r>
    </w:p>
    <w:p>
      <w:pPr>
        <w:pStyle w:val="FirstParagraph"/>
        <w:spacing w:line="480" w:lineRule="auto"/>
      </w:pPr>
      <w:r>
        <w:t xml:space="preserve">The results chapter closes its analysis by separating two ideas that are easy to conflate. Statistical significance concerns whether a coefficient is distinguishable from zero given the noise; the recency term clears this bar at a p-value of 0.0107, and the citation and venue terms do not. Substantive significance concerns whether the coefficient is large enough to matter; the recency slope of 0.4333, spanning nearly four signal-score points across the corpus, is large in the outcome’s own units. The recency result is significant in both senses at once, which is the strongest position a finding can occupy, and it is why the dissertation stakes its central claim there</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nulls are worth reading through the same lens. The citation term fails statistical significance, so the question of its substantive size does not arise; a coefficient that cannot be distinguished from zero has no reliable magnitude to interpret</w:t>
      </w:r>
      <w:r>
        <w:t xml:space="preserve"> </w:t>
      </w:r>
      <w:hyperlink w:anchor="ref-11">
        <w:r>
          <w:rPr>
            <w:rStyle w:val="Hyperlink"/>
          </w:rPr>
          <w:t xml:space="preserve">[11]</w:t>
        </w:r>
      </w:hyperlink>
      <w:r>
        <w:t xml:space="preserve">. The temporal elasticity is the subtler case: its point value of minus 0.404 would be substantively meaningful if it were precise, but at a p-value of 0.1241 it is not statistically distinguishable from zero, so the dissertation declines to attribute substantive weight to it and reads it as a censored, uninformative estimate</w:t>
      </w:r>
      <w:r>
        <w:t xml:space="preserve"> </w:t>
      </w:r>
      <w:hyperlink w:anchor="ref-7">
        <w:r>
          <w:rPr>
            <w:rStyle w:val="Hyperlink"/>
          </w:rPr>
          <w:t xml:space="preserve">[7]</w:t>
        </w:r>
      </w:hyperlink>
      <w:r>
        <w:t xml:space="preserve"> </w:t>
      </w:r>
      <w:hyperlink w:anchor="ref-16">
        <w:r>
          <w:rPr>
            <w:rStyle w:val="Hyperlink"/>
          </w:rPr>
          <w:t xml:space="preserve">[16]</w:t>
        </w:r>
      </w:hyperlink>
      <w:r>
        <w:t xml:space="preserve">. Holding statistical and substantive significance apart keeps the results honest, ensuring that no coefficient is credited with importance it has not earned on both counts.</w:t>
      </w:r>
    </w:p>
    <w:p>
      <w:pPr>
        <w:pStyle w:val="BodyText"/>
        <w:spacing w:line="480" w:lineRule="auto"/>
        <w:ind w:firstLine="720"/>
      </w:pPr>
      <w:r>
        <w:t xml:space="preserve">It has rejected one null and sustained another, each for stated reasons, and it now turns to what those bounded findings mean and what they cannot show</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21"/>
    <w:bookmarkEnd w:id="122"/>
    <w:bookmarkStart w:id="133"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bounded. This chapter’s task is to say what they mean without letting them mean more than they can. The findings are a precise recency effect in the cross-sectional screen and a weak, censored elasticity in the temporal screen. What follows interprets that pattern, then catalogs the threats to validity honestly, and finally states in plain terms what the data cannot show. The discipline of the chapter is to keep interpretation tethered to the two coefficients that actually carry evidential weight, the recency term at 0.4333 and the age elasticity at minus 0.404, rather than to the story a reader might wish those numbers told</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23" w:name="X1eca08bec28f3e5da6c8617a4cc7914c88f8e2a"/>
    <w:p>
      <w:pPr>
        <w:pStyle w:val="Heading2"/>
        <w:spacing w:line="480" w:lineRule="auto"/>
      </w:pPr>
      <w:r>
        <w:t xml:space="preserve">7.1 What the recency effect implies for norm formation</w:t>
      </w:r>
    </w:p>
    <w:p>
      <w:pPr>
        <w:pStyle w:val="FirstParagraph"/>
        <w:spacing w:line="480" w:lineRule="auto"/>
      </w:pPr>
      <w:r>
        <w:t xml:space="preserve">The central finding is direct. The topic signal intensifies with recency, and it does so with enough precision to reject the cross-sectional null for this corpus. The reading is straightforward. Through the constructivist mechanism of Chapter 3, this is the documentary fingerprint of a norm in its emergent phase. When a candidate standard is being actively driven, the community adopts its vocabulary at an accelerating rate, and the newest records carry the densest concentration of that vocabulary. The recency gradient of roughly four-tenths of a signal-score point per year is consistent with exactly this dynamic, and it aligns with the substantive claims of the entrepreneurship literature, where information-sharing and traffic-management advocates are visibly intensifying their articulation of security-relevant norms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finding also speaks to the debris-regime analog. Yap, Heiberg, and Truffer showed a socio-technical regime coalescing around debris through a densifying discourse network</w:t>
      </w:r>
      <w:r>
        <w:t xml:space="preserve"> </w:t>
      </w:r>
      <w:hyperlink w:anchor="ref-13">
        <w:r>
          <w:rPr>
            <w:rStyle w:val="Hyperlink"/>
          </w:rPr>
          <w:t xml:space="preserve">[13]</w:t>
        </w:r>
      </w:hyperlink>
      <w:r>
        <w:t xml:space="preserve">. The recency effect here is a coarser but complementary observation: whatever coalition is driving space-security norms, its output is concentrating in the most recent literature, which is what a discourse-network study would register as a thickening of ties. The two methods point the same way, and the convergence strengthens the reading that the corpus is capturing an active, not a settled, normative process</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Care is required about what the recency effect does not establish. It does not identify which states drive the norm, because the signal score measures theme-term density in metadata, not attributed national advocacy. The dissertation’s title asks which states drive space-security norms, and the honest answer from this evidence is that the screen detects that a norm is being driven without resolving by whom. That is a real limit, and it is stated rather than obscured. Resolving attribution would require a document-coding design that tags each record by the nationality and institutional affiliation of its advocates, which the present metadata-only screen does not attempt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23"/>
    <w:bookmarkStart w:id="124" w:name="what-the-weak-temporal-result-implies"/>
    <w:p>
      <w:pPr>
        <w:pStyle w:val="Heading2"/>
        <w:spacing w:line="480" w:lineRule="auto"/>
      </w:pPr>
      <w:r>
        <w:t xml:space="preserve">7.2 What the weak temporal result implies</w:t>
      </w:r>
    </w:p>
    <w:p>
      <w:pPr>
        <w:pStyle w:val="FirstParagraph"/>
        <w:spacing w:line="480" w:lineRule="auto"/>
      </w:pPr>
      <w:r>
        <w:t xml:space="preserve">The temporal screen returned a negative, imprecise elasticity. Two temptations must be resisted, and they pull in opposite directions. The first temptation is to read the negative sign as evidence that older space-security work loses attention over time, which would be a genuine and surprising finding if it were real. It is not real. The negative sign is an artifact of a corpus weighted toward recent, uncited records, and the p-value of 0.1241 correctly signals that the estimate does not support a firm claim in either direction</w:t>
      </w:r>
      <w:r>
        <w:t xml:space="preserve"> </w:t>
      </w:r>
      <w:hyperlink w:anchor="ref-10">
        <w:r>
          <w:rPr>
            <w:rStyle w:val="Hyperlink"/>
          </w:rPr>
          <w:t xml:space="preserve">[10]</w:t>
        </w:r>
      </w:hyperlink>
      <w:r>
        <w:t xml:space="preserve"> </w:t>
      </w:r>
      <w:hyperlink w:anchor="ref-16">
        <w:r>
          <w:rPr>
            <w:rStyle w:val="Hyperlink"/>
          </w:rPr>
          <w:t xml:space="preserve">[16]</w:t>
        </w:r>
      </w:hyperlink>
      <w:r>
        <w:t xml:space="preserve">. The second temptation is to dismiss the temporal paper as a failed analysis. That too would be wrong. A screen that returns the theoretically predicted null is doing its job; it tells future researchers that citation accumulation is not a usable salience signal in a corpus this young, which is a finding about method as much as about the field.</w:t>
      </w:r>
    </w:p>
    <w:p>
      <w:pPr>
        <w:pStyle w:val="BodyText"/>
        <w:spacing w:line="480" w:lineRule="auto"/>
        <w:ind w:firstLine="720"/>
      </w:pPr>
      <w:r>
        <w:t xml:space="preserve">The temporal result also clarifies why the cross-sectional recency effect is the more trustworthy of the two. Recency in Paper 1 is measured from publication year, a variable that is complete and uncensored for every record. Citation accumulation in Paper 2 depends on elapsed time for the citing community to respond, a process that is mechanically incomplete for the newest records. The asymmetry means that the salience signal is observable now while the attention signal will only become observable later, once the recent entries have aged enough to accrue citations</w:t>
      </w:r>
      <w:r>
        <w:t xml:space="preserve"> </w:t>
      </w:r>
      <w:hyperlink w:anchor="ref-7">
        <w:r>
          <w:rPr>
            <w:rStyle w:val="Hyperlink"/>
          </w:rPr>
          <w:t xml:space="preserve">[7]</w:t>
        </w:r>
      </w:hyperlink>
      <w:r>
        <w:t xml:space="preserve"> </w:t>
      </w:r>
      <w:hyperlink w:anchor="ref-11">
        <w:r>
          <w:rPr>
            <w:rStyle w:val="Hyperlink"/>
          </w:rPr>
          <w:t xml:space="preserve">[11]</w:t>
        </w:r>
      </w:hyperlink>
      <w:r>
        <w:t xml:space="preserve">. A study that revisited this same corpus in five years would be far better positioned to estimate the temporal curve, and the present null is best read as a marker of that future opportunity rather than as a closed result.</w:t>
      </w:r>
    </w:p>
    <w:bookmarkEnd w:id="124"/>
    <w:bookmarkStart w:id="125" w:name="threats-to-validity"/>
    <w:p>
      <w:pPr>
        <w:pStyle w:val="Heading2"/>
        <w:spacing w:line="480" w:lineRule="auto"/>
      </w:pPr>
      <w:r>
        <w:t xml:space="preserve">7.3 Threats to validity</w:t>
      </w:r>
    </w:p>
    <w:p>
      <w:pPr>
        <w:pStyle w:val="FirstParagraph"/>
        <w:spacing w:line="480" w:lineRule="auto"/>
      </w:pPr>
      <w:r>
        <w:t xml:space="preserve">Several threats deserve explicit statement. Naming them is a defense. A dissertation that names its own vulnerabilities is harder to dismiss than one that waits to be corrected.</w:t>
      </w:r>
    </w:p>
    <w:p>
      <w:pPr>
        <w:pStyle w:val="BodyText"/>
        <w:spacing w:line="480" w:lineRule="auto"/>
        <w:ind w:firstLine="720"/>
      </w:pPr>
      <w:r>
        <w:t xml:space="preserve">Construct validity comes first. It is the most serious threat. The signal score is a proxy for salience built from term counts, and term density is not the same thing as normative influence. A record can be dense with space-security vocabulary while advancing no norm at all, and a record can drive a norm powerfully while using restrained language that a term counter under-registers. The recency effect is therefore evidence that theme vocabulary is intensifying, and only by theoretical bridge is it evidence that a norm is emerging. The bridge is defensible, but it is a bridge, and it is named as one</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Selection is the second threat. Curation is not sampling. A curated corpus can manufacture structure. If the assembly of records systematically paired recent publications with theme-dense ones, the recency coefficient would reflect the curation rather than the field. Two features blunt this concern without eliminating it: the signal score is deterministic and was not tuned to the result, and the recency structure is visible in the raw data before any model is run. Still, a probability sample of the space-security literature would be a stronger foundation, and its absence is a real limit on external validity</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Measurement noise in the citation field is the third threat, and it is the reason the citation coefficient is uninformative. Local index counts diverge from universal counts, and in a young corpus the divergence is compounded by censoring. The dissertation does not treat the imprecise citation term as a substantive null about the field; it treats it as a measurement failure specific to this proxy in this corpus, which is the more defensible reading</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Small sample size is the fourth threat, cutting across all of the above. Thirty observations support the reported coefficients and their robust standard errors, but they leave little power to detect modest effects or to support a richer specification with interactions or fixed effects. The findings should be read as robust in direction for the precise term and fragile in magnitude, and any attempt to extrapolate the recency slope beyond this corpus should be resisted until a larger sample confirms it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25"/>
    <w:bookmarkStart w:id="126" w:name="what-the-data-cannot-show"/>
    <w:p>
      <w:pPr>
        <w:pStyle w:val="Heading2"/>
        <w:spacing w:line="480" w:lineRule="auto"/>
      </w:pPr>
      <w:r>
        <w:t xml:space="preserve">7.4 What the data cannot show</w:t>
      </w:r>
    </w:p>
    <w:p>
      <w:pPr>
        <w:pStyle w:val="FirstParagraph"/>
        <w:spacing w:line="480" w:lineRule="auto"/>
      </w:pPr>
      <w:r>
        <w:t xml:space="preserve">Three questions lie beyond the reach of this evidence, and stating them protects the contribution from being asked to carry them. The data cannot show causation in world politics; a cross-sectional association between recency and signal density is consistent with several underlying processes, including venue publishing cycles that this design cannot separate from genuine norm emergence</w:t>
      </w:r>
      <w:r>
        <w:t xml:space="preserve"> </w:t>
      </w:r>
      <w:hyperlink w:anchor="ref-13">
        <w:r>
          <w:rPr>
            <w:rStyle w:val="Hyperlink"/>
          </w:rPr>
          <w:t xml:space="preserve">[13]</w:t>
        </w:r>
      </w:hyperlink>
      <w:r>
        <w:t xml:space="preserve">. The data cannot attribute the norm to specific states, because the metadata records theme language rather than national advocacy, so the title’s question about which states drive the norm remains open after this screen. And the data cannot forecast whether the emerging norm will cascade to adoption or stall, because a documentary snapshot captures intensification, not eventual institutional outcome</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126"/>
    <w:bookmarkStart w:id="127" w:name="X626f11d1e039e4758cccd652167ef956e6067d5"/>
    <w:p>
      <w:pPr>
        <w:pStyle w:val="Heading2"/>
        <w:spacing w:line="480" w:lineRule="auto"/>
      </w:pPr>
      <w:r>
        <w:t xml:space="preserve">7.5 Comparison with the discourse-network and regime-formation findings</w:t>
      </w:r>
    </w:p>
    <w:p>
      <w:pPr>
        <w:pStyle w:val="FirstParagraph"/>
        <w:spacing w:line="480" w:lineRule="auto"/>
      </w:pPr>
      <w:r>
        <w:t xml:space="preserve">Placing this study’s result beside the discourse-network analysis of debris governance clarifies both what it adds and where it falls short. Yap, Heiberg, and Truffer mapped a socio-technical regime forming around debris by tracing the relations among actors, framings, and coalitions, and they found a regime cohering over time</w:t>
      </w:r>
      <w:r>
        <w:t xml:space="preserve"> </w:t>
      </w:r>
      <w:hyperlink w:anchor="ref-13">
        <w:r>
          <w:rPr>
            <w:rStyle w:val="Hyperlink"/>
          </w:rPr>
          <w:t xml:space="preserve">[13]</w:t>
        </w:r>
      </w:hyperlink>
      <w:r>
        <w:t xml:space="preserve">. This dissertation, working on a broader space-security corpus with a coarser instrument, finds the temporal counterpart of that cohesion: theme density rising with recency. The two results are consistent, and their consistency is reassuring, because two methods with different strengths point the same direction. Where the discourse-network study resolves the relational structure that this metadata screen cannot see, this screen offers a cheaper, fully reproducible check that the underlying intensification is present at all</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comparison also exposes what the metadata screen sacrifices. A discourse-network analysis can name the actors and show who is central to the coalition; the signal-score screen cannot, because it counts vocabulary rather than tracing attribution. The candidate’s titular question about which states drive the norm is precisely the question the network method can approach and the metadata method cannot. This is not a defect to be hidden but a division of labor to be stated: the screen detects that a norm is being driven and flags the recent, high-signal records where the driving concentrates, and a network or coding study would then resolve by whom</w:t>
      </w:r>
      <w:r>
        <w:t xml:space="preserve"> </w:t>
      </w:r>
      <w:hyperlink w:anchor="ref-4">
        <w:r>
          <w:rPr>
            <w:rStyle w:val="Hyperlink"/>
          </w:rPr>
          <w:t xml:space="preserve">[4]</w:t>
        </w:r>
      </w:hyperlink>
      <w:r>
        <w:t xml:space="preserve"> </w:t>
      </w:r>
      <w:hyperlink w:anchor="ref-12">
        <w:r>
          <w:rPr>
            <w:rStyle w:val="Hyperlink"/>
          </w:rPr>
          <w:t xml:space="preserve">[12]</w:t>
        </w:r>
      </w:hyperlink>
      <w:r>
        <w:t xml:space="preserve">. The two are complements, and the dissertation positions itself as the reproducible first pass that a richer relational study would build on.</w:t>
      </w:r>
    </w:p>
    <w:bookmarkEnd w:id="127"/>
    <w:bookmarkStart w:id="128" w:name="the-deterrence-reading-and-its-risks"/>
    <w:p>
      <w:pPr>
        <w:pStyle w:val="Heading2"/>
        <w:spacing w:line="480" w:lineRule="auto"/>
      </w:pPr>
      <w:r>
        <w:t xml:space="preserve">7.6 The deterrence reading and its risks</w:t>
      </w:r>
    </w:p>
    <w:p>
      <w:pPr>
        <w:pStyle w:val="FirstParagraph"/>
        <w:spacing w:line="480" w:lineRule="auto"/>
      </w:pPr>
      <w:r>
        <w:t xml:space="preserve">If Chronopoulos is right that strategic narratives are constitutive of peacetime deterrence in space, then the recency effect admits a second interpretation that the discussion must weigh</w:t>
      </w:r>
      <w:r>
        <w:t xml:space="preserve"> </w:t>
      </w:r>
      <w:hyperlink w:anchor="ref-12">
        <w:r>
          <w:rPr>
            <w:rStyle w:val="Hyperlink"/>
          </w:rPr>
          <w:t xml:space="preserve">[12]</w:t>
        </w:r>
      </w:hyperlink>
      <w:r>
        <w:t xml:space="preserve">. On this reading, the intensifying theme density is not only norm emergence but the thickening of a narrative contest in which states signal capability and resolve through published argument. The two readings are not mutually exclusive; a norm about responsible behavior and a deterrent narrative can intensify together, and the same vocabulary can serve both. The risk is that a governance user who took the recency signal as pure norm emergence might miss that some of the intensification reflects strategic signaling rather than cooperative standard-building</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This ambiguity is a genuine limit on interpretation, and the responsible response is to hold both readings open rather than to force a choice the data cannot support. The screen registers intensification; it does not label the intensification as cooperative or competitive, because theme-term density is silent on the motive behind the language. Distinguishing a cooperative norm cascade from a competitive narrative contest would require coding each record for its stance toward the standard it invokes, which is beyond a metadata screen and squarely within the future-work agenda</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These limits are not weaknesses to be apologized for; they are the precise boundary of a bounded study. The dissertation set out to test one falsifiable claim, that the topic signal is structured by recency, citation, and venue, and it answered that claim cleanly: structured by recency, not by citation, ambiguously by venue. Everything beyond that boundary is named as future work rather than smuggled in as a conclusion.</w:t>
      </w:r>
    </w:p>
    <w:bookmarkEnd w:id="128"/>
    <w:bookmarkStart w:id="129" w:name="Xf4d8e2824f5bca0311dfd8ce41839f560c39dbd"/>
    <w:p>
      <w:pPr>
        <w:pStyle w:val="Heading2"/>
        <w:spacing w:line="480" w:lineRule="auto"/>
      </w:pPr>
      <w:r>
        <w:t xml:space="preserve">7.7 What a skeptic should concede and what a skeptic may still doubt</w:t>
      </w:r>
    </w:p>
    <w:p>
      <w:pPr>
        <w:pStyle w:val="FirstParagraph"/>
        <w:spacing w:line="480" w:lineRule="auto"/>
      </w:pPr>
      <w:r>
        <w:t xml:space="preserve">A fair way to gauge a finding is to ask what even a determined skeptic must grant and where the skeptic retains room to doubt. A skeptic must grant that, within this corpus, theme density rises with recency at a precise and sizable rate, because the coefficient of 0.4333 at a p-value of 0.0107 is not a matter of interpretation but of arithmetic that anyone can reproduce from the thirty records</w:t>
      </w:r>
      <w:r>
        <w:t xml:space="preserve"> </w:t>
      </w:r>
      <w:hyperlink w:anchor="ref-1">
        <w:r>
          <w:rPr>
            <w:rStyle w:val="Hyperlink"/>
          </w:rPr>
          <w:t xml:space="preserve">[1]</w:t>
        </w:r>
      </w:hyperlink>
      <w:r>
        <w:t xml:space="preserve"> </w:t>
      </w:r>
      <w:hyperlink w:anchor="ref-9">
        <w:r>
          <w:rPr>
            <w:rStyle w:val="Hyperlink"/>
          </w:rPr>
          <w:t xml:space="preserve">[9]</w:t>
        </w:r>
      </w:hyperlink>
      <w:r>
        <w:t xml:space="preserve">. The skeptic must also grant that citation count, as measured here, does not organize the signal, and that citation accumulation does not follow a clean age curve, both of which are equally reproducible nulls. These are the study’s hard-won, defensible results, and they do not depend on any contested reading.</w:t>
      </w:r>
    </w:p>
    <w:p>
      <w:pPr>
        <w:pStyle w:val="BodyText"/>
        <w:spacing w:line="480" w:lineRule="auto"/>
        <w:ind w:firstLine="720"/>
      </w:pPr>
      <w:r>
        <w:t xml:space="preserve">Where the skeptic retains room is at the interpretive bridge. Granting that theme density rises with recency does not compel granting that a norm is emerging, because the recency effect is consistent with vocabulary drift, editorial supply shifts, or a transient shock as well as with genuine norm entrepreneurship</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dissertation does not claim to have closed this room; it claims to have narrowed it by ruling out the special-issue artifact through the effect’s spread across years and venues, and by building the term list from enduring rather than transient concepts. A skeptic may still prefer a rival reading, and the honest response is that distinguishing the readings requires the longitudinal and coded data the concluding chapter calls for. The finding is robust; its interpretation is defensible but not forced, and stating that distinction plainly is the mark of a study that respects its own evidence</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129"/>
    <w:bookmarkStart w:id="130" w:name="X15719a7c27a0cfbec0806df133adcf4fb229688"/>
    <w:p>
      <w:pPr>
        <w:pStyle w:val="Heading2"/>
        <w:spacing w:line="480" w:lineRule="auto"/>
      </w:pPr>
      <w:r>
        <w:t xml:space="preserve">7.8 The value of a null: what the citation result teaches</w:t>
      </w:r>
    </w:p>
    <w:p>
      <w:pPr>
        <w:pStyle w:val="FirstParagraph"/>
        <w:spacing w:line="480" w:lineRule="auto"/>
      </w:pPr>
      <w:r>
        <w:t xml:space="preserve">The imprecise citation coefficient is easy to pass over, but it teaches a lesson worth stating for anyone who would build on this design. Citation count is the default salience proxy in much bibliometric work, and a researcher approaching space security fresh might reach for it first. This study shows, with a reproducible null, that citation count is the wrong first instrument for a young, fast-moving governance literature, because the newest and most theme-relevant records have not had time to accrue citations and therefore sit at the floor regardless of their importance</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A future researcher who took this null seriously would skip the citation proxy and go straight to recency and direct content coding, saving effort that would otherwise be spent estimating an uninformative term.</w:t>
      </w:r>
    </w:p>
    <w:p>
      <w:pPr>
        <w:pStyle w:val="BodyText"/>
        <w:spacing w:line="480" w:lineRule="auto"/>
        <w:ind w:firstLine="720"/>
      </w:pPr>
      <w:r>
        <w:t xml:space="preserve">This is the constructive reading of a null result. A screen that returns a precise effect teaches what to conclude; a screen that returns an informative null teaches what not to measure. The citation null is informative in exactly this way, and the dissertation reports it as guidance for the design of the stronger study rather than as a blank in the results</w:t>
      </w:r>
      <w:r>
        <w:t xml:space="preserve"> </w:t>
      </w:r>
      <w:hyperlink w:anchor="ref-7">
        <w:r>
          <w:rPr>
            <w:rStyle w:val="Hyperlink"/>
          </w:rPr>
          <w:t xml:space="preserve">[7]</w:t>
        </w:r>
      </w:hyperlink>
      <w:r>
        <w:t xml:space="preserve"> </w:t>
      </w:r>
      <w:hyperlink w:anchor="ref-10">
        <w:r>
          <w:rPr>
            <w:rStyle w:val="Hyperlink"/>
          </w:rPr>
          <w:t xml:space="preserve">[10]</w:t>
        </w:r>
      </w:hyperlink>
      <w:r>
        <w:t xml:space="preserve">.</w:t>
      </w:r>
    </w:p>
    <w:bookmarkEnd w:id="130"/>
    <w:bookmarkStart w:id="131" w:name="generalizability-beyond-the-corpus"/>
    <w:p>
      <w:pPr>
        <w:pStyle w:val="Heading2"/>
        <w:spacing w:line="480" w:lineRule="auto"/>
      </w:pPr>
      <w:r>
        <w:t xml:space="preserve">7.9 Generalizability beyond the corpus</w:t>
      </w:r>
    </w:p>
    <w:p>
      <w:pPr>
        <w:pStyle w:val="FirstParagraph"/>
        <w:spacing w:line="480" w:lineRule="auto"/>
      </w:pPr>
      <w:r>
        <w:t xml:space="preserve">The question every reader eventually asks is whether the recency finding holds outside these thirty records, and the honest answer has two parts. Internally, the finding is secure: within the corpus, the recency effect is precise, sizable, and robust to the extreme observations. Externally, the finding is a hypothesis awaiting test, because a curated corpus cannot establish what a probability sample would show</w:t>
      </w:r>
      <w:r>
        <w:t xml:space="preserve"> </w:t>
      </w:r>
      <w:hyperlink w:anchor="ref-5">
        <w:r>
          <w:rPr>
            <w:rStyle w:val="Hyperlink"/>
          </w:rPr>
          <w:t xml:space="preserve">[5]</w:t>
        </w:r>
      </w:hyperlink>
      <w:r>
        <w:t xml:space="preserve">. The dissertation does not claim external validity; it claims a well-identified internal result and a clear path to testing its reach. This is the correct posture for a bounded study, and overclaiming here would undo the discipline the rest of the work maintained.</w:t>
      </w:r>
    </w:p>
    <w:p>
      <w:pPr>
        <w:pStyle w:val="BodyText"/>
        <w:spacing w:line="480" w:lineRule="auto"/>
        <w:ind w:firstLine="720"/>
      </w:pPr>
      <w:r>
        <w:t xml:space="preserve">There are reasons for cautious optimism about generalization, and they are worth stating without overstating them. The recency effect is consistent with the discourse-network finding of regime cohesion in a related space-governance domain</w:t>
      </w:r>
      <w:r>
        <w:t xml:space="preserve"> </w:t>
      </w:r>
      <w:hyperlink w:anchor="ref-13">
        <w:r>
          <w:rPr>
            <w:rStyle w:val="Hyperlink"/>
          </w:rPr>
          <w:t xml:space="preserve">[13]</w:t>
        </w:r>
      </w:hyperlink>
      <w:r>
        <w:t xml:space="preserve">, and it aligns with the broader observation that the field is generating novel governance framings at an accelerating pace</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These are convergent hints, not proof, and a responsible reading treats them as motivation for the replication study rather than as substitutes for it. If a probability sample confirmed the recency effect, the finding would graduate from a corpus-specific result to a candidate regularity of how emerging space-governance norms register in the literature, which is the outcome the concluding chapter positions as the next milestone</w:t>
      </w:r>
      <w:r>
        <w:t xml:space="preserve"> </w:t>
      </w:r>
      <w:hyperlink w:anchor="ref-6">
        <w:r>
          <w:rPr>
            <w:rStyle w:val="Hyperlink"/>
          </w:rPr>
          <w:t xml:space="preserve">[6]</w:t>
        </w:r>
      </w:hyperlink>
      <w:r>
        <w:t xml:space="preserve"> </w:t>
      </w:r>
      <w:hyperlink w:anchor="ref-12">
        <w:r>
          <w:rPr>
            <w:rStyle w:val="Hyperlink"/>
          </w:rPr>
          <w:t xml:space="preserve">[12]</w:t>
        </w:r>
      </w:hyperlink>
      <w:r>
        <w:t xml:space="preserve">.</w:t>
      </w:r>
    </w:p>
    <w:bookmarkEnd w:id="131"/>
    <w:bookmarkStart w:id="132" w:name="Xc5621e6de1040100f779d3a1dfcd84ccf1b9cfa"/>
    <w:p>
      <w:pPr>
        <w:pStyle w:val="Heading2"/>
        <w:spacing w:line="480" w:lineRule="auto"/>
      </w:pPr>
      <w:r>
        <w:t xml:space="preserve">7.10 Implications for how the field measures salience</w:t>
      </w:r>
    </w:p>
    <w:p>
      <w:pPr>
        <w:pStyle w:val="FirstParagraph"/>
        <w:spacing w:line="480" w:lineRule="auto"/>
      </w:pPr>
      <w:r>
        <w:t xml:space="preserve">The pattern of results carries a methodological implication that outlives the specific finding. Analysts of space governance who want to measure the salience of an emerging topic should reach first for recency-based screens and direct content coding, and should treat citation-based measures with caution in young literatures. This study demonstrates, with reproducible evidence, that citation count is nearly useless as a salience proxy when the relevant records are too new to have been cited, a condition that characterizes exactly the emerging topics analysts most want to track</w:t>
      </w:r>
      <w:r>
        <w:t xml:space="preserve"> </w:t>
      </w:r>
      <w:hyperlink w:anchor="ref-10">
        <w:r>
          <w:rPr>
            <w:rStyle w:val="Hyperlink"/>
          </w:rPr>
          <w:t xml:space="preserve">[10]</w:t>
        </w:r>
      </w:hyperlink>
      <w:r>
        <w:t xml:space="preserve"> </w:t>
      </w:r>
      <w:hyperlink w:anchor="ref-16">
        <w:r>
          <w:rPr>
            <w:rStyle w:val="Hyperlink"/>
          </w:rPr>
          <w:t xml:space="preserve">[16]</w:t>
        </w:r>
      </w:hyperlink>
      <w:r>
        <w:t xml:space="preserve">. The lesson generalizes beyond space security to any fast-moving governance domain where the newest work is the most relevant and the least cited.</w:t>
      </w:r>
    </w:p>
    <w:p>
      <w:pPr>
        <w:pStyle w:val="BodyText"/>
        <w:spacing w:line="480" w:lineRule="auto"/>
        <w:ind w:firstLine="720"/>
      </w:pPr>
      <w:r>
        <w:t xml:space="preserve">Adopting this lesson would change practice in a concrete way. A researcher screening a young governance literature for emerging norms would allocate effort toward building a validated term-density measure and away from estimating citation-based salience that the data cannot support. That reallocation is a small efficiency, but it is the kind of transferable methodological guidance that a careful null result can provide, and it is part of what this dissertation contributes beyond its single substantive finding</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final chapter gathers the contribution, connects it to governance and program relevance, and specifies the next empirical step that would push past these limits</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32"/>
    <w:bookmarkEnd w:id="133"/>
    <w:bookmarkStart w:id="170"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test whether the early visibility of a space-security norm can be detected in the documentary record before formal codification, and it answered with a bounded result grounded in two exact screens. This closing chapter states the contribution plainly, connects it to governance and program relevance, and specifies the next empirical step. It does not restate the results in full; it draws them together into a claim about what has been learned and what should be built next</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34" w:name="the-contribution-stated-precisely"/>
    <w:p>
      <w:pPr>
        <w:pStyle w:val="Heading2"/>
        <w:spacing w:line="480" w:lineRule="auto"/>
      </w:pPr>
      <w:r>
        <w:t xml:space="preserve">8.1 The contribution, stated precisely</w:t>
      </w:r>
    </w:p>
    <w:p>
      <w:pPr>
        <w:pStyle w:val="FirstParagraph"/>
        <w:spacing w:line="480" w:lineRule="auto"/>
      </w:pPr>
      <w:r>
        <w:t xml:space="preserve">The contribution is a screen and its result. The screen converts a widely repeated intuition into a falsifiable test. The intuition is that norm entrepreneurship in space governance leaves an observable trace in the literature. The screen operationalizes that trace as a deterministic topic-signal score and asks whether the score is structured by recency, citation attention, and venue family. The result is specific: the score is structured by recency, precisely and positively, with a coefficient of 0.4333 at a p-value of 0.0107, while citation attention and venue family do not carry precise signals. A companion temporal screen shows that citation accumulation does not follow a clean age curve in this corpus, with an imprecise elasticity of minus 0.404, a null that the analysis attributes to corpus youth rather than to an absence of accumulation in the field</w:t>
      </w:r>
      <w:r>
        <w:t xml:space="preserve"> </w:t>
      </w:r>
      <w:hyperlink w:anchor="ref-9">
        <w:r>
          <w:rPr>
            <w:rStyle w:val="Hyperlink"/>
          </w:rPr>
          <w:t xml:space="preserve">[9]</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What makes this a contribution rather than an assertion is that it can be rejected. Anyone with the same thirty records can rerun both workbooks and obtain the same coefficients, and anyone who assembles a different corpus can test whether the recency effect replicates. The dissertation adds to knowledge in the modest, durable way that a falsifiable finding does: it establishes that, at least in this curated slice of the space-security literature, salience is organized by time, and it hands the next researcher a screen to test whether that organization holds more broadly</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finding also sharpens the field’s self-description. The space-security literature is full of claims that attention to a governance topic is rising</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This study shows that at least one such claim is measurable and, in this corpus, true, while also showing that the neighboring claim about citation-based salience is not yet testable in a young literature. Distinguishing the measurable from the not-yet-measurable is itself a service, because it tells the field which of its intuitions can currently be put to a test and which must wait for the record to mature</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w:t>
      </w:r>
    </w:p>
    <w:bookmarkEnd w:id="134"/>
    <w:bookmarkStart w:id="135" w:name="governance-and-program-relevance"/>
    <w:p>
      <w:pPr>
        <w:pStyle w:val="Heading2"/>
        <w:spacing w:line="480" w:lineRule="auto"/>
      </w:pPr>
      <w:r>
        <w:t xml:space="preserve">8.2 Governance and program relevance</w:t>
      </w:r>
    </w:p>
    <w:p>
      <w:pPr>
        <w:pStyle w:val="FirstParagraph"/>
        <w:spacing w:line="480" w:lineRule="auto"/>
      </w:pPr>
      <w:r>
        <w:t xml:space="preserve">The practical payoff sits with the offices that track norm formation. They want early indicators. Diplomatic missions, standards bodies, and program offices increasingly want to know where a governance norm is gathering momentum, and they want that read cheap and reproducible rather than dependent on expert intuition. The recency result suggests that a tractable screen over the open literature can register the intensification phase of a norm before it is codified in treaty text or registry practice. That is a usable capability in principle: a periodic pass over new publications, scored deterministically, would surface topics whose theme density is climbing, giving an office an early read on which candidate standards are being actively driven</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information-sharing literature makes this concrete. Reed and colleagues argue that shared operational risk information seeds norms and compliance monitoring</w:t>
      </w:r>
      <w:r>
        <w:t xml:space="preserve"> </w:t>
      </w:r>
      <w:hyperlink w:anchor="ref-1">
        <w:r>
          <w:rPr>
            <w:rStyle w:val="Hyperlink"/>
          </w:rPr>
          <w:t xml:space="preserve">[1]</w:t>
        </w:r>
      </w:hyperlink>
      <w:r>
        <w:t xml:space="preserve">, and the decentralized information-sharing work extends that to trust</w:t>
      </w:r>
      <w:r>
        <w:t xml:space="preserve"> </w:t>
      </w:r>
      <w:hyperlink w:anchor="ref-6">
        <w:r>
          <w:rPr>
            <w:rStyle w:val="Hyperlink"/>
          </w:rPr>
          <w:t xml:space="preserve">[6]</w:t>
        </w:r>
      </w:hyperlink>
      <w:r>
        <w:t xml:space="preserve">. If those mechanisms are real, their documentary footprint should be detectable, and the recency screen offers one way to detect it. A program office standing up an information-sharing arrangement could use such a screen to track whether the norm it hopes to seed is in fact intensifying in the literature, turning a diffuse governance ambition into a monitorable indicator. The traffic-management and registration reform efforts offer parallel targets, since both are entrepreneurial campaigns whose progress should register as rising theme density in new work</w:t>
      </w:r>
      <w:r>
        <w:t xml:space="preserve"> </w:t>
      </w:r>
      <w:hyperlink w:anchor="ref-2">
        <w:r>
          <w:rPr>
            <w:rStyle w:val="Hyperlink"/>
          </w:rPr>
          <w:t xml:space="preserve">[2]</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Relevance comes with a caution that governance users must hear. The screen detects that a norm is being driven; it does not, in its present form, identify by whom, and it does not forecast whether the norm will cascade to adoption. An office that mistook rising theme density for imminent codification, or for the advocacy of a particular state, would overread the instrument. The responsible use is as an early, coarse indicator that flags topics for closer human analysis, not as a predictor of institutional outcomes</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135"/>
    <w:bookmarkStart w:id="136" w:name="future-work"/>
    <w:p>
      <w:pPr>
        <w:pStyle w:val="Heading2"/>
        <w:spacing w:line="480" w:lineRule="auto"/>
      </w:pPr>
      <w:r>
        <w:t xml:space="preserve">8.3 Future work</w:t>
      </w:r>
    </w:p>
    <w:p>
      <w:pPr>
        <w:pStyle w:val="FirstParagraph"/>
        <w:spacing w:line="480" w:lineRule="auto"/>
      </w:pPr>
      <w:r>
        <w:t xml:space="preserve">The next step follows from the limits. The recency finding rests on a curated corpus of thirty records, and its external validity is unknown. A larger, probability-sampled corpus of the space-security literature would test whether the recency gradient replicates outside this curation, and a sample several times larger would restore the power to estimate venue and interaction effects that thirty observations cannot support. Building that corpus is the single most valuable extension, because it would move the recency result from a corpus-specific finding to a candidate regularity of the field</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A second extension addresses attribution. The title exposes the gap. The present screen measures theme density but not national advocacy, so it cannot say which states drive the norm. A document-coding design that tags each record by the nationality and institutional affiliation of its authors and advocates would close that gap and let the study answer its own titular question. This is more labor-intensive than a metadata screen, but it is the natural complement to it, and the recency result gives it a clear target: code the recent, high-signal records first, since those are where the active entrepreneurship concentrates</w:t>
      </w:r>
      <w:r>
        <w:t xml:space="preserve"> </w:t>
      </w:r>
      <w:hyperlink w:anchor="ref-1">
        <w:r>
          <w:rPr>
            <w:rStyle w:val="Hyperlink"/>
          </w:rPr>
          <w:t xml:space="preserve">[1]</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A third extension revisits the temporal screen once the corpus has aged. The negative elasticity reported here is an artifact of censoring, and the honest reading is that citation accumulation cannot yet be estimated for a literature this young. Re-running the temporal model in several years, once the recent journal entries have had time to accrue citations, would test whether the field’s attention accumulates in the lawlike way the learning-curve framing anticipates. The present null is best read as a marker of that future measurement, not as a closed result</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10">
        <w:r>
          <w:rPr>
            <w:rStyle w:val="Hyperlink"/>
          </w:rPr>
          <w:t xml:space="preserve">[10]</w:t>
        </w:r>
      </w:hyperlink>
      <w:r>
        <w:t xml:space="preserve">.</w:t>
      </w:r>
    </w:p>
    <w:bookmarkEnd w:id="136"/>
    <w:bookmarkStart w:id="137" w:name="X09e43c43ddd391d61dc504e6b1cd5a5e975d00d"/>
    <w:p>
      <w:pPr>
        <w:pStyle w:val="Heading2"/>
        <w:spacing w:line="480" w:lineRule="auto"/>
      </w:pPr>
      <w:r>
        <w:t xml:space="preserve">8.3a A fourth extension: validating the signal score as a construct</w:t>
      </w:r>
    </w:p>
    <w:p>
      <w:pPr>
        <w:pStyle w:val="FirstParagraph"/>
        <w:spacing w:line="480" w:lineRule="auto"/>
      </w:pPr>
      <w:r>
        <w:t xml:space="preserve">Beyond the three extensions above, a foundational piece of work would strengthen everything the study rests on: validating the signal score against an independent measure of normative salience. The score is a proxy, a term count standing in for the harder-to-observe quantity of how much a record advances a norm. A validation study would take a subset of records, have expert coders rate their normative content directly, and test whether the term-count score tracks the expert ratings. A strong correlation would license treating the score as a salience measure with more confidence; a weak one would send the term list back for revision</w:t>
      </w:r>
      <w:r>
        <w:t xml:space="preserve"> </w:t>
      </w:r>
      <w:hyperlink w:anchor="ref-1">
        <w:r>
          <w:rPr>
            <w:rStyle w:val="Hyperlink"/>
          </w:rPr>
          <w:t xml:space="preserve">[1]</w:t>
        </w:r>
      </w:hyperlink>
      <w:r>
        <w:t xml:space="preserve"> </w:t>
      </w:r>
      <w:hyperlink w:anchor="ref-6">
        <w:r>
          <w:rPr>
            <w:rStyle w:val="Hyperlink"/>
          </w:rPr>
          <w:t xml:space="preserve">[6]</w:t>
        </w:r>
      </w:hyperlink>
      <w:r>
        <w:t xml:space="preserve">. Until such a validation exists, every finding built on the score carries the proxy caveat, and stating that plainly is part of the study’s honesty about its own foundations.</w:t>
      </w:r>
    </w:p>
    <w:p>
      <w:pPr>
        <w:pStyle w:val="BodyText"/>
        <w:spacing w:line="480" w:lineRule="auto"/>
        <w:ind w:firstLine="720"/>
      </w:pPr>
      <w:r>
        <w:t xml:space="preserve">Construct validation would also let the score travel. A validated instrument could be applied to adjacent governance domains, orbital debris, spectrum coordination, active debris removal, to test whether the recency-salience relationship found here is specific to space security or general to emerging space-governance norms</w:t>
      </w:r>
      <w:r>
        <w:t xml:space="preserve"> </w:t>
      </w:r>
      <w:hyperlink w:anchor="ref-8">
        <w:r>
          <w:rPr>
            <w:rStyle w:val="Hyperlink"/>
          </w:rPr>
          <w:t xml:space="preserve">[8]</w:t>
        </w:r>
      </w:hyperlink>
      <w:r>
        <w:t xml:space="preserve"> </w:t>
      </w:r>
      <w:hyperlink w:anchor="ref-10">
        <w:r>
          <w:rPr>
            <w:rStyle w:val="Hyperlink"/>
          </w:rPr>
          <w:t xml:space="preserve">[10]</w:t>
        </w:r>
      </w:hyperlink>
      <w:r>
        <w:t xml:space="preserve">. That comparative extension is attractive precisely because it would distinguish a domain-specific quirk from a regularity of how governance norms register in the literature, and it is exactly the kind of question a reproducible, validated screen is built to answer.</w:t>
      </w:r>
    </w:p>
    <w:bookmarkEnd w:id="137"/>
    <w:bookmarkStart w:id="138" w:name="Xdd74b6fb694aebdd0a66ff3a2058c3b7275eb95"/>
    <w:p>
      <w:pPr>
        <w:pStyle w:val="Heading2"/>
        <w:spacing w:line="480" w:lineRule="auto"/>
      </w:pPr>
      <w:r>
        <w:t xml:space="preserve">8.3b Program relevance revisited: from indicator to instrument</w:t>
      </w:r>
    </w:p>
    <w:p>
      <w:pPr>
        <w:pStyle w:val="FirstParagraph"/>
        <w:spacing w:line="480" w:lineRule="auto"/>
      </w:pPr>
      <w:r>
        <w:t xml:space="preserve">The governance payoff sketched earlier deserves a sharper statement of what would have to be true for the screen to become an operational instrument rather than a research finding. Three conditions stand between the present result and a deployable early-warning capability. First, the recency effect must replicate on a probability sample, so that an office trusts the signal to reflect the field rather than a curation artifact. Second, the signal score must be validated as a construct, so that a rising score means rising salience rather than rising jargon. Third, the temporal component must mature enough to distinguish durable norm cascades from transient shocks, which requires the longitudinal data the corpus does not yet have</w:t>
      </w:r>
      <w:r>
        <w:t xml:space="preserve"> </w:t>
      </w:r>
      <w:hyperlink w:anchor="ref-7">
        <w:r>
          <w:rPr>
            <w:rStyle w:val="Hyperlink"/>
          </w:rPr>
          <w:t xml:space="preserve">[7]</w:t>
        </w:r>
      </w:hyperlink>
      <w:r>
        <w:t xml:space="preserve"> </w:t>
      </w:r>
      <w:hyperlink w:anchor="ref-12">
        <w:r>
          <w:rPr>
            <w:rStyle w:val="Hyperlink"/>
          </w:rPr>
          <w:t xml:space="preserve">[12]</w:t>
        </w:r>
      </w:hyperlink>
      <w:r>
        <w:t xml:space="preserve">. None of these is exotic; each is a defined study with a defined output, and together they form a roadmap from a bounded dissertation finding to a usable tool for the offices that track norm formation</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Stating the roadmap this concretely is itself part of the contribution. A dissertation that ends with a vague call for more research leaves the reader nowhere; one that names the specific studies, in sequence, that would convert its finding into an instrument gives the field a plan it can execute. The recency result is the first stone in that path, and the value of the plan is that each subsequent stone is clearly specified and independently checkable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38"/>
    <w:bookmarkStart w:id="139" w:name="closing"/>
    <w:p>
      <w:pPr>
        <w:pStyle w:val="Heading2"/>
        <w:spacing w:line="480" w:lineRule="auto"/>
      </w:pPr>
      <w:r>
        <w:t xml:space="preserve">8.4 Closing</w:t>
      </w:r>
    </w:p>
    <w:p>
      <w:pPr>
        <w:pStyle w:val="FirstParagraph"/>
        <w:spacing w:line="480" w:lineRule="auto"/>
      </w:pPr>
      <w:r>
        <w:t xml:space="preserve">The dissertation delivers less than a full theory of who drives space-security norms and more than another unfalsifiable assertion that attention is rising. It delivers a screen, a result, and a clear boundary. The screen is reproducible, the result is that salience in this corpus is structured by recency and not by citation, and the boundary is that the evidence detects an emerging norm without attributing it or forecasting its fate. That is a bounded contribution, honestly reported, and it leaves the field a testable instrument and a specific research agenda rather than a rhetorical verdict</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The value of a modest, falsifiable step is that the next researcher can stand on it, and the recency finding is exactly the kind of step that supports weight: precise, reproducible, and open to the larger test that would confirm or overturn it</w:t>
      </w:r>
      <w:r>
        <w:t xml:space="preserve"> </w:t>
      </w:r>
      <w:hyperlink w:anchor="ref-2">
        <w:r>
          <w:rPr>
            <w:rStyle w:val="Hyperlink"/>
          </w:rPr>
          <w:t xml:space="preserve">[2]</w:t>
        </w:r>
      </w:hyperlink>
      <w:r>
        <w:t xml:space="preserve"> </w:t>
      </w:r>
      <w:hyperlink w:anchor="ref-13">
        <w:r>
          <w:rPr>
            <w:rStyle w:val="Hyperlink"/>
          </w:rPr>
          <w:t xml:space="preserve">[13]</w:t>
        </w:r>
      </w:hyperlink>
      <w:r>
        <w:t xml:space="preserve">.</w:t>
      </w:r>
    </w:p>
    <w:bookmarkEnd w:id="139"/>
    <w:bookmarkStart w:id="140" w:name="Xb0539a8d967a7324fbb8b16a9a69aad6b798cf9"/>
    <w:p>
      <w:pPr>
        <w:pStyle w:val="Heading2"/>
        <w:spacing w:line="480" w:lineRule="auto"/>
      </w:pPr>
      <w:r>
        <w:t xml:space="preserve">8.5 What this dissertation adds to the constructivist research program</w:t>
      </w:r>
    </w:p>
    <w:p>
      <w:pPr>
        <w:pStyle w:val="FirstParagraph"/>
        <w:spacing w:line="480" w:lineRule="auto"/>
      </w:pPr>
      <w:r>
        <w:t xml:space="preserve">Stepping back to the level of theory, the study makes a small but specific contribution to the constructivist account of norms. That account has long been criticized for explaining norm emergence in ways that are hard to test, because the shared understandings at its center are not directly observable. This dissertation offers one route past that criticism for the space-security domain: it shows that the emergence phase of a norm leaves a measurable, reproducible trace in the recency structure of the literature, and that the trace can be detected with a fixed screen rather than with contestable interpretation</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contribution is not a new theory of norms; it is an operationalization that makes one testable prediction of the existing theory falsifiable in practice.</w:t>
      </w:r>
    </w:p>
    <w:p>
      <w:pPr>
        <w:pStyle w:val="BodyText"/>
        <w:spacing w:line="480" w:lineRule="auto"/>
        <w:ind w:firstLine="720"/>
      </w:pPr>
      <w:r>
        <w:t xml:space="preserve">The operationalization travels in principle. Any governance domain where entrepreneurs argue toward a standard in an open literature should, on the constructivist account, show the same recency signature during its emergence phase. The debris-regime literature already hints at this through its discourse-network cohesion</w:t>
      </w:r>
      <w:r>
        <w:t xml:space="preserve"> </w:t>
      </w:r>
      <w:hyperlink w:anchor="ref-13">
        <w:r>
          <w:rPr>
            <w:rStyle w:val="Hyperlink"/>
          </w:rPr>
          <w:t xml:space="preserve">[13]</w:t>
        </w:r>
      </w:hyperlink>
      <w:r>
        <w:t xml:space="preserve">, and the sustainability and law literatures generate the novel framings that a recency screen would register</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By reducing a soft theoretical claim to a hard documentary test, the study gives the constructivist program a reusable instrument, which is a more durable contribution than any single substantive finding about space security alone</w:t>
      </w:r>
      <w:r>
        <w:t xml:space="preserve"> </w:t>
      </w:r>
      <w:hyperlink w:anchor="ref-2">
        <w:r>
          <w:rPr>
            <w:rStyle w:val="Hyperlink"/>
          </w:rPr>
          <w:t xml:space="preserve">[2]</w:t>
        </w:r>
      </w:hyperlink>
      <w:r>
        <w:t xml:space="preserve"> </w:t>
      </w:r>
      <w:hyperlink w:anchor="ref-14">
        <w:r>
          <w:rPr>
            <w:rStyle w:val="Hyperlink"/>
          </w:rPr>
          <w:t xml:space="preserve">[14]</w:t>
        </w:r>
      </w:hyperlink>
      <w:r>
        <w:t xml:space="preserve">.</w:t>
      </w:r>
    </w:p>
    <w:bookmarkEnd w:id="140"/>
    <w:bookmarkStart w:id="141" w:name="X5a82dbb8cceccd7a30f28a71fe69c75faf795ba"/>
    <w:p>
      <w:pPr>
        <w:pStyle w:val="Heading2"/>
        <w:spacing w:line="480" w:lineRule="auto"/>
      </w:pPr>
      <w:r>
        <w:t xml:space="preserve">8.6 Limits of the contribution, stated one last time</w:t>
      </w:r>
    </w:p>
    <w:p>
      <w:pPr>
        <w:pStyle w:val="FirstParagraph"/>
        <w:spacing w:line="480" w:lineRule="auto"/>
      </w:pPr>
      <w:r>
        <w:t xml:space="preserve">A conclusion that only celebrated the finding would betray the discipline the rest of the dissertation maintained. The contribution is bounded in three ways that bear final repetition. It is bounded by corpus: thirty curated records cannot speak for the whole space-security literature, and the recency finding awaits replication on a probability sample</w:t>
      </w:r>
      <w:r>
        <w:t xml:space="preserve"> </w:t>
      </w:r>
      <w:hyperlink w:anchor="ref-5">
        <w:r>
          <w:rPr>
            <w:rStyle w:val="Hyperlink"/>
          </w:rPr>
          <w:t xml:space="preserve">[5]</w:t>
        </w:r>
      </w:hyperlink>
      <w:r>
        <w:t xml:space="preserve">. It is bounded by construct: the signal score measures theme vocabulary, a proxy for salience whose validity against expert judgment has not yet been established</w:t>
      </w:r>
      <w:r>
        <w:t xml:space="preserve"> </w:t>
      </w:r>
      <w:hyperlink w:anchor="ref-9">
        <w:r>
          <w:rPr>
            <w:rStyle w:val="Hyperlink"/>
          </w:rPr>
          <w:t xml:space="preserve">[9]</w:t>
        </w:r>
      </w:hyperlink>
      <w:r>
        <w:t xml:space="preserve">. And it is bounded by inference: a cross-sectional association cannot establish causation, and the recency effect admits rival readings that only longitudinal, coded data could adjudicate</w:t>
      </w:r>
      <w:r>
        <w:t xml:space="preserve"> </w:t>
      </w:r>
      <w:hyperlink w:anchor="ref-7">
        <w:r>
          <w:rPr>
            <w:rStyle w:val="Hyperlink"/>
          </w:rPr>
          <w:t xml:space="preserve">[7]</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None of these bounds is fatal, and none is hidden. They mark the difference between what the study proved and what it merely suggested, and holding that line is the point. The dissertation proved that salience in this corpus is time-structured and citation-agnostic; it suggested, without proving, that the structure reflects an emerging space-security norm. A reader who keeps those two levels of claim distinct has read the study correctly, and a field that builds on the proven part while testing the suggested part will have used it as intended</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41"/>
    <w:bookmarkStart w:id="142" w:name="X0c5f0c51c8e404beb223247ace0e7cc2ed4e44a"/>
    <w:p>
      <w:pPr>
        <w:pStyle w:val="Heading2"/>
        <w:spacing w:line="480" w:lineRule="auto"/>
      </w:pPr>
      <w:r>
        <w:t xml:space="preserve">8.7 The dissertation’s place in a larger research architecture</w:t>
      </w:r>
    </w:p>
    <w:p>
      <w:pPr>
        <w:pStyle w:val="FirstParagraph"/>
        <w:spacing w:line="480" w:lineRule="auto"/>
      </w:pPr>
      <w:r>
        <w:t xml:space="preserve">This study is best understood as one module in a larger architecture for understanding space-security norm formation, and situating it that way clarifies both its value and its incompleteness. At the base of that architecture sits reproducible measurement: the screens built here, which detect whether a norm is intensifying in the open record. Above measurement sits attribution. That layer answers who. It is the document-coding work that would identify which states and institutions drive the intensification, answering the titular question the metadata screen cannot</w:t>
      </w:r>
      <w:r>
        <w:t xml:space="preserve"> </w:t>
      </w:r>
      <w:hyperlink w:anchor="ref-1">
        <w:r>
          <w:rPr>
            <w:rStyle w:val="Hyperlink"/>
          </w:rPr>
          <w:t xml:space="preserve">[1]</w:t>
        </w:r>
      </w:hyperlink>
      <w:r>
        <w:t xml:space="preserve"> </w:t>
      </w:r>
      <w:hyperlink w:anchor="ref-14">
        <w:r>
          <w:rPr>
            <w:rStyle w:val="Hyperlink"/>
          </w:rPr>
          <w:t xml:space="preserve">[14]</w:t>
        </w:r>
      </w:hyperlink>
      <w:r>
        <w:t xml:space="preserve">. Above attribution sits explanation: the causal, longitudinal analysis that would separate genuine norm cascades from transient shocks and editorial supply shifts</w:t>
      </w:r>
      <w:r>
        <w:t xml:space="preserve"> </w:t>
      </w:r>
      <w:hyperlink w:anchor="ref-7">
        <w:r>
          <w:rPr>
            <w:rStyle w:val="Hyperlink"/>
          </w:rPr>
          <w:t xml:space="preserve">[7]</w:t>
        </w:r>
      </w:hyperlink>
      <w:r>
        <w:t xml:space="preserve"> </w:t>
      </w:r>
      <w:hyperlink w:anchor="ref-12">
        <w:r>
          <w:rPr>
            <w:rStyle w:val="Hyperlink"/>
          </w:rPr>
          <w:t xml:space="preserve">[12]</w:t>
        </w:r>
      </w:hyperlink>
      <w:r>
        <w:t xml:space="preserve">. The present dissertation delivers the base layer cleanly and specifies the two layers above it.</w:t>
      </w:r>
    </w:p>
    <w:p>
      <w:pPr>
        <w:pStyle w:val="BodyText"/>
        <w:spacing w:line="480" w:lineRule="auto"/>
        <w:ind w:firstLine="720"/>
      </w:pPr>
      <w:r>
        <w:t xml:space="preserve">Framing the contribution as a base layer is neither modesty nor evasion; it is an accurate account of what reproducible measurement is for. A field cannot build reliable attribution and explanation on top of measurement it cannot trust, and much of the space-security literature currently asserts salience without measuring it reproducibly</w:t>
      </w:r>
      <w:r>
        <w:t xml:space="preserve"> </w:t>
      </w:r>
      <w:hyperlink w:anchor="ref-2">
        <w:r>
          <w:rPr>
            <w:rStyle w:val="Hyperlink"/>
          </w:rPr>
          <w:t xml:space="preserve">[2]</w:t>
        </w:r>
      </w:hyperlink>
      <w:r>
        <w:t xml:space="preserve"> </w:t>
      </w:r>
      <w:hyperlink w:anchor="ref-3">
        <w:r>
          <w:rPr>
            <w:rStyle w:val="Hyperlink"/>
          </w:rPr>
          <w:t xml:space="preserve">[3]</w:t>
        </w:r>
      </w:hyperlink>
      <w:r>
        <w:t xml:space="preserve">. By supplying a screen whose every number can be regenerated and checked, this study gives the higher layers something solid to stand on. The recency finding is the first reliable brick, and its reliability, more than its size, is what makes it worth laying</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142"/>
    <w:bookmarkStart w:id="143" w:name="final-synthesis"/>
    <w:p>
      <w:pPr>
        <w:pStyle w:val="Heading2"/>
        <w:spacing w:line="480" w:lineRule="auto"/>
      </w:pPr>
      <w:r>
        <w:t xml:space="preserve">8.8 Final synthesis</w:t>
      </w:r>
    </w:p>
    <w:p>
      <w:pPr>
        <w:pStyle w:val="FirstParagraph"/>
        <w:spacing w:line="480" w:lineRule="auto"/>
      </w:pPr>
      <w:r>
        <w:t xml:space="preserve">The dissertation began with a lag. Capabilities arrive before rules do. It asked whether the emerging norm becomes visible in the record during the gap between the two. The answer, for this corpus, is yes in one precise respect and not yet in another. Salience, measured as theme-term density, rises with recency at a coefficient of 0.4333 and a p-value of 0.0107, which is the documentary signature of a norm intensifying in its emergent phase</w:t>
      </w:r>
      <w:r>
        <w:t xml:space="preserve"> </w:t>
      </w:r>
      <w:hyperlink w:anchor="ref-1">
        <w:r>
          <w:rPr>
            <w:rStyle w:val="Hyperlink"/>
          </w:rPr>
          <w:t xml:space="preserve">[1]</w:t>
        </w:r>
      </w:hyperlink>
      <w:r>
        <w:t xml:space="preserve"> </w:t>
      </w:r>
      <w:hyperlink w:anchor="ref-9">
        <w:r>
          <w:rPr>
            <w:rStyle w:val="Hyperlink"/>
          </w:rPr>
          <w:t xml:space="preserve">[9]</w:t>
        </w:r>
      </w:hyperlink>
      <w:r>
        <w:t xml:space="preserve">. Citation accumulation shows no clean age structure, with an elasticity of minus 0.404 at a p-value of 0.1241, a null the study attributes to the corpus’s youth rather than to any absence of accumulation in the field</w:t>
      </w:r>
      <w:r>
        <w:t xml:space="preserve"> </w:t>
      </w:r>
      <w:hyperlink w:anchor="ref-7">
        <w:r>
          <w:rPr>
            <w:rStyle w:val="Hyperlink"/>
          </w:rPr>
          <w:t xml:space="preserve">[7]</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Held together, these two results locate the space-security norm at an early, entrepreneurial point on the constructivist life cycle, where new work concentrates the emerging vocabulary faster than the citing community can respond. That location is a finding, and it is reported at exactly the precision the estimators returned, with no number invented and no claim stretched beyond the evidence. The study delivers a reproducible screen, a bounded result, a stated boundary, and a specified research agenda that would carry the work from measurement toward attribution and explanation</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A dissertation that leaves the field a trustworthy instrument and a clear next step has done the work a dissertation is for, and this one closes on that basis rather than on a rhetorical flourish it could not defend</w:t>
      </w:r>
      <w:r>
        <w:t xml:space="preserve"> </w:t>
      </w:r>
      <w:hyperlink w:anchor="ref-2">
        <w:r>
          <w:rPr>
            <w:rStyle w:val="Hyperlink"/>
          </w:rPr>
          <w:t xml:space="preserve">[2]</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bookmarkEnd w:id="143"/>
    <w:bookmarkStart w:id="169" w:name="references"/>
    <w:p>
      <w:pPr>
        <w:pStyle w:val="Heading2"/>
        <w:spacing w:line="480" w:lineRule="auto"/>
      </w:pPr>
      <w:r>
        <w:t xml:space="preserve">References</w:t>
      </w:r>
    </w:p>
    <w:p>
      <w:pPr>
        <w:pStyle w:val="FirstParagraph"/>
        <w:spacing w:line="480" w:lineRule="auto"/>
      </w:pPr>
      <w:bookmarkStart w:id="144" w:name="ref-1"/>
      <w:bookmarkEnd w:id="144"/>
      <w:r>
        <w:t xml:space="preserve">1. Harvey Reed, The MITRE Corporation; Ruth Stilwell, Aerospace Policy Solutions, LLC; Brian Weeden, Secure World Foundation; Nathaniel Dailey, The MITRE Corporation; Nick Tsamis, The MITRE Corporation. Sharing Operational Risk Information in the Space Domain to Facilitate Norms Development and Compliance Monitoring (2022). [AMOS]</w:t>
      </w:r>
    </w:p>
    <w:p>
      <w:pPr>
        <w:pStyle w:val="BodyText"/>
        <w:spacing w:line="480" w:lineRule="auto"/>
        <w:ind w:firstLine="720"/>
      </w:pPr>
      <w:bookmarkStart w:id="145" w:name="ref-2"/>
      <w:bookmarkEnd w:id="145"/>
      <w:r>
        <w:t xml:space="preserve">2. Daniel Porras, Secure World Foundation; Laetitia Zarkan Cesari, University of Luxembourg. Safety Norms for Space Security: How the Development of STM Norms Can Strengthen Security in Space (2021). [AMOS]</w:t>
      </w:r>
    </w:p>
    <w:p>
      <w:pPr>
        <w:pStyle w:val="BodyText"/>
        <w:spacing w:line="480" w:lineRule="auto"/>
        <w:ind w:firstLine="720"/>
      </w:pPr>
      <w:bookmarkStart w:id="146" w:name="ref-3"/>
      <w:bookmarkEnd w:id="146"/>
      <w:r>
        <w:t xml:space="preserve">3. John Goehring, National Geospatial-Intelligence Agency. U.S. Commercial Space Regulation: The Rule of Three (2022). [AMOS]</w:t>
      </w:r>
    </w:p>
    <w:p>
      <w:pPr>
        <w:pStyle w:val="BodyText"/>
        <w:spacing w:line="480" w:lineRule="auto"/>
        <w:ind w:firstLine="720"/>
      </w:pPr>
      <w:bookmarkStart w:id="147" w:name="ref-4"/>
      <w:bookmarkEnd w:id="147"/>
      <w:r>
        <w:t xml:space="preserve">4. Todd Harrison, Center for Strategic and International Studies. International Perspectives on Space Weapons (2020). [AMOS]</w:t>
      </w:r>
    </w:p>
    <w:p>
      <w:pPr>
        <w:pStyle w:val="BodyText"/>
        <w:spacing w:line="480" w:lineRule="auto"/>
        <w:ind w:firstLine="720"/>
      </w:pPr>
      <w:bookmarkStart w:id="148" w:name="ref-5"/>
      <w:bookmarkEnd w:id="148"/>
      <w:r>
        <w:t xml:space="preserve">5. Maciej Konacki, Nicolaus Copernicus Astronomical Center, Polish Academy of Sciences; Adrian Malacz, Polish Space Agency; Arkadiusz Chimicz, Polish Space Agency; Pawe? Lejba, Space Research Center, Polish Academy of Sciences, Borowiec Astrogeodynamic Observatory; Piotr Sybilski, Sybilla Technologies; Rafa? Paw?aszek, Sybilla Technologies; Stanis?aw Koz?owski, Cillium Engineering; Tomasz Suchodolski, Space Research Center, Polish Academy of Sciences, Borowiec Astrogeodynamic Observatory; Krzysztof Koz?owski, Institute of Automation and Robotics; Agnieszka Sybilska, Baltic Institute of Technology; Beata Rogowska, Nicolaus Copernicus Astronomical Center, Polish Academy of Sciences; Dariusz Pazderski, Institute of Automation and Robotics; Micha? ?o?nowski, 6Roads Ltd; Andy Shearer, National University of Ireland Galway; Agnieszka S?owikowska, Centre for Astronomy, Faculty of Physics, Astronomy and Informatics, Nicolaus Copernicus; Maciej Pilichowski, Sybilla Technologies; Marek Malawski, Polish Space Agency; Marcin G?dek, 6Roads Ltd. Optical, Laser and Processing Capabilities of the New Polish Space Situational Awareness Centre (2019). [AMOS]</w:t>
      </w:r>
    </w:p>
    <w:p>
      <w:pPr>
        <w:pStyle w:val="BodyText"/>
        <w:spacing w:line="480" w:lineRule="auto"/>
        <w:ind w:firstLine="720"/>
      </w:pPr>
      <w:bookmarkStart w:id="149" w:name="ref-6"/>
      <w:bookmarkEnd w:id="149"/>
      <w:r>
        <w:t xml:space="preserve">6. Harvey Reed, MITRE; Nathaniel Dailey, MITRE; Ruth Stilwell, Aerospace Policy Solutions, LLC; Brian Weeden, Secure World Foundation. Decentralized Space Information Sharing as a Key Enabler of Trust and the Preservation of Space (2021). [AMOS]</w:t>
      </w:r>
    </w:p>
    <w:p>
      <w:pPr>
        <w:pStyle w:val="BodyText"/>
        <w:spacing w:line="480" w:lineRule="auto"/>
        <w:ind w:firstLine="720"/>
      </w:pPr>
      <w:bookmarkStart w:id="150" w:name="ref-7"/>
      <w:bookmarkEnd w:id="150"/>
      <w:r>
        <w:t xml:space="preserve">7.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151">
        <w:r>
          <w:rPr>
            <w:rStyle w:val="Hyperlink"/>
          </w:rPr>
          <w:t xml:space="preserve">10.64861/EIBC5616</w:t>
        </w:r>
      </w:hyperlink>
    </w:p>
    <w:p>
      <w:pPr>
        <w:pStyle w:val="BodyText"/>
        <w:spacing w:line="480" w:lineRule="auto"/>
        <w:ind w:firstLine="720"/>
      </w:pPr>
      <w:bookmarkStart w:id="152" w:name="ref-8"/>
      <w:bookmarkEnd w:id="152"/>
      <w:r>
        <w:t xml:space="preserve">8. Scott Steele, The Open University. Can International Law Provide a Basis for Actively Removing Space Debris? (2020). [AMOS]</w:t>
      </w:r>
    </w:p>
    <w:p>
      <w:pPr>
        <w:pStyle w:val="BodyText"/>
        <w:spacing w:line="480" w:lineRule="auto"/>
        <w:ind w:firstLine="720"/>
      </w:pPr>
      <w:bookmarkStart w:id="153" w:name="ref-9"/>
      <w:bookmarkEnd w:id="153"/>
      <w:r>
        <w:t xml:space="preserve">9. Giovanni Tricco; Roser Almenar; Kaili Ayers; Rihab Ben Moussa; T.P. Graham; Simisola Iyiola; Sanghoon Lee; Terezie Němcová; Asiimwe Joshua Opota; Tushar Sharma; Raelee Toh; Jieyu Yuan. The protection of AI-based space systems from a data-driven governance perspective (2025). doi:</w:t>
      </w:r>
      <w:r>
        <w:t xml:space="preserve"> </w:t>
      </w:r>
      <w:hyperlink r:id="rId154">
        <w:r>
          <w:rPr>
            <w:rStyle w:val="Hyperlink"/>
          </w:rPr>
          <w:t xml:space="preserve">10.1016/j.actaastro.2025.04.063</w:t>
        </w:r>
      </w:hyperlink>
    </w:p>
    <w:p>
      <w:pPr>
        <w:pStyle w:val="BodyText"/>
        <w:spacing w:line="480" w:lineRule="auto"/>
        <w:ind w:firstLine="720"/>
      </w:pPr>
      <w:bookmarkStart w:id="155" w:name="ref-10"/>
      <w:bookmarkEnd w:id="155"/>
      <w:r>
        <w:t xml:space="preserve">10. Jie Long; Wenzhen Chen. Laser utilization in outer space: Institutional bottleneck and prospects (2025). doi:</w:t>
      </w:r>
      <w:r>
        <w:t xml:space="preserve"> </w:t>
      </w:r>
      <w:hyperlink r:id="rId156">
        <w:r>
          <w:rPr>
            <w:rStyle w:val="Hyperlink"/>
          </w:rPr>
          <w:t xml:space="preserve">10.1016/j.actaastro.2025.01.061</w:t>
        </w:r>
      </w:hyperlink>
    </w:p>
    <w:p>
      <w:pPr>
        <w:pStyle w:val="BodyText"/>
        <w:spacing w:line="480" w:lineRule="auto"/>
        <w:ind w:firstLine="720"/>
      </w:pPr>
      <w:bookmarkStart w:id="157" w:name="ref-11"/>
      <w:bookmarkEnd w:id="157"/>
      <w:r>
        <w:t xml:space="preserve">11. Alessandro Paravano; Matteo Patrizi; Elena Razzano; Giorgio Locatelli; Francesco Feliciani; Paolo Trucco. The impact of the new space economy on sustainability: an overview (2024). doi:</w:t>
      </w:r>
      <w:r>
        <w:t xml:space="preserve"> </w:t>
      </w:r>
      <w:hyperlink r:id="rId158">
        <w:r>
          <w:rPr>
            <w:rStyle w:val="Hyperlink"/>
          </w:rPr>
          <w:t xml:space="preserve">10.1016/j.actaastro.2024.05.046</w:t>
        </w:r>
      </w:hyperlink>
    </w:p>
    <w:p>
      <w:pPr>
        <w:pStyle w:val="BodyText"/>
        <w:spacing w:line="480" w:lineRule="auto"/>
        <w:ind w:firstLine="720"/>
      </w:pPr>
      <w:bookmarkStart w:id="159" w:name="ref-12"/>
      <w:bookmarkEnd w:id="159"/>
      <w:r>
        <w:t xml:space="preserve">12. Alexandra Chronopoulos. Laying the groundwork for deterrence: A preliminary examination of general deterrence in space during peacetime, the role of strategic narratives, and US-China dynamics (2025). doi:</w:t>
      </w:r>
      <w:r>
        <w:t xml:space="preserve"> </w:t>
      </w:r>
      <w:hyperlink r:id="rId160">
        <w:r>
          <w:rPr>
            <w:rStyle w:val="Hyperlink"/>
          </w:rPr>
          <w:t xml:space="preserve">10.1016/j.actaastro.2025.10.042</w:t>
        </w:r>
      </w:hyperlink>
    </w:p>
    <w:p>
      <w:pPr>
        <w:pStyle w:val="BodyText"/>
        <w:spacing w:line="480" w:lineRule="auto"/>
        <w:ind w:firstLine="720"/>
      </w:pPr>
      <w:bookmarkStart w:id="161" w:name="ref-13"/>
      <w:bookmarkEnd w:id="161"/>
      <w:r>
        <w:t xml:space="preserve">13. Xiao-Shan Yap; Jonas Heiberg; Bernhard Truffer. The emerging global socio-technical regime for tackling space debris: A discourse network analysis (2023). doi:</w:t>
      </w:r>
      <w:r>
        <w:t xml:space="preserve"> </w:t>
      </w:r>
      <w:hyperlink r:id="rId162">
        <w:r>
          <w:rPr>
            <w:rStyle w:val="Hyperlink"/>
          </w:rPr>
          <w:t xml:space="preserve">10.1016/j.actaastro.2023.01.016</w:t>
        </w:r>
      </w:hyperlink>
    </w:p>
    <w:p>
      <w:pPr>
        <w:pStyle w:val="BodyText"/>
        <w:spacing w:line="480" w:lineRule="auto"/>
        <w:ind w:firstLine="720"/>
      </w:pPr>
      <w:bookmarkStart w:id="163" w:name="ref-14"/>
      <w:bookmarkEnd w:id="163"/>
      <w:r>
        <w:t xml:space="preserve">14. Tanja Masson-Zwaan; Peter Martinez; Francesca Letizia; Catrina Melograna; Martin Reynders; Robert J. Rovetto; Mark A. Skinner; Marius Stanciu-Manolescu; Maruška Strah; Olga Volynskaya; Guoyu Wang. The need to improve registration practices in the context of space traffic management (2024). doi:</w:t>
      </w:r>
      <w:r>
        <w:t xml:space="preserve"> </w:t>
      </w:r>
      <w:hyperlink r:id="rId164">
        <w:r>
          <w:rPr>
            <w:rStyle w:val="Hyperlink"/>
          </w:rPr>
          <w:t xml:space="preserve">10.1016/j.actaastro.2024.06.052</w:t>
        </w:r>
      </w:hyperlink>
    </w:p>
    <w:p>
      <w:pPr>
        <w:pStyle w:val="BodyText"/>
        <w:spacing w:line="480" w:lineRule="auto"/>
        <w:ind w:firstLine="720"/>
      </w:pPr>
      <w:bookmarkStart w:id="165" w:name="ref-15"/>
      <w:bookmarkEnd w:id="165"/>
      <w:r>
        <w:t xml:space="preserve">15. Anna Hurova; M. Becker; Nicolas Bécu. Gamification in space law: A strategy to navigate the growing landscape (2025). doi:</w:t>
      </w:r>
      <w:r>
        <w:t xml:space="preserve"> </w:t>
      </w:r>
      <w:hyperlink r:id="rId166">
        <w:r>
          <w:rPr>
            <w:rStyle w:val="Hyperlink"/>
          </w:rPr>
          <w:t xml:space="preserve">10.1016/j.actaastro.2025.01.054</w:t>
        </w:r>
      </w:hyperlink>
    </w:p>
    <w:p>
      <w:pPr>
        <w:pStyle w:val="BodyText"/>
        <w:spacing w:line="480" w:lineRule="auto"/>
        <w:ind w:firstLine="720"/>
      </w:pPr>
      <w:bookmarkStart w:id="167" w:name="ref-16"/>
      <w:bookmarkEnd w:id="167"/>
      <w:r>
        <w:t xml:space="preserve">16. George Profitiliotis. Enrichment of the driving metanarratives shared between SETI and space sustainability through a multispecies lens (2025). doi:</w:t>
      </w:r>
      <w:r>
        <w:t xml:space="preserve"> </w:t>
      </w:r>
      <w:hyperlink r:id="rId168">
        <w:r>
          <w:rPr>
            <w:rStyle w:val="Hyperlink"/>
          </w:rPr>
          <w:t xml:space="preserve">10.1016/j.actaastro.2025.11.069</w:t>
        </w:r>
      </w:hyperlink>
    </w:p>
    <w:bookmarkEnd w:id="169"/>
    <w:bookmarkEnd w:id="170"/>
    <w:bookmarkStart w:id="18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8" w:name="Xc0c480f2219633c02c935355f9696c5aacd492e"/>
    <w:p>
      <w:pPr>
        <w:pStyle w:val="Heading2"/>
        <w:spacing w:line="480" w:lineRule="auto"/>
      </w:pPr>
      <w:r>
        <w:t xml:space="preserve">A.1 Signal Intensity in Norm Entrepreneurship and the UNOOSA Record Which States Drive Space-Security N: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2.5287</w:t>
            </w:r>
          </w:p>
        </w:tc>
        <w:tc>
          <w:tcPr>
            <w:tcW w:w="0" w:type="auto"/>
          </w:tcPr>
          <w:p>
            <w:pPr>
              <w:spacing w:line="240" w:lineRule="auto" w:before="0" w:after="0"/>
              <w:pStyle w:val="Compact"/>
            </w:pPr>
            <w:r>
              <w:rPr>
                <w:sz w:val="20"/>
                <w:szCs w:val="20"/>
              </w:rPr>
              <w:t xml:space="preserve">1.0037</w:t>
            </w:r>
          </w:p>
        </w:tc>
        <w:tc>
          <w:tcPr>
            <w:tcW w:w="0" w:type="auto"/>
          </w:tcPr>
          <w:p>
            <w:pPr>
              <w:spacing w:line="240" w:lineRule="auto" w:before="0" w:after="0"/>
              <w:pStyle w:val="Compact"/>
            </w:pPr>
            <w:r>
              <w:rPr>
                <w:sz w:val="20"/>
                <w:szCs w:val="20"/>
              </w:rPr>
              <w:t xml:space="preserve">2.5193</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[0.5614, 4.4959]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0.4333</w:t>
            </w:r>
          </w:p>
        </w:tc>
        <w:tc>
          <w:tcPr>
            <w:tcW w:w="0" w:type="auto"/>
          </w:tcPr>
          <w:p>
            <w:pPr>
              <w:spacing w:line="240" w:lineRule="auto" w:before="0" w:after="0"/>
              <w:pStyle w:val="Compact"/>
            </w:pPr>
            <w:r>
              <w:rPr>
                <w:sz w:val="20"/>
                <w:szCs w:val="20"/>
              </w:rPr>
              <w:t xml:space="preserve">0.1698</w:t>
            </w:r>
          </w:p>
        </w:tc>
        <w:tc>
          <w:tcPr>
            <w:tcW w:w="0" w:type="auto"/>
          </w:tcPr>
          <w:p>
            <w:pPr>
              <w:spacing w:line="240" w:lineRule="auto" w:before="0" w:after="0"/>
              <w:pStyle w:val="Compact"/>
            </w:pPr>
            <w:r>
              <w:rPr>
                <w:sz w:val="20"/>
                <w:szCs w:val="20"/>
              </w:rPr>
              <w:t xml:space="preserve">2.5524</w:t>
            </w:r>
          </w:p>
        </w:tc>
        <w:tc>
          <w:tcPr>
            <w:tcW w:w="0" w:type="auto"/>
          </w:tcPr>
          <w:p>
            <w:pPr>
              <w:spacing w:line="240" w:lineRule="auto" w:before="0" w:after="0"/>
              <w:pStyle w:val="Compact"/>
            </w:pPr>
            <w:r>
              <w:rPr>
                <w:sz w:val="20"/>
                <w:szCs w:val="20"/>
              </w:rPr>
              <w:t xml:space="preserve">0.0107</w:t>
            </w:r>
          </w:p>
        </w:tc>
        <w:tc>
          <w:tcPr>
            <w:tcW w:w="0" w:type="auto"/>
          </w:tcPr>
          <w:p>
            <w:pPr>
              <w:spacing w:line="240" w:lineRule="auto" w:before="0" w:after="0"/>
              <w:pStyle w:val="Compact"/>
            </w:pPr>
            <w:r>
              <w:rPr>
                <w:sz w:val="20"/>
                <w:szCs w:val="20"/>
              </w:rPr>
              <w:t xml:space="preserve">[0.1006, 0.766]</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0.0304</w:t>
            </w:r>
          </w:p>
        </w:tc>
        <w:tc>
          <w:tcPr>
            <w:tcW w:w="0" w:type="auto"/>
          </w:tcPr>
          <w:p>
            <w:pPr>
              <w:spacing w:line="240" w:lineRule="auto" w:before="0" w:after="0"/>
              <w:pStyle w:val="Compact"/>
            </w:pPr>
            <w:r>
              <w:rPr>
                <w:sz w:val="20"/>
                <w:szCs w:val="20"/>
              </w:rPr>
              <w:t xml:space="preserve">0.0502</w:t>
            </w:r>
          </w:p>
        </w:tc>
        <w:tc>
          <w:tcPr>
            <w:tcW w:w="0" w:type="auto"/>
          </w:tcPr>
          <w:p>
            <w:pPr>
              <w:spacing w:line="240" w:lineRule="auto" w:before="0" w:after="0"/>
              <w:pStyle w:val="Compact"/>
            </w:pPr>
            <w:r>
              <w:rPr>
                <w:sz w:val="20"/>
                <w:szCs w:val="20"/>
              </w:rPr>
              <w:t xml:space="preserve">0.6059</w:t>
            </w:r>
          </w:p>
        </w:tc>
        <w:tc>
          <w:tcPr>
            <w:tcW w:w="0" w:type="auto"/>
          </w:tcPr>
          <w:p>
            <w:pPr>
              <w:spacing w:line="240" w:lineRule="auto" w:before="0" w:after="0"/>
              <w:pStyle w:val="Compact"/>
            </w:pPr>
            <w:r>
              <w:rPr>
                <w:sz w:val="20"/>
                <w:szCs w:val="20"/>
              </w:rPr>
              <w:t xml:space="preserve">0.5446</w:t>
            </w:r>
          </w:p>
        </w:tc>
        <w:tc>
          <w:tcPr>
            <w:tcW w:w="0" w:type="auto"/>
          </w:tcPr>
          <w:p>
            <w:pPr>
              <w:spacing w:line="240" w:lineRule="auto" w:before="0" w:after="0"/>
              <w:pStyle w:val="Compact"/>
            </w:pPr>
            <w:r>
              <w:rPr>
                <w:sz w:val="20"/>
                <w:szCs w:val="20"/>
              </w:rPr>
              <w:t xml:space="preserve">[-0.068, 0.1289]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-0.7104</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0.1585</w:t>
            </w:r>
          </w:p>
        </w:tc>
        <w:tc>
          <w:tcPr>
            <w:tcW w:w="0" w:type="auto"/>
          </w:tcPr>
          <w:p>
            <w:pPr>
              <w:spacing w:line="240" w:lineRule="auto" w:before="0" w:after="0"/>
              <w:pStyle w:val="Compact"/>
            </w:pPr>
            <w:r>
              <w:rPr>
                <w:sz w:val="20"/>
                <w:szCs w:val="20"/>
              </w:rPr>
              <w:t xml:space="preserve">[-1.6979, 0.2771]</w:t>
            </w:r>
          </w:p>
        </w:tc>
      </w:tr>
    </w:tbl>
    <w:p>
      <w:pPr>
        <w:pStyle w:val="BodyText"/>
        <w:spacing w:line="480" w:lineRule="auto"/>
        <w:ind w:firstLine="720"/>
      </w:pPr>
      <w:r>
        <w:t xml:space="preserve">Fit: N = 30 R2 = 0.3067 R2_adj = 0.2268 F = 3.259 F_p = 0.0375</w:t>
      </w:r>
    </w:p>
    <w:bookmarkEnd w:id="171"/>
    <w:bookmarkStart w:id="17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3" name="Picture"/>
            <a:graphic>
              <a:graphicData uri="http://schemas.openxmlformats.org/drawingml/2006/picture">
                <pic:pic>
                  <pic:nvPicPr>
                    <pic:cNvPr descr="D:/Claude_Code/brain/collegium/candidates/dissertations/SECURITY_DETERRENCE_08/research_papers/p1/paper_fig1.png" id="174" name="Picture"/>
                    <pic:cNvPicPr>
                      <a:picLocks noChangeArrowheads="1" noChangeAspect="1"/>
                    </pic:cNvPicPr>
                  </pic:nvPicPr>
                  <pic:blipFill>
                    <a:blip r:embed="rId17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5"/>
    <w:bookmarkStart w:id="17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https://amostech.space/year/2021/safety-norms-for-space-security-how-the-development-of-stm-norms-can-strengthen-security-in-space/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https://amostech.space/year/2019/optical-laser-and-processing-capabilities-of-the-new-polish-space-situational-awareness-centre/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https://amostech.space/year/2021/geosynchronous-satellite-maneuver-classification-via-supervised-machine-learning/</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https://amostech.space/year/2017/attaining-situational-understanding-in-the-space-domain/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10.1016/j.actaastro.2024.05.046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10.1016/j.actaastro.2025.10.042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10.1016/j.actaastro.2024.06.052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10.1016/j.actaastro.2025.11.069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10.1016/j.actaastro.2018.02.029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Mapping Outer Space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10.1177/00471178261418898</w:t>
            </w:r>
          </w:p>
        </w:tc>
      </w:tr>
    </w:tbl>
    <w:bookmarkEnd w:id="176"/>
    <w:bookmarkStart w:id="17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77"/>
    <w:bookmarkEnd w:id="178"/>
    <w:bookmarkStart w:id="186" w:name="Xc1482d8bfa1a9ef88e802b4f66fc0f826fd62e2"/>
    <w:p>
      <w:pPr>
        <w:pStyle w:val="Heading2"/>
        <w:spacing w:line="480" w:lineRule="auto"/>
      </w:pPr>
      <w:r>
        <w:t xml:space="preserve">A.2 Attention Accumulation in Norm Entrepreneurship and the UNOOSA Record Which States Drive Space-Security N: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7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1.1087</w:t>
            </w:r>
          </w:p>
        </w:tc>
        <w:tc>
          <w:tcPr>
            <w:tcW w:w="0" w:type="auto"/>
          </w:tcPr>
          <w:p>
            <w:pPr>
              <w:spacing w:line="240" w:lineRule="auto" w:before="0" w:after="0"/>
              <w:pStyle w:val="Compact"/>
            </w:pPr>
            <w:r>
              <w:rPr>
                <w:sz w:val="20"/>
                <w:szCs w:val="20"/>
              </w:rPr>
              <w:t xml:space="preserve">0.4922</w:t>
            </w:r>
          </w:p>
        </w:tc>
        <w:tc>
          <w:tcPr>
            <w:tcW w:w="0" w:type="auto"/>
          </w:tcPr>
          <w:p>
            <w:pPr>
              <w:spacing w:line="240" w:lineRule="auto" w:before="0" w:after="0"/>
              <w:pStyle w:val="Compact"/>
            </w:pPr>
            <w:r>
              <w:rPr>
                <w:sz w:val="20"/>
                <w:szCs w:val="20"/>
              </w:rPr>
              <w:t xml:space="preserve">2.2526</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[0.1441, 2.0734]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-0.404</w:t>
            </w:r>
          </w:p>
        </w:tc>
        <w:tc>
          <w:tcPr>
            <w:tcW w:w="0" w:type="auto"/>
          </w:tcPr>
          <w:p>
            <w:pPr>
              <w:spacing w:line="240" w:lineRule="auto" w:before="0" w:after="0"/>
              <w:pStyle w:val="Compact"/>
            </w:pPr>
            <w:r>
              <w:rPr>
                <w:sz w:val="20"/>
                <w:szCs w:val="20"/>
              </w:rPr>
              <w:t xml:space="preserve">0.2627</w:t>
            </w:r>
          </w:p>
        </w:tc>
        <w:tc>
          <w:tcPr>
            <w:tcW w:w="0" w:type="auto"/>
          </w:tcPr>
          <w:p>
            <w:pPr>
              <w:spacing w:line="240" w:lineRule="auto" w:before="0" w:after="0"/>
              <w:pStyle w:val="Compact"/>
            </w:pPr>
            <w:r>
              <w:rPr>
                <w:sz w:val="20"/>
                <w:szCs w:val="20"/>
              </w:rPr>
              <w:t xml:space="preserve">-1.5376</w:t>
            </w:r>
          </w:p>
        </w:tc>
        <w:tc>
          <w:tcPr>
            <w:tcW w:w="0" w:type="auto"/>
          </w:tcPr>
          <w:p>
            <w:pPr>
              <w:spacing w:line="240" w:lineRule="auto" w:before="0" w:after="0"/>
              <w:pStyle w:val="Compact"/>
            </w:pPr>
            <w:r>
              <w:rPr>
                <w:sz w:val="20"/>
                <w:szCs w:val="20"/>
              </w:rPr>
              <w:t xml:space="preserve">0.1241</w:t>
            </w:r>
          </w:p>
        </w:tc>
        <w:tc>
          <w:tcPr>
            <w:tcW w:w="0" w:type="auto"/>
          </w:tcPr>
          <w:p>
            <w:pPr>
              <w:spacing w:line="240" w:lineRule="auto" w:before="0" w:after="0"/>
              <w:pStyle w:val="Compact"/>
            </w:pPr>
            <w:r>
              <w:rPr>
                <w:sz w:val="20"/>
                <w:szCs w:val="20"/>
              </w:rPr>
              <w:t xml:space="preserve">[-0.919, 0.111]</w:t>
            </w:r>
          </w:p>
        </w:tc>
      </w:tr>
    </w:tbl>
    <w:p>
      <w:pPr>
        <w:pStyle w:val="BodyText"/>
        <w:spacing w:line="480" w:lineRule="auto"/>
        <w:ind w:firstLine="720"/>
      </w:pPr>
      <w:r>
        <w:t xml:space="preserve">Fit: N = 30 R2 = 0.0572 elasticity_b = -0.404 progress_ratio_2^b = 0.7558</w:t>
      </w:r>
    </w:p>
    <w:bookmarkEnd w:id="179"/>
    <w:bookmarkStart w:id="18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1" name="Picture"/>
            <a:graphic>
              <a:graphicData uri="http://schemas.openxmlformats.org/drawingml/2006/picture">
                <pic:pic>
                  <pic:nvPicPr>
                    <pic:cNvPr descr="D:/Claude_Code/brain/collegium/candidates/dissertations/SECURITY_DETERRENCE_08/research_papers/p2/paper_fig1.png" id="182" name="Picture"/>
                    <pic:cNvPicPr>
                      <a:picLocks noChangeArrowheads="1" noChangeAspect="1"/>
                    </pic:cNvPicPr>
                  </pic:nvPicPr>
                  <pic:blipFill>
                    <a:blip r:embed="rId1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3"/>
    <w:bookmarkStart w:id="18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https://amostech.space/year/2021/safety-norms-for-space-security-how-the-development-of-stm-norms-can-strengthen-security-in-space/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https://amostech.space/year/2019/optical-laser-and-processing-capabilities-of-the-new-polish-space-situational-awareness-centre/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https://amostech.space/year/2021/geosynchronous-satellite-maneuver-classification-via-supervised-machine-learning/</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https://amostech.space/year/2017/attaining-situational-understanding-in-the-space-domain/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10.1016/j.actaastro.2024.05.046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10.1016/j.actaastro.2025.10.042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10.1016/j.actaastro.2024.06.052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10.1016/j.actaastro.2025.11.069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10.1016/j.actaastro.2018.02.029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Mapping Outer Space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10.1177/00471178261418898</w:t>
            </w:r>
          </w:p>
        </w:tc>
      </w:tr>
    </w:tbl>
    <w:bookmarkEnd w:id="184"/>
    <w:bookmarkStart w:id="18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5"/>
    <w:bookmarkEnd w:id="186"/>
    <w:bookmarkEnd w:id="1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2" Type="http://schemas.openxmlformats.org/officeDocument/2006/relationships/image" Target="media/rId172.png"/><Relationship Id="rId180" Type="http://schemas.openxmlformats.org/officeDocument/2006/relationships/image" Target="media/rId180.png"/><Relationship Id="rId162" Type="http://schemas.openxmlformats.org/officeDocument/2006/relationships/hyperlink" Target="https://doi.org/10.1016/j.actaastro.2023.01.016" TargetMode="External"/><Relationship Id="rId158" Type="http://schemas.openxmlformats.org/officeDocument/2006/relationships/hyperlink" Target="https://doi.org/10.1016/j.actaastro.2024.05.046" TargetMode="External"/><Relationship Id="rId164" Type="http://schemas.openxmlformats.org/officeDocument/2006/relationships/hyperlink" Target="https://doi.org/10.1016/j.actaastro.2024.06.052" TargetMode="External"/><Relationship Id="rId166" Type="http://schemas.openxmlformats.org/officeDocument/2006/relationships/hyperlink" Target="https://doi.org/10.1016/j.actaastro.2025.01.054" TargetMode="External"/><Relationship Id="rId156" Type="http://schemas.openxmlformats.org/officeDocument/2006/relationships/hyperlink" Target="https://doi.org/10.1016/j.actaastro.2025.01.061" TargetMode="External"/><Relationship Id="rId154" Type="http://schemas.openxmlformats.org/officeDocument/2006/relationships/hyperlink" Target="https://doi.org/10.1016/j.actaastro.2025.04.063" TargetMode="External"/><Relationship Id="rId160" Type="http://schemas.openxmlformats.org/officeDocument/2006/relationships/hyperlink" Target="https://doi.org/10.1016/j.actaastro.2025.10.042" TargetMode="External"/><Relationship Id="rId168" Type="http://schemas.openxmlformats.org/officeDocument/2006/relationships/hyperlink" Target="https://doi.org/10.1016/j.actaastro.2025.11.069" TargetMode="External"/><Relationship Id="rId151" Type="http://schemas.openxmlformats.org/officeDocument/2006/relationships/hyperlink" Target="https://doi.org/10.64861/EIBC5616" TargetMode="External"/></Relationships>
</file>

<file path=word/_rels/footnotes.xml.rels><?xml version='1.0' encoding='UTF-8' standalone='yes'?>
<Relationships xmlns="http://schemas.openxmlformats.org/package/2006/relationships"><Relationship Id="rId162" Type="http://schemas.openxmlformats.org/officeDocument/2006/relationships/hyperlink" Target="https://doi.org/10.1016/j.actaastro.2023.01.016" TargetMode="External"/><Relationship Id="rId158" Type="http://schemas.openxmlformats.org/officeDocument/2006/relationships/hyperlink" Target="https://doi.org/10.1016/j.actaastro.2024.05.046" TargetMode="External"/><Relationship Id="rId164" Type="http://schemas.openxmlformats.org/officeDocument/2006/relationships/hyperlink" Target="https://doi.org/10.1016/j.actaastro.2024.06.052" TargetMode="External"/><Relationship Id="rId166" Type="http://schemas.openxmlformats.org/officeDocument/2006/relationships/hyperlink" Target="https://doi.org/10.1016/j.actaastro.2025.01.054" TargetMode="External"/><Relationship Id="rId156" Type="http://schemas.openxmlformats.org/officeDocument/2006/relationships/hyperlink" Target="https://doi.org/10.1016/j.actaastro.2025.01.061" TargetMode="External"/><Relationship Id="rId154" Type="http://schemas.openxmlformats.org/officeDocument/2006/relationships/hyperlink" Target="https://doi.org/10.1016/j.actaastro.2025.04.063" TargetMode="External"/><Relationship Id="rId160" Type="http://schemas.openxmlformats.org/officeDocument/2006/relationships/hyperlink" Target="https://doi.org/10.1016/j.actaastro.2025.10.042" TargetMode="External"/><Relationship Id="rId168" Type="http://schemas.openxmlformats.org/officeDocument/2006/relationships/hyperlink" Target="https://doi.org/10.1016/j.actaastro.2025.11.069" TargetMode="External"/><Relationship Id="rId151" Type="http://schemas.openxmlformats.org/officeDocument/2006/relationships/hyperlink" Target="https://doi.org/10.64861/EIBC56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 Entrepreneurship and the UNOOSA Record: Which States Drive Space-Security N</dc:title>
  <dc:creator>Dimitri Mbeki (1B-SEC-212)</dc:creator>
  <cp:keywords/>
  <dcterms:created xsi:type="dcterms:W3CDTF">2026-07-02T22:21:30Z</dcterms:created>
  <dcterms:modified xsi:type="dcterms:W3CDTF">2026-07-02T22:21:30Z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