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42b26ac6957d45b806084a100e5b8bcc6c51ee3"/>
    <w:p>
      <w:pPr>
        <w:pStyle w:val="Heading1"/>
      </w:pPr>
      <w:r>
        <w:t xml:space="preserve">Signal Intensity in Verifiability as the Binding Constraint on Space Arms Control A Comparative Aud: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Mira Romano (1B-SEC-211) and the dissertation project</w:t>
      </w:r>
      <w:r>
        <w:t xml:space="preserve"> </w:t>
      </w:r>
      <w:r>
        <w:rPr>
          <w:i/>
          <w:iCs/>
        </w:rPr>
        <w:t xml:space="preserve">Verifiability as the Binding Constraint on Space Arms Control: A Comparative Aud</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R2=0.5402985073139535, R2_adj=0.4872560273886404, F=14.673675870764065, F_p=8.638521153673204e-06. The exact term summary is: const coef=2.868231091659493 p=0.0038526729964795054; recency_index coef=0.2844607989680376 p=0.00014137891465885953; cites_num coef=-0.016632309620796825 p=0.10919475872648758; venue_score coef=-1.718239320724083 p=4.0171619928633545e-09.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5" w:name="references"/>
    <w:p>
      <w:pPr>
        <w:pStyle w:val="Heading2"/>
      </w:pPr>
      <w:r>
        <w:t xml:space="preserve">References</w:t>
      </w:r>
    </w:p>
    <w:p>
      <w:pPr>
        <w:pStyle w:val="FirstParagraph"/>
      </w:pPr>
      <w:bookmarkStart w:id="67" w:name="ref-1"/>
      <w:bookmarkEnd w:id="67"/>
      <w:r>
        <w:t xml:space="preserve">1. Daniel Porras, Secure World Foundation; Laetitia Zarkan Cesari, University of Luxembourg. Safety Norms for Space Security: How the Development of STM Norms Can Strengthen Security in Space (2021). [AMOS]</w:t>
      </w:r>
      <w:r>
        <w:t xml:space="preserve"> </w:t>
      </w:r>
      <w:bookmarkStart w:id="68" w:name="ref-2"/>
      <w:bookmarkEnd w:id="68"/>
      <w:r>
        <w:t xml:space="preserve">2. Melrose Brown, UNSW Canberra Space; Brenton Smith, UNSW Canberra Space; Christopher Capon, UNSW Canberra Space; Rasit Abay, UNSW Canberra; Manuel Cegarra Polo, UNSW Canberra; Steve Gehly, UNSW Canberra; George Bowden, UNSW Canberra Space; Courtney Bright, UNSW Canberra; Andrew Lambert, UNSW Canberra; Russell Boyce, UNSW Canberra. SSA Experiments for the Australian M2 Formation Flying CubeSat Mission (2020). [AMOS]</w:t>
      </w:r>
      <w:r>
        <w:t xml:space="preserve"> </w:t>
      </w:r>
      <w:bookmarkStart w:id="69" w:name="ref-3"/>
      <w:bookmarkEnd w:id="69"/>
      <w:r>
        <w:t xml:space="preserve">3. Nathaniel Dailey, The MITRE Corporation; Kevin Toner, The MITRE Corporation; Dennis Murphy, Georgia Institute of Technology, Sam Nunn School of International Affairs. Employing a Shared Space Information Sharing Ecosystem as a Mechanism for Promoting Constructive U.S. China Space Relations (2022). [AMOS]</w:t>
      </w:r>
      <w:r>
        <w:t xml:space="preserve"> </w:t>
      </w:r>
      <w:bookmarkStart w:id="70" w:name="ref-4"/>
      <w:bookmarkEnd w:id="70"/>
      <w:r>
        <w:t xml:space="preserve">4.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71" w:name="ref-5"/>
      <w:bookmarkEnd w:id="71"/>
      <w:r>
        <w:t xml:space="preserve">5.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2" w:name="ref-6"/>
      <w:bookmarkEnd w:id="72"/>
      <w:r>
        <w:t xml:space="preserve">6. Dan Shen, Intelligent Fusion Technology, Inc; Khanh Pham, AFRL/RVSWS; Genshe Chen, Intelligent Fusion Technology, Inc.. A Numerical Solution to Orbital Pursuit-Evasion Games (2018). [AMOS]</w:t>
      </w:r>
      <w:r>
        <w:t xml:space="preserve"> </w:t>
      </w:r>
      <w:bookmarkStart w:id="73" w:name="ref-7"/>
      <w:bookmarkEnd w:id="73"/>
      <w:r>
        <w:t xml:space="preserve">7. Ray Deiotte (The Boeing Company), Dr. Mike Guyote (The Boeing Company), Dr. Thomas Kelecy (Boeing – LTS), Dr. Doyle Hall (Boeing – LTS), John Africano (Boeing – LTS), Paul Kervin (AMOS (AFRL/Det15). Maui Space Surveillance System Satellite Categorization Laboratory (2006). [AMOS]</w:t>
      </w:r>
      <w:r>
        <w:t xml:space="preserve"> </w:t>
      </w:r>
      <w:bookmarkStart w:id="74" w:name="ref-8"/>
      <w:bookmarkEnd w:id="74"/>
      <w:r>
        <w:t xml:space="preserve">8. Andrew Nicholas, Ted Finne, Ivan Galysh, Anthony Mai, Jim Yen, (Naval Research Laboratory, Washington, DC), Wayne Sawka, Jeff Ransdell, Shae Williams, (Digital Solid State Propulsion, Reno, NV). SpinSat Mission Overview (2013). [AMOS]</w:t>
      </w:r>
    </w:p>
    <w:bookmarkEnd w:id="75"/>
    <w:bookmarkStart w:id="76"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2.8682</w:t>
            </w:r>
          </w:p>
        </w:tc>
        <w:tc>
          <w:tcPr>
            <w:tcW w:w="0" w:type="auto"/>
          </w:tcPr>
          <w:p>
            <w:pPr>
              <w:spacing w:line="240" w:lineRule="auto" w:before="0" w:after="0"/>
              <w:pStyle w:val="Compact"/>
            </w:pPr>
            <w:r>
              <w:rPr>
                <w:sz w:val="20"/>
                <w:szCs w:val="20"/>
              </w:rPr>
              <w:t xml:space="preserve">0.9925</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[0.923, 4.8134]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0.2845</w:t>
            </w:r>
          </w:p>
        </w:tc>
        <w:tc>
          <w:tcPr>
            <w:tcW w:w="0" w:type="auto"/>
          </w:tcPr>
          <w:p>
            <w:pPr>
              <w:spacing w:line="240" w:lineRule="auto" w:before="0" w:after="0"/>
              <w:pStyle w:val="Compact"/>
            </w:pPr>
            <w:r>
              <w:rPr>
                <w:sz w:val="20"/>
                <w:szCs w:val="20"/>
              </w:rPr>
              <w:t xml:space="preserve">0.0747</w:t>
            </w:r>
          </w:p>
        </w:tc>
        <w:tc>
          <w:tcPr>
            <w:tcW w:w="0" w:type="auto"/>
          </w:tcPr>
          <w:p>
            <w:pPr>
              <w:spacing w:line="240" w:lineRule="auto" w:before="0" w:after="0"/>
              <w:pStyle w:val="Compact"/>
            </w:pPr>
            <w:r>
              <w:rPr>
                <w:sz w:val="20"/>
                <w:szCs w:val="20"/>
              </w:rPr>
              <w:t xml:space="preserve">3.8057</w:t>
            </w:r>
          </w:p>
        </w:tc>
        <w:tc>
          <w:tcPr>
            <w:tcW w:w="0" w:type="auto"/>
          </w:tcPr>
          <w:p>
            <w:pPr>
              <w:spacing w:line="240" w:lineRule="auto" w:before="0" w:after="0"/>
              <w:pStyle w:val="Compact"/>
            </w:pPr>
            <w:r>
              <w:rPr>
                <w:sz w:val="20"/>
                <w:szCs w:val="20"/>
              </w:rPr>
              <w:t xml:space="preserve">0.0001414</w:t>
            </w:r>
          </w:p>
        </w:tc>
        <w:tc>
          <w:tcPr>
            <w:tcW w:w="0" w:type="auto"/>
          </w:tcPr>
          <w:p>
            <w:pPr>
              <w:spacing w:line="240" w:lineRule="auto" w:before="0" w:after="0"/>
              <w:pStyle w:val="Compact"/>
            </w:pPr>
            <w:r>
              <w:rPr>
                <w:sz w:val="20"/>
                <w:szCs w:val="20"/>
              </w:rPr>
              <w:t xml:space="preserve">[0.138, 0.431]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-0.0166</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-1.6018</w:t>
            </w:r>
          </w:p>
        </w:tc>
        <w:tc>
          <w:tcPr>
            <w:tcW w:w="0" w:type="auto"/>
          </w:tcPr>
          <w:p>
            <w:pPr>
              <w:spacing w:line="240" w:lineRule="auto" w:before="0" w:after="0"/>
              <w:pStyle w:val="Compact"/>
            </w:pPr>
            <w:r>
              <w:rPr>
                <w:sz w:val="20"/>
                <w:szCs w:val="20"/>
              </w:rPr>
              <w:t xml:space="preserve">0.1092</w:t>
            </w:r>
          </w:p>
        </w:tc>
        <w:tc>
          <w:tcPr>
            <w:tcW w:w="0" w:type="auto"/>
          </w:tcPr>
          <w:p>
            <w:pPr>
              <w:spacing w:line="240" w:lineRule="auto" w:before="0" w:after="0"/>
              <w:pStyle w:val="Compact"/>
            </w:pPr>
            <w:r>
              <w:rPr>
                <w:sz w:val="20"/>
                <w:szCs w:val="20"/>
              </w:rPr>
              <w:t xml:space="preserve">[-0.037, 0.0037]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-1.7182</w:t>
            </w:r>
          </w:p>
        </w:tc>
        <w:tc>
          <w:tcPr>
            <w:tcW w:w="0" w:type="auto"/>
          </w:tcPr>
          <w:p>
            <w:pPr>
              <w:spacing w:line="240" w:lineRule="auto" w:before="0" w:after="0"/>
              <w:pStyle w:val="Compact"/>
            </w:pPr>
            <w:r>
              <w:rPr>
                <w:sz w:val="20"/>
                <w:szCs w:val="20"/>
              </w:rPr>
              <w:t xml:space="preserve">0.292</w:t>
            </w:r>
          </w:p>
        </w:tc>
        <w:tc>
          <w:tcPr>
            <w:tcW w:w="0" w:type="auto"/>
          </w:tcPr>
          <w:p>
            <w:pPr>
              <w:spacing w:line="240" w:lineRule="auto" w:before="0" w:after="0"/>
              <w:pStyle w:val="Compact"/>
            </w:pPr>
            <w:r>
              <w:rPr>
                <w:sz w:val="20"/>
                <w:szCs w:val="20"/>
              </w:rPr>
              <w:t xml:space="preserve">-5.8835</w:t>
            </w:r>
          </w:p>
        </w:tc>
        <w:tc>
          <w:tcPr>
            <w:tcW w:w="0" w:type="auto"/>
          </w:tcPr>
          <w:p>
            <w:pPr>
              <w:spacing w:line="240" w:lineRule="auto" w:before="0" w:after="0"/>
              <w:pStyle w:val="Compact"/>
            </w:pPr>
            <w:r>
              <w:rPr>
                <w:sz w:val="20"/>
                <w:szCs w:val="20"/>
              </w:rPr>
              <w:t xml:space="preserve">4.017e-09</w:t>
            </w:r>
          </w:p>
        </w:tc>
        <w:tc>
          <w:tcPr>
            <w:tcW w:w="0" w:type="auto"/>
          </w:tcPr>
          <w:p>
            <w:pPr>
              <w:spacing w:line="240" w:lineRule="auto" w:before="0" w:after="0"/>
              <w:pStyle w:val="Compact"/>
            </w:pPr>
            <w:r>
              <w:rPr>
                <w:sz w:val="20"/>
                <w:szCs w:val="20"/>
              </w:rPr>
              <w:t xml:space="preserve">[-2.2906, -1.1458]</w:t>
            </w:r>
          </w:p>
        </w:tc>
      </w:tr>
    </w:tbl>
    <w:p>
      <w:pPr>
        <w:pStyle w:val="BodyText"/>
      </w:pPr>
      <w:r>
        <w:t xml:space="preserve">Fit: N = 30 R2 = 0.5403 R2_adj = 0.4873 F = 14.6737 F_p = 8.639e-06</w:t>
      </w:r>
    </w:p>
    <w:p>
      <w:pPr>
        <w:pStyle w:val="CaptionedFigure"/>
      </w:pPr>
      <w:r>
        <w:drawing>
          <wp:inline>
            <wp:extent cx="5669280" cy="3657600"/>
            <wp:effectExtent b="0" l="0" r="0" t="0"/>
            <wp:docPr descr="Figure 1. Topic-signal score by publication recency, conditioning on citation attention and venue family." title="" id="78" name="Picture"/>
            <a:graphic>
              <a:graphicData uri="http://schemas.openxmlformats.org/drawingml/2006/picture">
                <pic:pic>
                  <pic:nvPicPr>
                    <pic:cNvPr descr="D:\Claude_Code\brain\collegium\candidates\dissertations\SECURITY_DETERRENCE_07\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https://amostech.space/year/2020/ssa-experiments-for-the-australian-m2-formation-flying-cubesat-mission/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https://amostech.space/year/2018/a-numerical-solution-to-orbital-pursuit-evasion-games/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https://amostech.space/year/2013/spinsat-mission-overview/</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https://amostech.space/year/2017/non-traditional-sensor-tasking-for-ssa-a-case-study/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https://amostech.space/year/2021/electric-propulsion-intelligent-control-epic-toolbox-for-proximity-operations-in-low-earth-orbit-leo/</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10.1016/j.actaastro.2024.07.036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10.1016/j.actaastro.2019.08.004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10.1016/j.actaastro.2024.03.023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10.1016/j.actaastro.2020.08.006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10.1016/j.actaastro.2019.11.002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10.1016/j.actaastro.2021.01.034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Projected Orbital Demand and LEO Environmental Capacity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MITRE econometric study on satellite reliance among Fortune 500/100 companies (1994-2024) demonstrating material financial dependence on space infrastructure, framed alongside digital traceability as a confidence-building measure and instrument of economic statecraft in international relations.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pyssem: Python Port of MOCAT-SSEM</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2.8682</w:t>
            </w:r>
          </w:p>
        </w:tc>
        <w:tc>
          <w:tcPr>
            <w:tcW w:w="0" w:type="auto"/>
          </w:tcPr>
          <w:p>
            <w:pPr>
              <w:spacing w:line="240" w:lineRule="auto" w:before="0" w:after="0"/>
              <w:pStyle w:val="Compact"/>
            </w:pPr>
            <w:r>
              <w:rPr>
                <w:sz w:val="20"/>
                <w:szCs w:val="20"/>
              </w:rPr>
              <w:t xml:space="preserve">0.9925</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[0.923, 4.8134]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0.2845</w:t>
            </w:r>
          </w:p>
        </w:tc>
        <w:tc>
          <w:tcPr>
            <w:tcW w:w="0" w:type="auto"/>
          </w:tcPr>
          <w:p>
            <w:pPr>
              <w:spacing w:line="240" w:lineRule="auto" w:before="0" w:after="0"/>
              <w:pStyle w:val="Compact"/>
            </w:pPr>
            <w:r>
              <w:rPr>
                <w:sz w:val="20"/>
                <w:szCs w:val="20"/>
              </w:rPr>
              <w:t xml:space="preserve">0.0747</w:t>
            </w:r>
          </w:p>
        </w:tc>
        <w:tc>
          <w:tcPr>
            <w:tcW w:w="0" w:type="auto"/>
          </w:tcPr>
          <w:p>
            <w:pPr>
              <w:spacing w:line="240" w:lineRule="auto" w:before="0" w:after="0"/>
              <w:pStyle w:val="Compact"/>
            </w:pPr>
            <w:r>
              <w:rPr>
                <w:sz w:val="20"/>
                <w:szCs w:val="20"/>
              </w:rPr>
              <w:t xml:space="preserve">3.8057</w:t>
            </w:r>
          </w:p>
        </w:tc>
        <w:tc>
          <w:tcPr>
            <w:tcW w:w="0" w:type="auto"/>
          </w:tcPr>
          <w:p>
            <w:pPr>
              <w:spacing w:line="240" w:lineRule="auto" w:before="0" w:after="0"/>
              <w:pStyle w:val="Compact"/>
            </w:pPr>
            <w:r>
              <w:rPr>
                <w:sz w:val="20"/>
                <w:szCs w:val="20"/>
              </w:rPr>
              <w:t xml:space="preserve">0.0001414</w:t>
            </w:r>
          </w:p>
        </w:tc>
        <w:tc>
          <w:tcPr>
            <w:tcW w:w="0" w:type="auto"/>
          </w:tcPr>
          <w:p>
            <w:pPr>
              <w:spacing w:line="240" w:lineRule="auto" w:before="0" w:after="0"/>
              <w:pStyle w:val="Compact"/>
            </w:pPr>
            <w:r>
              <w:rPr>
                <w:sz w:val="20"/>
                <w:szCs w:val="20"/>
              </w:rPr>
              <w:t xml:space="preserve">[0.138, 0.431]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-0.0166</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-1.6018</w:t>
            </w:r>
          </w:p>
        </w:tc>
        <w:tc>
          <w:tcPr>
            <w:tcW w:w="0" w:type="auto"/>
          </w:tcPr>
          <w:p>
            <w:pPr>
              <w:spacing w:line="240" w:lineRule="auto" w:before="0" w:after="0"/>
              <w:pStyle w:val="Compact"/>
            </w:pPr>
            <w:r>
              <w:rPr>
                <w:sz w:val="20"/>
                <w:szCs w:val="20"/>
              </w:rPr>
              <w:t xml:space="preserve">0.1092</w:t>
            </w:r>
          </w:p>
        </w:tc>
        <w:tc>
          <w:tcPr>
            <w:tcW w:w="0" w:type="auto"/>
          </w:tcPr>
          <w:p>
            <w:pPr>
              <w:spacing w:line="240" w:lineRule="auto" w:before="0" w:after="0"/>
              <w:pStyle w:val="Compact"/>
            </w:pPr>
            <w:r>
              <w:rPr>
                <w:sz w:val="20"/>
                <w:szCs w:val="20"/>
              </w:rPr>
              <w:t xml:space="preserve">[-0.037, 0.0037]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-1.7182</w:t>
            </w:r>
          </w:p>
        </w:tc>
        <w:tc>
          <w:tcPr>
            <w:tcW w:w="0" w:type="auto"/>
          </w:tcPr>
          <w:p>
            <w:pPr>
              <w:spacing w:line="240" w:lineRule="auto" w:before="0" w:after="0"/>
              <w:pStyle w:val="Compact"/>
            </w:pPr>
            <w:r>
              <w:rPr>
                <w:sz w:val="20"/>
                <w:szCs w:val="20"/>
              </w:rPr>
              <w:t xml:space="preserve">0.292</w:t>
            </w:r>
          </w:p>
        </w:tc>
        <w:tc>
          <w:tcPr>
            <w:tcW w:w="0" w:type="auto"/>
          </w:tcPr>
          <w:p>
            <w:pPr>
              <w:spacing w:line="240" w:lineRule="auto" w:before="0" w:after="0"/>
              <w:pStyle w:val="Compact"/>
            </w:pPr>
            <w:r>
              <w:rPr>
                <w:sz w:val="20"/>
                <w:szCs w:val="20"/>
              </w:rPr>
              <w:t xml:space="preserve">-5.8835</w:t>
            </w:r>
          </w:p>
        </w:tc>
        <w:tc>
          <w:tcPr>
            <w:tcW w:w="0" w:type="auto"/>
          </w:tcPr>
          <w:p>
            <w:pPr>
              <w:spacing w:line="240" w:lineRule="auto" w:before="0" w:after="0"/>
              <w:pStyle w:val="Compact"/>
            </w:pPr>
            <w:r>
              <w:rPr>
                <w:sz w:val="20"/>
                <w:szCs w:val="20"/>
              </w:rPr>
              <w:t xml:space="preserve">4.017e-09</w:t>
            </w:r>
          </w:p>
        </w:tc>
        <w:tc>
          <w:tcPr>
            <w:tcW w:w="0" w:type="auto"/>
          </w:tcPr>
          <w:p>
            <w:pPr>
              <w:spacing w:line="240" w:lineRule="auto" w:before="0" w:after="0"/>
              <w:pStyle w:val="Compact"/>
            </w:pPr>
            <w:r>
              <w:rPr>
                <w:sz w:val="20"/>
                <w:szCs w:val="20"/>
              </w:rPr>
              <w:t xml:space="preserve">[-2.2906, -1.1458]</w:t>
            </w:r>
          </w:p>
        </w:tc>
      </w:tr>
    </w:tbl>
    <w:p>
      <w:pPr>
        <w:pStyle w:val="BodyText"/>
      </w:pPr>
      <w:r>
        <w:t xml:space="preserve">Fit: N = 30 R2 = 0.5403 R2_adj = 0.4873 F = 14.6737 F_p = 8.639e-06</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2026-06-29T09:41:42Z</dcterms:created>
  <dcterms:modified xsi:type="dcterms:W3CDTF">2026-06-29T09:41:42Z</dcterms:modified>
</cp:coreProperties>
</file>

<file path=docProps/custom.xml><?xml version="1.0" encoding="utf-8"?>
<Properties xmlns="http://schemas.openxmlformats.org/officeDocument/2006/custom-properties" xmlns:vt="http://schemas.openxmlformats.org/officeDocument/2006/docPropsVTypes"/>
</file>