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VERIFIABILITY AS THE BINDING CONSTRAINT ON SPACE ARMS CONTROL: A COMPARATIVE AUD</w:t>
      </w:r>
    </w:p>
    <w:p>
      <w:pPr>
        <w:jc w:val="center"/>
      </w:pPr>
    </w:p>
    <w:p>
      <w:pPr>
        <w:jc w:val="center"/>
      </w:pPr>
      <w:r>
        <w:rPr>
          <w:rFonts w:ascii="Times New Roman" w:hAnsi="Times New Roman"/>
          <w:sz w:val="24"/>
        </w:rPr>
        <w:t>by</w:t>
      </w:r>
    </w:p>
    <w:p>
      <w:pPr>
        <w:jc w:val="center"/>
      </w:pPr>
      <w:r>
        <w:rPr>
          <w:rFonts w:ascii="Times New Roman" w:hAnsi="Times New Roman"/>
          <w:b/>
          <w:sz w:val="28"/>
        </w:rPr>
        <w:t>Mira Romano</w:t>
      </w:r>
    </w:p>
    <w:p>
      <w:pPr>
        <w:jc w:val="center"/>
      </w:pPr>
      <w:r>
        <w:rPr>
          <w:rFonts w:ascii="Times New Roman" w:hAnsi="Times New Roman"/>
          <w:sz w:val="24"/>
        </w:rPr>
        <w:t>1B-SEC-211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Arms control lives or dies on verification. A treaty that cannot be checked is a promise that cannot be trusted, and in the orbital domain that problem has an unusually sharp edge. Satellites are dual-use by default. The same rendezvous maneuver that services a failing spacecraft can shadow, inspect, or disable an adversary’s asset, and no observer on the ground can read intent from a trajectory alone. This dissertation,</w:t>
      </w:r>
      <w:r>
        <w:t xml:space="preserve"> </w:t>
      </w:r>
      <w:r>
        <w:rPr>
          <w:i/>
          <w:iCs/>
        </w:rPr>
        <w:t xml:space="preserve">Verifiability as the Binding Constraint on Space Arms Control: A Comparative Audit</w:t>
      </w:r>
      <w:r>
        <w:t xml:space="preserve">, takes that difficulty seriously and asks a narrower, testable version of it. It asks whether the scholarly and policy record that surrounds space security is itself legible: whether the way the field publishes, cites, and clusters its work leaves a measurable trace that a disciplined reader can audit rather than merely assert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Reframing a grand policy question as to a bounded empirical one is deliberate. Space governance debates tend to run ahead of their evidence. A capability appears, an incident occurs, a norm is proposed, and the literature fills with confident claims about what the international community should now do. Some of that confidence is earned. Much of it rests on intuition dressed as finding. A doctoral project carries an obligation the op-ed does not: it must leave a reader with a traceable path from source selection through variable construction to estimator output and interpretation, so that every substantive claim can be reproduced or refuted</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obligation is the organizing commitment of this study. Every number reported here is a workbook result, and every interpretive claim is conditional on the source records the candidate actually retained.</w:t>
      </w:r>
    </w:p>
    <w:bookmarkStart w:id="61" w:name="the-problem-and-why-it-binds"/>
    <w:p>
      <w:pPr>
        <w:pStyle w:val="Heading2"/>
        <w:spacing w:line="480" w:lineRule="auto"/>
      </w:pPr>
      <w:r>
        <w:t xml:space="preserve">1.1 The problem and why it binds</w:t>
      </w:r>
    </w:p>
    <w:p>
      <w:pPr>
        <w:pStyle w:val="FirstParagraph"/>
        <w:spacing w:line="480" w:lineRule="auto"/>
      </w:pPr>
      <w:r>
        <w:t xml:space="preserve">Consider what verification of a space arms control regime would actually require. It would require confident attribution of on-orbit behavior, shared situational awareness across suspicious parties, and agreement on which observed actions count as violations. Each of these is contested. Attribution is hard because sensors are sparse and adversaries maneuver to obscure their purpose. Shared awareness is hard because the data that would build it is treated as a national security asset and hoarded accordingly</w:t>
      </w:r>
      <w:r>
        <w:t xml:space="preserve"> </w:t>
      </w:r>
      <w:hyperlink w:anchor="ref-3">
        <w:r>
          <w:rPr>
            <w:rStyle w:val="Hyperlink"/>
          </w:rPr>
          <w:t xml:space="preserve">[3]</w:t>
        </w:r>
      </w:hyperlink>
      <w:r>
        <w:t xml:space="preserve"> </w:t>
      </w:r>
      <w:hyperlink w:anchor="ref-5">
        <w:r>
          <w:rPr>
            <w:rStyle w:val="Hyperlink"/>
          </w:rPr>
          <w:t xml:space="preserve">[5]</w:t>
        </w:r>
      </w:hyperlink>
      <w:r>
        <w:t xml:space="preserve">. Agreement on thresholds is hard because the underlying technologies, proximity operations, robotic capture, and electric propulsion for close approach, behave identically whether the purpose is benign or hostile</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Scattering is the norm. The literature that would inform such a regime spreads across communities that rarely read one another. Engineers publish proximity-operations and capture research in technical venues, describing what is now physically possible with a manipulator arm or a free-floating servicer</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Policy analysts publish norm-development and information-sharing proposals in conference and governance venues, describing what states might plausibly agree to</w:t>
      </w:r>
      <w:r>
        <w:t xml:space="preserve"> </w:t>
      </w:r>
      <w:hyperlink w:anchor="ref-1">
        <w:r>
          <w:rPr>
            <w:rStyle w:val="Hyperlink"/>
          </w:rPr>
          <w:t xml:space="preserve">[1]</w:t>
        </w:r>
      </w:hyperlink>
      <w:r>
        <w:t xml:space="preserve"> </w:t>
      </w:r>
      <w:hyperlink w:anchor="ref-5">
        <w:r>
          <w:rPr>
            <w:rStyle w:val="Hyperlink"/>
          </w:rPr>
          <w:t xml:space="preserve">[5]</w:t>
        </w:r>
      </w:hyperlink>
      <w:r>
        <w:t xml:space="preserve">. Legal scholars publish on the militarization of orbit and the status of autonomous weapons under existing space law</w:t>
      </w:r>
      <w:r>
        <w:t xml:space="preserve"> </w:t>
      </w:r>
      <w:hyperlink w:anchor="ref-10">
        <w:r>
          <w:rPr>
            <w:rStyle w:val="Hyperlink"/>
          </w:rPr>
          <w:t xml:space="preserve">[10]</w:t>
        </w:r>
      </w:hyperlink>
      <w:r>
        <w:t xml:space="preserve">. These streams describe the same underlying reality from incompatible angles, and no one of them supplies the causal estimate a treaty designer would want. That fragmentation is not a footnote to the verification problem. It is part of the problem, because a governance community that cannot see its own knowledge base clearly cannot calibrate what verification would demand.</w:t>
      </w:r>
    </w:p>
    <w:p>
      <w:pPr>
        <w:pStyle w:val="BodyText"/>
        <w:spacing w:line="480" w:lineRule="auto"/>
        <w:ind w:firstLine="720"/>
      </w:pPr>
      <w:r>
        <w:t xml:space="preserve">There is a second reason the problem binds. Verification regimes presuppose a shared factual baseline that adversaries can both point to and dispute in good faith. The scholarly literature is the first approximation of that baseline. If the field’s own record is disorganized, if attention scatters without accumulating and venues fail to converge on common terms, then the raw material for a shared understanding is thin before any diplomat sits down. The health of the literature is therefore not a matter of academic housekeeping. It is a leading indicator of whether the domain can support the kind of common reference frame that verification requires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This dissertation does not attempt to solve space arms control. It makes one bounded, falsifiable claim and tests it against evidence the reader can inspect. The claim concerns whether the candidate topic is visible in the structure of its own literature, specifically in the timing of publication, the accumulation of citation attention, and the family of venue in which work appears. Stated as competing hypotheses:</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This is a modest hypothesis by design, and the modesty is the point. A corpus that shows structured variation across recency and venue is one whose knowledge base is legible enough to reason about. A corpus that shows only noise would warn the field that its evidentiary foundation is thinner than its rhetoric. Either result informs the reader. The design refuses to let confident prose substitute for inference, and it accepts in advance that the data may return a weak or unstable association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62"/>
    <w:bookmarkStart w:id="63" w:name="the-empirical-spine"/>
    <w:p>
      <w:pPr>
        <w:pStyle w:val="Heading2"/>
        <w:spacing w:line="480" w:lineRule="auto"/>
      </w:pPr>
      <w:r>
        <w:t xml:space="preserve">1.3 The empirical spine</w:t>
      </w:r>
    </w:p>
    <w:p>
      <w:pPr>
        <w:pStyle w:val="FirstParagraph"/>
        <w:spacing w:line="480" w:lineRule="auto"/>
      </w:pPr>
      <w:r>
        <w:t xml:space="preserve">Two empirical screens carry the argument. The first is a cross-sectional test. It estimates an ordinary least squares model of topic-signal intensity as a function of publication recency, reported citation count, and an ordinal venue-family score, using thirty retrieved source records with robust standard errors. The model returns a substantial fit and a precise, positive recency coefficient, which is the empirical heart of the dissertation. The second screen is a temporal test. It estimates a log-log learning-curve model of citation accumulation against article age across the same thirty records, asking whether attention accrues along a measurable age-based curve. The two screens are complementary rather than redundant. One studies how the topic distributes across observable fields at a point in time; the other studies whether attention has a temporal shape. Their exact coefficients, standard errors, and p-values are reported without alteration in Chapter 6, and they are the only quantitative claims this dissertation makes.</w:t>
      </w:r>
    </w:p>
    <w:p>
      <w:pPr>
        <w:pStyle w:val="BodyText"/>
        <w:spacing w:line="480" w:lineRule="auto"/>
        <w:ind w:firstLine="720"/>
      </w:pPr>
      <w:r>
        <w:t xml:space="preserve">Framing the contribution this way carries a cost worth naming at the outset. Bibliometric structure is not policy truth. Showing that recency predicts topic signal does not show that the world is safer, that a treaty is feasible, or that verification is within reach. It shows something more limited and more defensible: that the field’s attention is organized in a way a disciplined reader can measure, and that the organization has a direction. The dissertation treats that limited result as a foundation, not a conclusion, and it stays explicit throughout about the gap between what the corpus reveals and what a governance decision would require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3"/>
    <w:bookmarkStart w:id="64" w:name="X050922ec8396b54cebf58649f49e1ee307e26c8"/>
    <w:p>
      <w:pPr>
        <w:pStyle w:val="Heading2"/>
        <w:spacing w:line="480" w:lineRule="auto"/>
      </w:pPr>
      <w:r>
        <w:t xml:space="preserve">1.4 Why bibliometric structure speaks to verifiability</w:t>
      </w:r>
    </w:p>
    <w:p>
      <w:pPr>
        <w:pStyle w:val="FirstParagraph"/>
        <w:spacing w:line="480" w:lineRule="auto"/>
      </w:pPr>
      <w:r>
        <w:t xml:space="preserve">A reader may reasonably ask why a study of citation patterns belongs in a dissertation about arms control verification. The connection runs through the concept of legibility. Verification regimes depend on a shared, inspectable evidence base: parties to a treaty must be able to point to common facts and agree on what those facts mean. The scholarly literature is a first approximation of that shared base. If the community’s own record is structured, cumulative, and legible, then the raw material for shared understanding exists and can be built upon. If the record is fragmented and noisy, then the field lacks even the internal coherence that any external verification arrangement would presuppose. This dissertation therefore treats the auditability of the literature as a proxy for the auditability of the domain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The proxy is imperfect, and Chapter 7 examines where it fails, but it is measurable, and measurability is the whole point.</w:t>
      </w:r>
    </w:p>
    <w:p>
      <w:pPr>
        <w:pStyle w:val="BodyText"/>
        <w:spacing w:line="480" w:lineRule="auto"/>
        <w:ind w:firstLine="720"/>
      </w:pPr>
      <w:r>
        <w:t xml:space="preserve">Three streams anchor the corpus. Selecting the AMOS conference literature, the Acta Astronautica journal record, and a small set of space-economy sources as the corpus is not arbitrary. These three venue families sit at the seams of the verification problem. The conference stream tracks operational and sensing capability closest to real time</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journal stream captures the maturing technical science of proximity operations and capture, the physical acts that any orbital treaty would have to define and detect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economic and policy stream captures the incentives and confidence-building mechanisms that would surround a regime</w:t>
      </w:r>
      <w:r>
        <w:t xml:space="preserve"> </w:t>
      </w:r>
      <w:hyperlink w:anchor="ref-5">
        <w:r>
          <w:rPr>
            <w:rStyle w:val="Hyperlink"/>
          </w:rPr>
          <w:t xml:space="preserve">[5]</w:t>
        </w:r>
      </w:hyperlink>
      <w:r>
        <w:t xml:space="preserve">. A corpus that spans these seams is the right place to ask whether the field’s attention is legible across the boundary between what is possible, what is happening, and what states might agree to constrain.</w:t>
      </w:r>
    </w:p>
    <w:bookmarkEnd w:id="64"/>
    <w:bookmarkStart w:id="65" w:name="the-stakes-of-getting-verification-wrong"/>
    <w:p>
      <w:pPr>
        <w:pStyle w:val="Heading2"/>
        <w:spacing w:line="480" w:lineRule="auto"/>
      </w:pPr>
      <w:r>
        <w:t xml:space="preserve">1.5 The stakes of getting verification wrong</w:t>
      </w:r>
    </w:p>
    <w:p>
      <w:pPr>
        <w:pStyle w:val="FirstParagraph"/>
        <w:spacing w:line="480" w:lineRule="auto"/>
      </w:pPr>
      <w:r>
        <w:t xml:space="preserve">The stakes are not academic.</w:t>
      </w:r>
    </w:p>
    <w:p>
      <w:pPr>
        <w:pStyle w:val="BodyText"/>
        <w:spacing w:line="480" w:lineRule="auto"/>
        <w:ind w:firstLine="720"/>
      </w:pPr>
      <w:r>
        <w:t xml:space="preserve">It is worth dwelling on why the verification question is not academic. The consequences of a space arms control regime that cannot be checked are not symmetric with the consequences of no regime at all. A regime that is signed but unverifiable is worse than useless, because it manufactures a false confidence that invites the very behavior it was meant to prevent. A state that believes an adversary is constrained by an unenforceable treaty will underinvest in the resilience and awareness it would otherwise build, and it will be more surprised, not less, when the constraint proves hollow. The history of terrestrial arms control turns on exactly this point: agreements that endured were agreements whose compliance could be observed, and agreements that collapsed were often those whose verification provisions could not keep pace with the technology they governed. Orbit compresses this dynamic, because the technology moves fast and the observation is hard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There is a mirror danger. The orbital case raises the cost of a false accusation, which is the mirror image of a missed violation. A verification regime that flags benign servicing as hostile shadowing would inject instability rather than remove it, escalating a routine maneuver into a crisis. The pursuit-evasion framing in the technical literature makes this concrete: the same close-approach dynamics that a servicer uses to berth with a client can, read through an adversarial lens, look like the opening move of an interception</w:t>
      </w:r>
      <w:r>
        <w:t xml:space="preserve"> </w:t>
      </w:r>
      <w:hyperlink w:anchor="ref-6">
        <w:r>
          <w:rPr>
            <w:rStyle w:val="Hyperlink"/>
          </w:rPr>
          <w:t xml:space="preserve">[6]</w:t>
        </w:r>
      </w:hyperlink>
      <w:r>
        <w:t xml:space="preserve"> </w:t>
      </w:r>
      <w:hyperlink w:anchor="ref-14">
        <w:r>
          <w:rPr>
            <w:rStyle w:val="Hyperlink"/>
          </w:rPr>
          <w:t xml:space="preserve">[14]</w:t>
        </w:r>
      </w:hyperlink>
      <w:r>
        <w:t xml:space="preserve">. A verification arrangement therefore has to do two demanding things at once. It must catch genuine violations reliably enough to deter them, and it must clear benign behavior confidently enough to avoid false alarms. Both depend on a shared, legible evidence base, and both are why the legibility of the field’s own record is the right first thing to measure.</w:t>
      </w:r>
    </w:p>
    <w:bookmarkEnd w:id="65"/>
    <w:bookmarkStart w:id="66" w:name="X6d4201ebc5a2e5a840bcffcfc8f506fe203d957"/>
    <w:p>
      <w:pPr>
        <w:pStyle w:val="Heading2"/>
        <w:spacing w:line="480" w:lineRule="auto"/>
      </w:pPr>
      <w:r>
        <w:t xml:space="preserve">1.6 What a design-stage dissertation can and cannot promise</w:t>
      </w:r>
    </w:p>
    <w:p>
      <w:pPr>
        <w:pStyle w:val="FirstParagraph"/>
        <w:spacing w:line="480" w:lineRule="auto"/>
      </w:pPr>
      <w:r>
        <w:t xml:space="preserve">This is a design-stage dissertation, and honesty about that status shapes every claim it makes. It does not deliver a finished theory of space arms control, and it does not pretend that thirty retrieved records can settle a question that will ultimately turn on the behavior of states and the capabilities of their spacecraft. What it delivers is a tested design: a reproducible way to ask whether a field’s record is legible, applied to the specific field of space security verification, with the exact estimator output reported so that any reader can check the arithmetic against the claims. The value of a design-stage contribution is that it fails cleanly. If the corpus had returned only noise, the dissertation would have said so and drawn the corresponding lesson, that the field’s evidentiary foundation is thinner than its rhetoric. That the corpus instead returned strong cross-sectional structure and a reported temporal null is a result the design earned rather than assumed</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Read what follows as an audit rather than an argument for a policy. An audit does not tell you what to conclude about the world; it tells you what the records will and will not support, and it hands the reasoning that follows to the reader with the evidence laid open. That posture is deliberate, and it is the posture a doctoral committee should expect of a study whose central virtue is that every number it reports can be traced to the workbook that produced it</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66"/>
    <w:bookmarkStart w:id="67" w:name="Xf51a7ec9f4e62e0cea546b5b0184b7b3ee6e441"/>
    <w:p>
      <w:pPr>
        <w:pStyle w:val="Heading2"/>
        <w:spacing w:line="480" w:lineRule="auto"/>
      </w:pPr>
      <w:r>
        <w:t xml:space="preserve">1.7 Situating the audit between capability and constraint</w:t>
      </w:r>
    </w:p>
    <w:p>
      <w:pPr>
        <w:pStyle w:val="FirstParagraph"/>
        <w:spacing w:line="480" w:lineRule="auto"/>
      </w:pPr>
      <w:r>
        <w:t xml:space="preserve">The dissertation occupies a specific analytical position that is worth naming before the chapters unfold. It sits between two literatures that describe the same orbital reality and rarely intersect. On one side is the capability literature, which documents in precise engineering terms what spacecraft can now do to one another: capture a tumbling object, plan a path for a free-floating servicer, execute a berthing maneuver, or solve a pursuit-evasion problem numerically</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On the other side is the constraint literature, which asks what states might agree to and how they might trust one another enough to verify it: safety norms as a foundation for security, decentralized information sharing as an enabler of trust, and shared ecosystems as a path to constructive great-power relations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The audit this dissertation performs is a measurement of how these two literatures relate inside a single retrieved corpus, and the venue result in Chapter 6 turns out to be a direct read on that relationship.</w:t>
      </w:r>
    </w:p>
    <w:p>
      <w:pPr>
        <w:pStyle w:val="BodyText"/>
        <w:spacing w:line="480" w:lineRule="auto"/>
        <w:ind w:firstLine="720"/>
      </w:pPr>
      <w:r>
        <w:t xml:space="preserve">Positioning the study this way clarifies what kind of knowledge it produces. It does not add a new capability to the engineering side, and it does not propose a new norm on the policy side. It produces meta-knowledge: a measured account of how the field’s own attention is distributed across the boundary that any verification regime would have to bridge. That is an unusual thing for a dissertation to do, and it is deliberate. The verification problem is, at its core, a problem of whether two suspicious parties can share a legible picture of orbital reality, and the first place to test whether such a picture is even possible is in the coherence of the community’s own record. If the scholars and analysts who study the problem cannot themselves produce a legible, cross-referencing body of work, it is difficult to see how adversarial states would produce a shared verification baseline from a standing start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67"/>
    <w:bookmarkStart w:id="68" w:name="Xe9c85d663353e5ea130c5b693c33f409bf62a3a"/>
    <w:p>
      <w:pPr>
        <w:pStyle w:val="Heading2"/>
        <w:spacing w:line="480" w:lineRule="auto"/>
      </w:pPr>
      <w:r>
        <w:t xml:space="preserve">1.8 The discipline of reporting exact numbers</w:t>
      </w:r>
    </w:p>
    <w:p>
      <w:pPr>
        <w:pStyle w:val="FirstParagraph"/>
        <w:spacing w:line="480" w:lineRule="auto"/>
      </w:pPr>
      <w:r>
        <w:t xml:space="preserve">A final introductory commitment governs the entire dissertation and deserves to be stated where the reader will meet it first. Every quantitative claim in this study is reported at full precision, exactly as the workbooks produce it, and interpreted only to the extent the number supports. This is not pedantry. In a field where confident assertion routinely outruns evidence, the decision to report a fit statistic to its full decimal expansion and to report an insignificant slope as insignificant is a methodological stance. It refuses the common move of rounding a fragile result into a clean headline. When Chapter 6 reports a recency coefficient that is precise beyond any conventional threshold, the reader can trust that precision because the same chapter reports, with equal candor, a citation coefficient that fails to reach significance and a temporal slope that cannot be distinguished from zero. The credibility of the strong results depends on the honest reporting of the weak ones, and the dissertation treats that symmetry as non-negotiable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With that commitment established, the argument proceeds.</w:t>
      </w:r>
    </w:p>
    <w:bookmarkEnd w:id="68"/>
    <w:bookmarkStart w:id="69" w:name="roadmap"/>
    <w:p>
      <w:pPr>
        <w:pStyle w:val="Heading2"/>
        <w:spacing w:line="480" w:lineRule="auto"/>
      </w:pPr>
      <w:r>
        <w:t xml:space="preserve">1.9 Roadmap</w:t>
      </w:r>
    </w:p>
    <w:p>
      <w:pPr>
        <w:pStyle w:val="FirstParagraph"/>
        <w:spacing w:line="480" w:lineRule="auto"/>
      </w:pPr>
      <w:r>
        <w:t xml:space="preserve">Eight chapters carry the argument. The sequence follows the logic of the argument. Chapter 2 situates the study against the technical, policy, and legal literatures that describe the space security domain, drawing the boundaries of what prior work has and has not established. Chapter 3 develops the mechanism linking domain visibility to measurable bibliometric structure and states the testable predictions. Chapter 4 sets out the estimators and explains why each identifies the association it claims. Chapter 5 documents the dataset, the variable construction rules, the sources, and the sample of thirty records. Chapter 6 reports the exact estimator output from both papers and interprets the signs and magnitudes. Chapter 7 draws out what the findings mean, catalogs the threats to validity, and states plainly what the data cannot show. Chapter 8 sets the contribution against the broader problem of space arms control, identifies the governance and program relevance of a legible evidence base, and specifies the next data collection the design would require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9"/>
    <w:bookmarkEnd w:id="70"/>
    <w:bookmarkStart w:id="82" w:name="chapter-2.-literature-review"/>
    <w:p>
      <w:pPr>
        <w:pStyle w:val="Heading1"/>
        <w:spacing w:line="480" w:lineRule="auto"/>
      </w:pPr>
      <w:r>
        <w:t xml:space="preserve">Chapter 2. Literature Review</w:t>
      </w:r>
    </w:p>
    <w:p>
      <w:pPr>
        <w:pStyle w:val="FirstParagraph"/>
        <w:spacing w:line="480" w:lineRule="auto"/>
      </w:pPr>
      <w:r>
        <w:t xml:space="preserve">The scholarship relevant to space arms control verification does not form a single conversation. It forms several, each with its own vocabulary, its own venues, and its own implicit theory of what matters. A literature review for this dissertation has to do two things at once: map those separate conversations honestly, and explain why their separation is itself an object of study. This chapter proceeds through four bodies of work, the technical capability literature, the norm and information-sharing literature, the legal and militarization literature, and the measurement literature that lets a reader treat any of these as data, and then names the gap that the empirical chapters address.</w:t>
      </w:r>
    </w:p>
    <w:bookmarkStart w:id="71" w:name="the-technical-capability-stream"/>
    <w:p>
      <w:pPr>
        <w:pStyle w:val="Heading2"/>
        <w:spacing w:line="480" w:lineRule="auto"/>
      </w:pPr>
      <w:r>
        <w:t xml:space="preserve">2.1 The technical capability stream</w:t>
      </w:r>
    </w:p>
    <w:p>
      <w:pPr>
        <w:pStyle w:val="FirstParagraph"/>
        <w:spacing w:line="480" w:lineRule="auto"/>
      </w:pPr>
      <w:r>
        <w:t xml:space="preserve">Any verification regime for orbit must reckon with what spacecraft can physically do to one another, and the technical literature has advanced far and fast on exactly this question. Research on robotic capture of uncooperative targets has matured from concept to detailed control design. Peng and colleagues develop dual-arm coordinated capture of an unknown tumbling target with efficient parameter estimation, a capability that is indistinguishable in kinematics from the seizure of a functioning satellite</w:t>
      </w:r>
      <w:r>
        <w:t xml:space="preserve"> </w:t>
      </w:r>
      <w:hyperlink w:anchor="ref-11">
        <w:r>
          <w:rPr>
            <w:rStyle w:val="Hyperlink"/>
          </w:rPr>
          <w:t xml:space="preserve">[11]</w:t>
        </w:r>
      </w:hyperlink>
      <w:r>
        <w:t xml:space="preserve">. Yang and coauthors extend this to trajectory planning for dual-arm capture with simultaneous base maneuvering, and separately to coordinated assembly of modular parts, showing that manipulation in the vicinity of another object is now a solved engineering problem in the laboratory sense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Liu, Guo, and Gill add motion planning for free-floating servicers using a sampling-based path planner, closing the gap between a stationary manipulator and a mobile one</w:t>
      </w:r>
      <w:r>
        <w:t xml:space="preserve"> </w:t>
      </w:r>
      <w:hyperlink w:anchor="ref-12">
        <w:r>
          <w:rPr>
            <w:rStyle w:val="Hyperlink"/>
          </w:rPr>
          <w:t xml:space="preserve">[12]</w:t>
        </w:r>
      </w:hyperlink>
      <w:r>
        <w:t xml:space="preserve">. Madonna, Pontani, and Gasbarri formalize berthing proximity maneuvers through a manipulator via an analytical formulation, which supplies the precise close-approach control that a shadowing or inspection mission would need</w:t>
      </w:r>
      <w:r>
        <w:t xml:space="preserve"> </w:t>
      </w:r>
      <w:hyperlink w:anchor="ref-14">
        <w:r>
          <w:rPr>
            <w:rStyle w:val="Hyperlink"/>
          </w:rPr>
          <w:t xml:space="preserve">[14]</w:t>
        </w:r>
      </w:hyperlink>
      <w:r>
        <w:t xml:space="preserve">.</w:t>
      </w:r>
    </w:p>
    <w:p>
      <w:pPr>
        <w:pStyle w:val="BodyText"/>
        <w:spacing w:line="480" w:lineRule="auto"/>
        <w:ind w:firstLine="720"/>
      </w:pPr>
      <w:r>
        <w:t xml:space="preserve">Two features of this stream matter for the verification problem. First, the work is genuinely cumulative. Each paper builds on a shared base of dynamics and control, and citation counts in this venue family run high, with individual articles accumulating dozens of citations within a few years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Second, none of it is written in the language of intent. A control law for capturing a tumbling object does not distinguish debris from a target, and the technical record makes no attempt to. This is the raw material of the dual-use dilemma, expressed not as a policy worry but as a body of solved and cited engineering problems. Adjacent work on pursuit-evasion games makes the strategic dimension explicit: Shen, Pham, and Chen provide a numerical solution to orbital pursuit-evasion, framing close-approach dynamics directly as an adversarial contest</w:t>
      </w:r>
      <w:r>
        <w:t xml:space="preserve"> </w:t>
      </w:r>
      <w:hyperlink w:anchor="ref-6">
        <w:r>
          <w:rPr>
            <w:rStyle w:val="Hyperlink"/>
          </w:rPr>
          <w:t xml:space="preserve">[6]</w:t>
        </w:r>
      </w:hyperlink>
      <w:r>
        <w:t xml:space="preserve">.</w:t>
      </w:r>
    </w:p>
    <w:bookmarkEnd w:id="71"/>
    <w:bookmarkStart w:id="72" w:name="the-norm-and-information-sharing-stream"/>
    <w:p>
      <w:pPr>
        <w:pStyle w:val="Heading2"/>
        <w:spacing w:line="480" w:lineRule="auto"/>
      </w:pPr>
      <w:r>
        <w:t xml:space="preserve">2.2 The norm and information-sharing stream</w:t>
      </w:r>
    </w:p>
    <w:p>
      <w:pPr>
        <w:pStyle w:val="FirstParagraph"/>
        <w:spacing w:line="480" w:lineRule="auto"/>
      </w:pPr>
      <w:r>
        <w:t xml:space="preserve">A separate community writes about what states might agree to and how they might build enough trust to verify it. Porras and Zarkan Cesari argue that the development of space traffic management norms can strengthen security in space, treating operational safety rules as a foundation for security cooperation rather than a separate track</w:t>
      </w:r>
      <w:r>
        <w:t xml:space="preserve"> </w:t>
      </w:r>
      <w:hyperlink w:anchor="ref-1">
        <w:r>
          <w:rPr>
            <w:rStyle w:val="Hyperlink"/>
          </w:rPr>
          <w:t xml:space="preserve">[1]</w:t>
        </w:r>
      </w:hyperlink>
      <w:r>
        <w:t xml:space="preserve">. Reed and colleagues, including authors from MITRE and the Secure World Foundation, propose decentralized space information sharing as an enabler of trust and the preservation of the orbital environment, locating the verification bottleneck squarely in the political economy of data rather than in sensing capability</w:t>
      </w:r>
      <w:r>
        <w:t xml:space="preserve"> </w:t>
      </w:r>
      <w:hyperlink w:anchor="ref-5">
        <w:r>
          <w:rPr>
            <w:rStyle w:val="Hyperlink"/>
          </w:rPr>
          <w:t xml:space="preserve">[5]</w:t>
        </w:r>
      </w:hyperlink>
      <w:r>
        <w:t xml:space="preserve">. Dailey, Toner, and Murphy extend the same logic to great-power relations, arguing that a shared space information-sharing ecosystem can promote constructive United States and China space relations, which is the hardest case for any verification arrangement</w:t>
      </w:r>
      <w:r>
        <w:t xml:space="preserve"> </w:t>
      </w:r>
      <w:hyperlink w:anchor="ref-3">
        <w:r>
          <w:rPr>
            <w:rStyle w:val="Hyperlink"/>
          </w:rPr>
          <w:t xml:space="preserve">[3]</w:t>
        </w:r>
      </w:hyperlink>
      <w:r>
        <w:t xml:space="preserve">.</w:t>
      </w:r>
    </w:p>
    <w:p>
      <w:pPr>
        <w:pStyle w:val="BodyText"/>
        <w:spacing w:line="480" w:lineRule="auto"/>
        <w:ind w:firstLine="720"/>
      </w:pPr>
      <w:r>
        <w:t xml:space="preserve">This stream is candid about the central obstacle. The data that would make on-orbit behavior verifiable is exactly the data that states treat as sensitive, so the mechanism these authors propose is institutional: build a shared, partly decentralized information architecture that lowers the cost of transparency below the perceived cost of secrecy</w:t>
      </w:r>
      <w:r>
        <w:t xml:space="preserve"> </w:t>
      </w:r>
      <w:hyperlink w:anchor="ref-3">
        <w:r>
          <w:rPr>
            <w:rStyle w:val="Hyperlink"/>
          </w:rPr>
          <w:t xml:space="preserve">[3]</w:t>
        </w:r>
      </w:hyperlink>
      <w:r>
        <w:t xml:space="preserve"> </w:t>
      </w:r>
      <w:hyperlink w:anchor="ref-5">
        <w:r>
          <w:rPr>
            <w:rStyle w:val="Hyperlink"/>
          </w:rPr>
          <w:t xml:space="preserve">[5]</w:t>
        </w:r>
      </w:hyperlink>
      <w:r>
        <w:t xml:space="preserve">. What the stream does not supply is a measurement of whether the field itself is converging on this framing or scattering across incompatible proposals. It argues for legibility without measuring the legibility of its own record.</w:t>
      </w:r>
    </w:p>
    <w:bookmarkEnd w:id="72"/>
    <w:bookmarkStart w:id="73" w:name="the-legal-and-militarization-stream"/>
    <w:p>
      <w:pPr>
        <w:pStyle w:val="Heading2"/>
        <w:spacing w:line="480" w:lineRule="auto"/>
      </w:pPr>
      <w:r>
        <w:t xml:space="preserve">2.3 The legal and militarization stream</w:t>
      </w:r>
    </w:p>
    <w:p>
      <w:pPr>
        <w:pStyle w:val="FirstParagraph"/>
        <w:spacing w:line="480" w:lineRule="auto"/>
      </w:pPr>
      <w:r>
        <w:t xml:space="preserve">A third body of work asks what existing law can bear. Bratu and Freeland analyze the legal implications of autonomous weapons systems and the militarization of outer space, asking whether a regime built for an earlier era can constrain systems that act without a human in the loop</w:t>
      </w:r>
      <w:r>
        <w:t xml:space="preserve"> </w:t>
      </w:r>
      <w:hyperlink w:anchor="ref-10">
        <w:r>
          <w:rPr>
            <w:rStyle w:val="Hyperlink"/>
          </w:rPr>
          <w:t xml:space="preserve">[10]</w:t>
        </w:r>
      </w:hyperlink>
      <w:r>
        <w:t xml:space="preserve">. This scholarship is important precisely because it exposes the definitional problem at the heart of verification. If the field cannot agree on what an autonomous space weapon is, no observation protocol can determine whether one has been used. The legal stream thus reframes the verification question as a prior problem of shared definition, and shared definition is a property of the literature before it is a property of any treaty text.</w:t>
      </w:r>
    </w:p>
    <w:bookmarkEnd w:id="73"/>
    <w:bookmarkStart w:id="74" w:name="Xba9d1722035934aeb04316968db753f4d6bc45f"/>
    <w:p>
      <w:pPr>
        <w:pStyle w:val="Heading2"/>
        <w:spacing w:line="480" w:lineRule="auto"/>
      </w:pPr>
      <w:r>
        <w:t xml:space="preserve">2.4 The measurement stream and the demand side</w:t>
      </w:r>
    </w:p>
    <w:p>
      <w:pPr>
        <w:pStyle w:val="FirstParagraph"/>
        <w:spacing w:line="480" w:lineRule="auto"/>
      </w:pPr>
      <w:r>
        <w:t xml:space="preserve">Salience is not the issue. The domain literatures establish that the topic matters. They do not, on their own, establish how a researcher should turn a body of documents into evidence. For that the dissertation draws on a measurement logic in which retrieved records become observations and observable metadata, publication year, citation count, and venue family, become variables. This logic is not exotic. It is the ordinary discipline of treating a corpus as a sample and asking whether the sample shows structure. Work on the demand side of the orbital environment supplies a useful parallel. D’Ambrosio and colleagues estimate projected orbital demand and the environmental capacity of low Earth orbit, converting a diffuse worry about congestion into a modeled quantity with explicit assumptions</w:t>
      </w:r>
      <w:r>
        <w:t xml:space="preserve"> </w:t>
      </w:r>
      <w:hyperlink w:anchor="ref-4">
        <w:r>
          <w:rPr>
            <w:rStyle w:val="Hyperlink"/>
          </w:rPr>
          <w:t xml:space="preserve">[4]</w:t>
        </w:r>
      </w:hyperlink>
      <w:r>
        <w:t xml:space="preserve">. Alfano and coauthors assess the risk of recent high-interest conjunctions, again turning episodic incidents into a structured risk measure</w:t>
      </w:r>
      <w:r>
        <w:t xml:space="preserve"> </w:t>
      </w:r>
      <w:hyperlink w:anchor="ref-15">
        <w:r>
          <w:rPr>
            <w:rStyle w:val="Hyperlink"/>
          </w:rPr>
          <w:t xml:space="preserve">[15]</w:t>
        </w:r>
      </w:hyperlink>
      <w:r>
        <w:t xml:space="preserve">. These studies model the objects in orbit rather than the literature about them, but they demonstrate the move this dissertation makes: take something usually discussed impressionistically and give it a reproducible measurement.</w:t>
      </w:r>
    </w:p>
    <w:p>
      <w:pPr>
        <w:pStyle w:val="BodyText"/>
        <w:spacing w:line="480" w:lineRule="auto"/>
        <w:ind w:firstLine="720"/>
      </w:pPr>
      <w:r>
        <w:t xml:space="preserve">Caution follows quickly. The measurement stream warns against overreach. A model of a corpus measures the corpus, not the world the corpus describes. Citation counts drawn from a local index are index measures, not universal counts. Venue-family coding is ordinal and captures publishing practice as much as substantive weight. The historical technical record shows how attention shifts with mission cycles rather than with importance alone, as illustrated by older survey and mission-overview work that once drew attention and now sits largely uncited</w:t>
      </w:r>
      <w:r>
        <w:t xml:space="preserve"> </w:t>
      </w:r>
      <w:hyperlink w:anchor="ref-7">
        <w:r>
          <w:rPr>
            <w:rStyle w:val="Hyperlink"/>
          </w:rPr>
          <w:t xml:space="preserve">[7]</w:t>
        </w:r>
      </w:hyperlink>
      <w:r>
        <w:t xml:space="preserve"> </w:t>
      </w:r>
      <w:hyperlink w:anchor="ref-8">
        <w:r>
          <w:rPr>
            <w:rStyle w:val="Hyperlink"/>
          </w:rPr>
          <w:t xml:space="preserve">[8]</w:t>
        </w:r>
      </w:hyperlink>
      <w:r>
        <w:t xml:space="preserve">. Any honest measurement design has to carry these caveats into its interpretation rather than discovering them afterward.</w:t>
      </w:r>
    </w:p>
    <w:bookmarkEnd w:id="74"/>
    <w:bookmarkStart w:id="75" w:name="X251f028500ce9b9137bfb328578000508ddf4b9"/>
    <w:p>
      <w:pPr>
        <w:pStyle w:val="Heading2"/>
        <w:spacing w:line="480" w:lineRule="auto"/>
      </w:pPr>
      <w:r>
        <w:t xml:space="preserve">2.5 Proximity operations as the crux of the dual-use problem</w:t>
      </w:r>
    </w:p>
    <w:p>
      <w:pPr>
        <w:pStyle w:val="FirstParagraph"/>
        <w:spacing w:line="480" w:lineRule="auto"/>
      </w:pPr>
      <w:r>
        <w:t xml:space="preserve">One cluster sits on the fault line.</w:t>
      </w:r>
    </w:p>
    <w:p>
      <w:pPr>
        <w:pStyle w:val="BodyText"/>
        <w:spacing w:line="480" w:lineRule="auto"/>
        <w:ind w:firstLine="720"/>
      </w:pPr>
      <w:r>
        <w:t xml:space="preserve">One cluster of the technical literature deserves closer reading because it sits precisely on the fault line of the verification problem. Proximity operations, the family of maneuvers by which one spacecraft approaches, matches velocity with, and manipulates another, are simultaneously the enabling technology of on-orbit servicing and the enabling technology of orbital interference. The two are not merely similar; they are the same maneuvers executed with different intent. Madonna, Pontani, and Gasbarri formalize the berthing approach through a manipulator with a rigor that leaves no ambiguity about the control precision now available</w:t>
      </w:r>
      <w:r>
        <w:t xml:space="preserve"> </w:t>
      </w:r>
      <w:hyperlink w:anchor="ref-14">
        <w:r>
          <w:rPr>
            <w:rStyle w:val="Hyperlink"/>
          </w:rPr>
          <w:t xml:space="preserve">[14]</w:t>
        </w:r>
      </w:hyperlink>
      <w:r>
        <w:t xml:space="preserve">. Liu, Guo, and Gill solve the free-floating motion planning problem that lets a servicer approach without a fixed base</w:t>
      </w:r>
      <w:r>
        <w:t xml:space="preserve"> </w:t>
      </w:r>
      <w:hyperlink w:anchor="ref-12">
        <w:r>
          <w:rPr>
            <w:rStyle w:val="Hyperlink"/>
          </w:rPr>
          <w:t xml:space="preserve">[12]</w:t>
        </w:r>
      </w:hyperlink>
      <w:r>
        <w:t xml:space="preserve">. Yang and colleagues coordinate a dual-arm robot’s motion for capture while managing the reaction on the servicer’s own body, and separately for assembling modular parts, which is the constructive twin of the same manipulation capability</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Reading this cluster alongside the pursuit-evasion work of Shen, Pham, and Chen exposes the verification bind with unusual clarity</w:t>
      </w:r>
      <w:r>
        <w:t xml:space="preserve"> </w:t>
      </w:r>
      <w:hyperlink w:anchor="ref-6">
        <w:r>
          <w:rPr>
            <w:rStyle w:val="Hyperlink"/>
          </w:rPr>
          <w:t xml:space="preserve">[6]</w:t>
        </w:r>
      </w:hyperlink>
      <w:r>
        <w:t xml:space="preserve">. Pursuit-evasion casts the close approach explicitly as an adversarial game, in which one actor seeks to reach another that seeks to avoid being reached. The servicing literature casts the identical dynamics as cooperative. No sensor watching a trajectory can determine which frame applies, because the frame lives in the intent of the operator, not in the physics of the orbit. This is why verification cannot rest on trajectory observation alone, and it is why the policy literature reaches for information sharing and declared intent as complements to sensing. The technical stream, in other words, does not merely fail to solve the verification problem; it explains structurally why the problem is hard, and a study of the field’s record ought to be able to see whether the community’s attention reflects that structure.</w:t>
      </w:r>
    </w:p>
    <w:bookmarkEnd w:id="75"/>
    <w:bookmarkStart w:id="76" w:name="X28daff2d4338780e35b345c9073b3825e8f4d7b"/>
    <w:p>
      <w:pPr>
        <w:pStyle w:val="Heading2"/>
        <w:spacing w:line="480" w:lineRule="auto"/>
      </w:pPr>
      <w:r>
        <w:t xml:space="preserve">2.6 The economic and confidence-building stream</w:t>
      </w:r>
    </w:p>
    <w:p>
      <w:pPr>
        <w:pStyle w:val="FirstParagraph"/>
        <w:spacing w:line="480" w:lineRule="auto"/>
      </w:pPr>
      <w:r>
        <w:t xml:space="preserve">A smaller but consequential body of work approaches the problem from economics and confidence building rather than from engineering or law. Analyses of trusted space data and its international-relations dimensions treat transparency itself as an instrument, arguing that the willingness to share data is a signal that can build or erode confidence between rivals. Work in this vein connects the material dependence of the terrestrial economy on space infrastructure to the incentive structure surrounding orbital behavior: if commercial and governmental actors alike rely on space assets whose security is uncertain, then measures that raise transparency have economic as well as strategic value. This stream also intersects the demand-side modeling of the orbital environment, where projected traffic and environmental capacity set the physical stage on which any verification regime would operate</w:t>
      </w:r>
      <w:r>
        <w:t xml:space="preserve"> </w:t>
      </w:r>
      <w:hyperlink w:anchor="ref-4">
        <w:r>
          <w:rPr>
            <w:rStyle w:val="Hyperlink"/>
          </w:rPr>
          <w:t xml:space="preserve">[4]</w:t>
        </w:r>
      </w:hyperlink>
      <w:r>
        <w:t xml:space="preserve">. The economic framing matters for this dissertation because it supplies the third venue family in the corpus, and because it represents the part of the literature most explicitly concerned with the confidence-building mechanisms that verification ultimately requires</w:t>
      </w:r>
      <w:r>
        <w:t xml:space="preserve"> </w:t>
      </w:r>
      <w:hyperlink w:anchor="ref-5">
        <w:r>
          <w:rPr>
            <w:rStyle w:val="Hyperlink"/>
          </w:rPr>
          <w:t xml:space="preserve">[5]</w:t>
        </w:r>
      </w:hyperlink>
      <w:r>
        <w:t xml:space="preserve">.</w:t>
      </w:r>
    </w:p>
    <w:bookmarkEnd w:id="76"/>
    <w:bookmarkStart w:id="77" w:name="the-gap"/>
    <w:p>
      <w:pPr>
        <w:pStyle w:val="Heading2"/>
        <w:spacing w:line="480" w:lineRule="auto"/>
      </w:pPr>
      <w:r>
        <w:t xml:space="preserve">2.7 The gap</w:t>
      </w:r>
    </w:p>
    <w:p>
      <w:pPr>
        <w:pStyle w:val="FirstParagraph"/>
        <w:spacing w:line="480" w:lineRule="auto"/>
      </w:pPr>
      <w:r>
        <w:t xml:space="preserve">Two gaps emerge from this survey. The first is the distance between technical capability and institutional explanation. The engineering literature can tell a reader exactly how a servicer captures a tumbling object, but it cannot explain why governance language around such capabilities hardens in one period and stays loose in another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technical and the political streams describe the same capability and never meet. The second gap is the distance between policy salience and measurement. The norm and legal streams assert that the topic is rising in importance, but they establish salience through repeated assertion rather than through any measure of how attention distributes across time, venue, and citation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dissertation addresses the second gap directly and the first gap indirectly. It converts the literature into an auditable design in which each source becomes a row, each observable field becomes a variable, and the interpretation stays inside the estimator output. The measured question is narrow: does the topic signal in this corpus vary systematically with recency, citation attention, and venue family. Answering it does not close the capability-versus-explanation gap, but it does something prior work has not done for this topic. It replaces the claim that the field is cohering with a test of whether the field’s record is legible enough to support that claim at all</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77"/>
    <w:bookmarkStart w:id="78" w:name="X63bf6a26e7c93f413eb8a30351249d636ff11bb"/>
    <w:p>
      <w:pPr>
        <w:pStyle w:val="Heading2"/>
        <w:spacing w:line="480" w:lineRule="auto"/>
      </w:pPr>
      <w:r>
        <w:t xml:space="preserve">2.8 How this study differs from a conventional review</w:t>
      </w:r>
    </w:p>
    <w:p>
      <w:pPr>
        <w:pStyle w:val="FirstParagraph"/>
        <w:spacing w:line="480" w:lineRule="auto"/>
      </w:pPr>
      <w:r>
        <w:t xml:space="preserve">A conventional literature review synthesizes what prior authors have concluded and identifies where they disagree. This chapter has done some of that, but the dissertation’s actual engagement with the literature is different in kind, and the difference is the contribution. Rather than reading the sources only for their conclusions, the study reads them as observations: each becomes a record with a year, a venue, a citation count, and a measured topic signal. The literature is thus both the subject and the sample. This dual role is unusual and needs to be defended rather than assumed. It is defensible precisely because the research question is about the literature’s own structure. When the question is whether a field’s record is legible, treating the sources as data is not a category error; it is the only way to answer the question with evidence rather than impression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posture also disciplines the selection of which prior work matters. In a conventional review an author can foreground the sources that support a thesis and mention the rest in passing. Here every retained source enters the estimation on equal footing, whether it is a heavily cited capture-control article or an uncited mission overview, and the model, not the author’s preference, determines what structure emerges</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venue and recency coefficients that Chapter 6 reports are therefore not a curated argument about the field; they are a measured property of the whole retained sample. That is a stronger and more falsifiable use of the literature than synthesis alone, and it is the sense in which this review is itself part of the empirical design rather than a preface to it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78"/>
    <w:bookmarkStart w:id="79" w:name="what-remains-for-later-chapters"/>
    <w:p>
      <w:pPr>
        <w:pStyle w:val="Heading2"/>
        <w:spacing w:line="480" w:lineRule="auto"/>
      </w:pPr>
      <w:r>
        <w:t xml:space="preserve">2.9 What remains for later chapters</w:t>
      </w:r>
    </w:p>
    <w:p>
      <w:pPr>
        <w:pStyle w:val="FirstParagraph"/>
        <w:spacing w:line="480" w:lineRule="auto"/>
      </w:pPr>
      <w:r>
        <w:t xml:space="preserve">Three open questions remain. The survey leaves them that only the empirical chapters can answer. First, does the on-theme concentration that the norm and information-sharing stream appears to carry actually register as higher topic signal when measured, or is that impression an artifact of which papers a reader happens to remember</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Second, does the citation weight of the technical journal stream translate into topic relevance for verification, or does the field’s most-cited work sit slightly off the arms control theme, drawing citations for its engineering rather than its governance content</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Third, does the field show the cumulative aging of a mature discipline, or is its attention organized by vintage and venue such that no shared canon has yet emerged</w:t>
      </w:r>
      <w:r>
        <w:t xml:space="preserve"> </w:t>
      </w:r>
      <w:hyperlink w:anchor="ref-4">
        <w:r>
          <w:rPr>
            <w:rStyle w:val="Hyperlink"/>
          </w:rPr>
          <w:t xml:space="preserve">[4]</w:t>
        </w:r>
      </w:hyperlink>
      <w:r>
        <w:t xml:space="preserve"> </w:t>
      </w:r>
      <w:hyperlink w:anchor="ref-6">
        <w:r>
          <w:rPr>
            <w:rStyle w:val="Hyperlink"/>
          </w:rPr>
          <w:t xml:space="preserve">[6]</w:t>
        </w:r>
      </w:hyperlink>
      <w:r>
        <w:t xml:space="preserve">. Chapter 3 turns these questions into formal hypotheses, and Chapter 6 answers them with the exact estimator output. The literature has framed the problem; the measurement will test it.</w:t>
      </w:r>
    </w:p>
    <w:bookmarkEnd w:id="79"/>
    <w:bookmarkStart w:id="80" w:name="Xb5760bb92f933212e8f13c53d9f1785d09401be"/>
    <w:p>
      <w:pPr>
        <w:pStyle w:val="Heading2"/>
        <w:spacing w:line="480" w:lineRule="auto"/>
      </w:pPr>
      <w:r>
        <w:t xml:space="preserve">2.10 The conjunction and congestion literature as context</w:t>
      </w:r>
    </w:p>
    <w:p>
      <w:pPr>
        <w:pStyle w:val="FirstParagraph"/>
        <w:spacing w:line="480" w:lineRule="auto"/>
      </w:pPr>
      <w:r>
        <w:t xml:space="preserve">A further body of work frames the physical environment in which any verification regime would operate, and it belongs in this review because it establishes that the orbital domain is becoming more crowded and more contested at once. Alfano and colleagues assess the risk of recent high-interest conjunctions, converting near-miss events into a structured risk measure and demonstrating that close approaches between high-value objects are frequent enough to demand systematic attention</w:t>
      </w:r>
      <w:r>
        <w:t xml:space="preserve"> </w:t>
      </w:r>
      <w:hyperlink w:anchor="ref-15">
        <w:r>
          <w:rPr>
            <w:rStyle w:val="Hyperlink"/>
          </w:rPr>
          <w:t xml:space="preserve">[15]</w:t>
        </w:r>
      </w:hyperlink>
      <w:r>
        <w:t xml:space="preserve">. D’Ambrosio and coauthors model projected orbital demand against the environmental capacity of low Earth orbit, showing that the trajectory of traffic growth presses against physical limits</w:t>
      </w:r>
      <w:r>
        <w:t xml:space="preserve"> </w:t>
      </w:r>
      <w:hyperlink w:anchor="ref-4">
        <w:r>
          <w:rPr>
            <w:rStyle w:val="Hyperlink"/>
          </w:rPr>
          <w:t xml:space="preserve">[4]</w:t>
        </w:r>
      </w:hyperlink>
      <w:r>
        <w:t xml:space="preserve">. This work is not about arms control directly, but it is the backdrop against which arms control becomes urgent: a crowded orbit multiplies the occasions for ambiguous close approaches, and every ambiguous approach is a potential verification problem in miniature.</w:t>
      </w:r>
    </w:p>
    <w:p>
      <w:pPr>
        <w:pStyle w:val="BodyText"/>
        <w:spacing w:line="480" w:lineRule="auto"/>
        <w:ind w:firstLine="720"/>
      </w:pPr>
      <w:r>
        <w:t xml:space="preserve">Crowding sharpens the point. The congestion literature reinforces the dual-use theme from a different angle. As the environment fills, the distinction between a collision-avoidance maneuver and a deliberate approach grows harder to draw, because legitimate traffic management requires exactly the close-approach capabilities that a verification regime would want to constrain</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A field trying to govern hostile proximity operations must do so in an environment where benign proximity operations are becoming routine and necessary. This tension, between the operational need for close-approach capability and the security need to constrain it, is the environmental frame within which the verification literature operates, and no review of that literature is complete without it.</w:t>
      </w:r>
    </w:p>
    <w:bookmarkEnd w:id="80"/>
    <w:bookmarkStart w:id="81" w:name="Xb4a55c6f2f1da157f1a796200e1bdec68ea469a"/>
    <w:p>
      <w:pPr>
        <w:pStyle w:val="Heading2"/>
        <w:spacing w:line="480" w:lineRule="auto"/>
      </w:pPr>
      <w:r>
        <w:t xml:space="preserve">2.11 The historical technical stream and the shape of attention</w:t>
      </w:r>
    </w:p>
    <w:p>
      <w:pPr>
        <w:pStyle w:val="FirstParagraph"/>
        <w:spacing w:line="480" w:lineRule="auto"/>
      </w:pPr>
      <w:r>
        <w:t xml:space="preserve">History matters here too. The corpus reaches back to older technical work that now sits largely uncited, and this historical stream is worth reading not for its current relevance but for what it reveals about how attention moves. A 2006 satellite-categorization laboratory paper and a 2013 mission-overview record represent the operational surveillance concerns of their moment, and both now report zero citations in the local index</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Their presence in the corpus is a reminder that a field’s attention shifts with mission cycles and capability frontiers rather than accumulating uniformly. Work that once addressed the pressing surveillance questions of its day recedes as the frontier moves, and newer work on capture, autonomy, and governance takes its place.</w:t>
      </w:r>
    </w:p>
    <w:p>
      <w:pPr>
        <w:pStyle w:val="BodyText"/>
        <w:spacing w:line="480" w:lineRule="auto"/>
        <w:ind w:firstLine="720"/>
      </w:pPr>
      <w:r>
        <w:t xml:space="preserve">This pattern matters for the measurement design because it predicts the temporal null that Chapter 6 reports. If attention shifted cleanly with age, older work would show a stable citation legacy; instead the oldest records here are the least cited, because the field’s center of gravity has moved toward recent capability and governance questions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historical stream thus does double duty in the review: it documents where the field has been, and it foreshadows why the learning-curve model will find no simple relationship between age and citation. Reading the old records alongside the new is what makes the corpus a study of a moving field rather than a static snapshot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1"/>
    <w:bookmarkEnd w:id="82"/>
    <w:bookmarkStart w:id="93"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earns its place in an empirical dissertation by telling the reader in advance what each possible result would mean. This chapter builds that theory. It starts from a single mechanism, develops the two testable predictions that follow from it, specifies the rival explanations that could produce the same data, and sets out the interpretive ladder that governs how findings translate into claims. The framework is deliberately compact, because the empirical design is compact, and a theory larger than its test would be an overreach the dissertation is committed to avoiding</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83" w:name="X16301ab78a0010a11b78fe92b7b6b3039944144"/>
    <w:p>
      <w:pPr>
        <w:pStyle w:val="Heading2"/>
        <w:spacing w:line="480" w:lineRule="auto"/>
      </w:pPr>
      <w:r>
        <w:t xml:space="preserve">3.1 The core mechanism: consequence leaves a trace</w:t>
      </w:r>
    </w:p>
    <w:p>
      <w:pPr>
        <w:pStyle w:val="FirstParagraph"/>
        <w:spacing w:line="480" w:lineRule="auto"/>
      </w:pPr>
      <w:r>
        <w:t xml:space="preserve">The mechanism is this. When a topic becomes technically or institutionally consequential, its consequence shows up in observable features of the record that the field produces about it. Consequence is not directly observable. Nobody can measure the raw importance of space arms control verification. What can be observed are the byproducts of a field paying attention: newer work appears, citations accrue, and certain venues concentrate the discussion. The theory treats these byproducts as traces of an unobserved process, in the same way an epidemiologist treats a fever as a trace of an unobserved infection. The trace is not the thing. It is evidence about the thing, and its value depends entirely on how disciplined the inference from trace to cause remains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Three traces are available in this corpus, and the theory assigns a meaning to each. Publication recency is a trace of momentum: a field that is drawing fresh work will show a concentration of recent records. Citation attention is a trace of influence: work that other work builds on accumulates citations, and the distribution of those citations reveals where the field’s weight sits. Venue family is a trace of framing: whether a topic is discussed in operational conference venues, in archival technical journals, or in policy and economic outlets tells the reader which community owns the conversation and, by implication, which vocabulary dominates it</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mechanism does not require these three traces to move together. It requires the theory to say what each would mean if it moved, and to hold to that reading whatever the data return.</w:t>
      </w:r>
    </w:p>
    <w:bookmarkEnd w:id="83"/>
    <w:bookmarkStart w:id="84" w:name="Xfcdfbd929cd6a565c197f88415503d00d220555"/>
    <w:p>
      <w:pPr>
        <w:pStyle w:val="Heading2"/>
        <w:spacing w:line="480" w:lineRule="auto"/>
      </w:pPr>
      <w:r>
        <w:t xml:space="preserve">3.2 First prediction: cross-sectional structure</w:t>
      </w:r>
    </w:p>
    <w:p>
      <w:pPr>
        <w:pStyle w:val="FirstParagraph"/>
        <w:spacing w:line="480" w:lineRule="auto"/>
      </w:pPr>
      <w:r>
        <w:t xml:space="preserve">The first prediction concerns how the topic signal distributes across records at a point in time. If consequence leaves a trace, then the intensity of the topic signal in a given record should be associated with that record’s recency, its citation attention, and its venue family. The first empirical paper operationalizes this through an outcome, the composite topic-signal score, and three predictors, the recency index, the reported citation count, and the ordinal venue score. The hypotheses are stated exactly as the design registers them.</w:t>
      </w:r>
    </w:p>
    <w:p>
      <w:pPr>
        <w:pStyle w:val="BodyText"/>
        <w:spacing w:line="480" w:lineRule="auto"/>
        <w:ind w:firstLine="720"/>
      </w:pPr>
      <w:r>
        <w:t xml:space="preserve">H0: the topic-signal score is unrelated to publication recency, citation attention, and venue family.</w:t>
      </w:r>
    </w:p>
    <w:p>
      <w:pPr>
        <w:pStyle w:val="BodyText"/>
        <w:spacing w:line="480" w:lineRule="auto"/>
        <w:ind w:firstLine="720"/>
      </w:pPr>
      <w:r>
        <w:t xml:space="preserve">H1: the topic-signal score increases with recency and citation attention.</w:t>
      </w:r>
    </w:p>
    <w:p>
      <w:pPr>
        <w:pStyle w:val="BodyText"/>
        <w:spacing w:line="480" w:lineRule="auto"/>
        <w:ind w:firstLine="720"/>
      </w:pPr>
      <w:r>
        <w:t xml:space="preserve">Direction matters. The theory expects a positive recency association. A topic gaining consequence should show a positive association between recency and signal, because the newest work is where a rising field concentrates its most on-topic effort. The expectation for citation attention is weaker and deliberately so. Citation counts in this corpus are dominated by the technical journal stream, where a highly cited capture-control paper may carry a low topic signal for arms control verification even as it accumulates influence. The theory therefore does not commit to a positive citation coefficient, and it treats a null or even negative citation term as consistent with the mechanism rather than as a refutation of it. Venue family is expected to matter, but its sign is a question the theory hands to the data, because the ordinal coding embeds an assumption about ranking that the estimate will test.</w:t>
      </w:r>
    </w:p>
    <w:bookmarkEnd w:id="84"/>
    <w:bookmarkStart w:id="85" w:name="second-prediction-temporal-accumulation"/>
    <w:p>
      <w:pPr>
        <w:pStyle w:val="Heading2"/>
        <w:spacing w:line="480" w:lineRule="auto"/>
      </w:pPr>
      <w:r>
        <w:t xml:space="preserve">3.3 Second prediction: temporal accumulation</w:t>
      </w:r>
    </w:p>
    <w:p>
      <w:pPr>
        <w:pStyle w:val="FirstParagraph"/>
        <w:spacing w:line="480" w:lineRule="auto"/>
      </w:pPr>
      <w:r>
        <w:t xml:space="preserve">The second prediction concerns time rather than cross-section. A field with a maturing evidence base should show citation attention accumulating along a measurable curve as records age, because older work has had more time to be cited and because a cumulative field builds on its own foundations. The second empirical paper operationalizes this as a learning-curve relationship between citation count and article age, using citation count plus one as the outcome so the logarithm is defined for uncited records, and document age as the sole predictor. The hypotheses again follow the registration exactly.</w:t>
      </w:r>
    </w:p>
    <w:p>
      <w:pPr>
        <w:pStyle w:val="BodyText"/>
        <w:spacing w:line="480" w:lineRule="auto"/>
        <w:ind w:firstLine="720"/>
      </w:pPr>
      <w:r>
        <w:t xml:space="preserve">H0: citation accumulation is unrelated to article age in the retrieved topic literature.</w:t>
      </w:r>
    </w:p>
    <w:p>
      <w:pPr>
        <w:pStyle w:val="BodyText"/>
        <w:spacing w:line="480" w:lineRule="auto"/>
        <w:ind w:firstLine="720"/>
      </w:pPr>
      <w:r>
        <w:t xml:space="preserve">H1: citation accumulation follows a measurable age-based attention curve.</w:t>
      </w:r>
    </w:p>
    <w:p>
      <w:pPr>
        <w:pStyle w:val="BodyText"/>
        <w:spacing w:line="480" w:lineRule="auto"/>
        <w:ind w:firstLine="720"/>
      </w:pPr>
      <w:r>
        <w:t xml:space="preserve">Here the theory is more tentative, and honestly so. Two opposing forces act on the age-citation relationship. Older records have had longer to accumulate citations, which pushes the relationship one way. But a rising field concentrates its most-cited work in recent years, which pushes it the other way, and the corpus mixes a decade-old conference stream with newer high-citation journal articles. The theory therefore predicts that the age-citation relationship may be weak or unstable, and it treats that weakness as a substantive finding about the composition of the field rather than as a failed test. A weak temporal curve would say that attention in this corpus is not a simple function of age, which is exactly what one would expect of a field whose center of gravity is shifting.</w:t>
      </w:r>
    </w:p>
    <w:bookmarkEnd w:id="85"/>
    <w:bookmarkStart w:id="86" w:name="rival-explanations"/>
    <w:p>
      <w:pPr>
        <w:pStyle w:val="Heading2"/>
        <w:spacing w:line="480" w:lineRule="auto"/>
      </w:pPr>
      <w:r>
        <w:t xml:space="preserve">3.4 Rival explanations</w:t>
      </w:r>
    </w:p>
    <w:p>
      <w:pPr>
        <w:pStyle w:val="FirstParagraph"/>
        <w:spacing w:line="480" w:lineRule="auto"/>
      </w:pPr>
      <w:r>
        <w:t xml:space="preserve">A responsible framework names the alternatives that could produce the same patterns without the mechanism being true. Four rivals stand out. The first is a venue-coverage artifact: the observed structure could reflect which venues the retrieval happened to capture rather than any real distribution of activity. The second is a citation-index artifact: because citation counts come from a local index rather than a universal database, the citation term could reflect indexing coverage rather than genuine influence. The third is a topic-coding artifact: the signal score is a deterministic count of theme-term hits, and a record could score high because of vocabulary overlap rather than genuine relevance. The fourth is a maturity-versus-recency confound: recency and citation attention are mechanically related, since newer work has had less time to be cited, and the two predictors may compete for the same variance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These rivals are not obstacles to be argued away. They are the reasons the dissertation reports every coefficient with its standard error and p-value, keeps the venue coding explicitly ordinal, and refuses to read a proxy as the underlying construct. Each rival maps to a specific caution that Chapters 6 and 7 carry forward.</w:t>
      </w:r>
    </w:p>
    <w:bookmarkEnd w:id="86"/>
    <w:bookmarkStart w:id="87" w:name="why-a-null-is-not-a-failure"/>
    <w:p>
      <w:pPr>
        <w:pStyle w:val="Heading2"/>
        <w:spacing w:line="480" w:lineRule="auto"/>
      </w:pPr>
      <w:r>
        <w:t xml:space="preserve">3.5 Why a null is not a failure</w:t>
      </w:r>
    </w:p>
    <w:p>
      <w:pPr>
        <w:pStyle w:val="FirstParagraph"/>
        <w:spacing w:line="480" w:lineRule="auto"/>
      </w:pPr>
      <w:r>
        <w:t xml:space="preserve">Weak results carry weight too.</w:t>
      </w:r>
    </w:p>
    <w:p>
      <w:pPr>
        <w:pStyle w:val="BodyText"/>
        <w:spacing w:line="480" w:lineRule="auto"/>
        <w:ind w:firstLine="720"/>
      </w:pPr>
      <w:r>
        <w:t xml:space="preserve">The framework insists on a point that conventional practice often obscures: a null result is a finding with content, not an absence of one. This matters because the second empirical paper is expected to return a weak, insignificant slope, and a framework that treated significance as the only success condition would have to code that outcome as a defeat. The framework here does the opposite. It assigns the null a specific meaning derived from the mechanism. If citation attention accumulated along a clean age curve, the field would look like a mature technical discipline building steadily on old foundations. The absence of that curve says the field does not yet have that shape, that its attention is organized by something other than the simple aging of a shared canon. That is a real claim about the state of the field, and it is testable, falsifiable, and informative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Grounding this stance requires a clear prior. The framework predicts the null because it knows the corpus mixes an uncited older conference stream with a highly cited recent journal stream, and it names that prediction before the estimate is read. A prediction of insignificance, met, is as much a confirmation of the underlying model as a prediction of significance would be. The dissertation gains credibility from this symmetry: it is not a study that can only succeed by finding effects, but one whose framework specifies in advance which relationships should be strong and which should be weak, and is then held to both</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87"/>
    <w:bookmarkStart w:id="88" w:name="X7cb0d68a6cab623aaf5b48baaad8e96a4d02a03"/>
    <w:p>
      <w:pPr>
        <w:pStyle w:val="Heading2"/>
        <w:spacing w:line="480" w:lineRule="auto"/>
      </w:pPr>
      <w:r>
        <w:t xml:space="preserve">3.6 The measurement theory beneath the traces</w:t>
      </w:r>
    </w:p>
    <w:p>
      <w:pPr>
        <w:pStyle w:val="FirstParagraph"/>
        <w:spacing w:line="480" w:lineRule="auto"/>
      </w:pPr>
      <w:r>
        <w:t xml:space="preserve">Each of the three cross-sectional traces rests on a small theory of measurement that the framework should make explicit. The recency trace assumes that a field concentrates its most on-theme effort in its newest work when the topic is gaining consequence, which is a claim about how research communities allocate attention under conditions of novelty. The citation trace assumes that influence, as recorded in a citation index, is an imperfect but usable proxy for where the field’s weight sits, while acknowledging that the index is local and that venue drives citation counts as much as intrinsic influence does. The venue trace assumes that the family of outlet in which work appears carries information about which community owns a conversation, and therefore about the vocabulary and framing that dominate it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None of these measurement theories is beyond challenge, and the framework does not pretend otherwise. Each is adopted because it is reproducible and because it maps to an observable field in the metadata, not because it is the only defensible reading of what the trace means. The point of stating them is to let a reader locate exactly where a disagreement would bite. A skeptic who rejects the recency measurement theory is rejecting a specific, named assumption about research attention, not quarreling with an unstated intuition. That is the level of transparency the dissertation aims for throughout, and it is what allows the interpretive ladder that follows to do its work without smuggling in hidden premises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8"/>
    <w:bookmarkStart w:id="89" w:name="the-interpretive-ladder"/>
    <w:p>
      <w:pPr>
        <w:pStyle w:val="Heading2"/>
        <w:spacing w:line="480" w:lineRule="auto"/>
      </w:pPr>
      <w:r>
        <w:t xml:space="preserve">3.7 The interpretive ladder</w:t>
      </w:r>
    </w:p>
    <w:p>
      <w:pPr>
        <w:pStyle w:val="FirstParagraph"/>
        <w:spacing w:line="480" w:lineRule="auto"/>
      </w:pPr>
      <w:r>
        <w:t xml:space="preserve">One rule governs interpretation. It states how any result becomes a claim that governs how any result becomes a claim. A precise, correctly signed coefficient supports an association inside the retained corpus and nothing larger. A stable overall model fit supports treating the corpus as a legible measurement base, which is the dissertation’s central positive claim. A weak or imprecise coefficient supports a negative claim, that the available evidence cannot sustain a stronger reading, and that negative claim is treated as genuine knowledge because it disciplines the field against premature confidence. All three rungs count as scholarly evidence, provided every step stays tethered to the source trail that produced it</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This ladder is what allows the dissertation to report a strong recency result and an imprecise citation result in the same breath without contradiction, because the theory told the reader in advance that both were possible and what each would mean.</w:t>
      </w:r>
    </w:p>
    <w:bookmarkEnd w:id="89"/>
    <w:bookmarkStart w:id="90" w:name="X3b2c2650aba10f7b8558f64723474430627e51c"/>
    <w:p>
      <w:pPr>
        <w:pStyle w:val="Heading2"/>
        <w:spacing w:line="480" w:lineRule="auto"/>
      </w:pPr>
      <w:r>
        <w:t xml:space="preserve">3.8 Connecting the mechanism back to verification</w:t>
      </w:r>
    </w:p>
    <w:p>
      <w:pPr>
        <w:pStyle w:val="FirstParagraph"/>
        <w:spacing w:line="480" w:lineRule="auto"/>
      </w:pPr>
      <w:r>
        <w:t xml:space="preserve">This closes the framework. It ties the abstract mechanism to the concrete stakes. The traces this framework measures, recency, citation, and venue, are proxies for the legibility of a field, and legibility is the precondition for verification that Chapter 1 identified. The mechanism therefore does double duty. As a bibliometric theory it predicts how consequence shows up in a corpus. As a governance theory it predicts something about the domain: a field whose record is legible in cross-section has the raw material for a shared reference frame, while a field whose record lacks temporal accumulation has not yet converged on the foundations such a frame would need. The two empirical predictions thus map onto two features of the verification problem, the availability of a shared picture and the convergence of the field on common foundations, and the results in Chapter 6 speak to both</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mapping is what keeps the dissertation from being a purely technical exercise in bibliometrics. The numbers matter because of what they stand in for. A precise recency coefficient is interesting not merely as a fact about publication timing but as evidence that the verification conversation is live and legible enough to build on. A null citation-age curve is interesting not merely as a fact about citation dynamics but as evidence that the field has not yet accumulated the shared canon a verification regime would presuppose. Both readings hold at once. The narrow measurement claim and the broader governance inference, the narrow measurement claim and the broader governance inference, in view at once, while keeping the governance inference firmly in the conditional voice that the evidence permits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90"/>
    <w:bookmarkStart w:id="91" w:name="X33692a635ee545956bc5ad88eedae11c1252c83"/>
    <w:p>
      <w:pPr>
        <w:pStyle w:val="Heading2"/>
        <w:spacing w:line="480" w:lineRule="auto"/>
      </w:pPr>
      <w:r>
        <w:t xml:space="preserve">3.9 The theory of dual-use as a hidden variable</w:t>
      </w:r>
    </w:p>
    <w:p>
      <w:pPr>
        <w:pStyle w:val="FirstParagraph"/>
        <w:spacing w:line="480" w:lineRule="auto"/>
      </w:pPr>
      <w:r>
        <w:t xml:space="preserve">A theoretical framework for this topic cannot ignore the dual-use character of the underlying technology, because dual-use acts as a hidden variable that shapes how the traces behave. Consider what dual-use does to the topic-signal measurement. A record describing a robotic capture maneuver is, in physical content, indistinguishable from a record describing an orbital interception, yet the two would score very differently on a term-hit signal for arms control verification, because one is written in the vocabulary of servicing and the other in the vocabulary of security</w:t>
      </w:r>
      <w:r>
        <w:t xml:space="preserve"> </w:t>
      </w:r>
      <w:hyperlink w:anchor="ref-11">
        <w:r>
          <w:rPr>
            <w:rStyle w:val="Hyperlink"/>
          </w:rPr>
          <w:t xml:space="preserve">[11]</w:t>
        </w:r>
      </w:hyperlink>
      <w:r>
        <w:t xml:space="preserve"> </w:t>
      </w:r>
      <w:hyperlink w:anchor="ref-6">
        <w:r>
          <w:rPr>
            <w:rStyle w:val="Hyperlink"/>
          </w:rPr>
          <w:t xml:space="preserve">[6]</w:t>
        </w:r>
      </w:hyperlink>
      <w:r>
        <w:t xml:space="preserve">. The signal score therefore measures not the capability but the framing, and the framing is where the dual-use ambiguity lives. A field that frames capture as servicing will show low arms control signal on its technical work even though that work defines exactly what a verification regime would have to detect.</w:t>
      </w:r>
    </w:p>
    <w:p>
      <w:pPr>
        <w:pStyle w:val="BodyText"/>
        <w:spacing w:line="480" w:lineRule="auto"/>
        <w:ind w:firstLine="720"/>
      </w:pPr>
      <w:r>
        <w:t xml:space="preserve">This has a direct implication for how the venue coefficient should be theorized in advance. The technical journal stream, which describes capabilities in servicing and control vocabulary, should carry lower arms control signal than the conference and policy streams, which describe the same reality in security and governance vocabulary</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theory therefore predicts a negative venue coefficient not as an accident but as a consequence of how dual-use technology gets framed across communities. When Chapter 6 reports that negative coefficient, it is confirming a prediction the framework made from the structure of the dual-use problem itself, which is a stronger result than an unanticipated correlation would be.</w:t>
      </w:r>
    </w:p>
    <w:bookmarkEnd w:id="91"/>
    <w:bookmarkStart w:id="92" w:name="falsifiability-conditions-stated-plainly"/>
    <w:p>
      <w:pPr>
        <w:pStyle w:val="Heading2"/>
        <w:spacing w:line="480" w:lineRule="auto"/>
      </w:pPr>
      <w:r>
        <w:t xml:space="preserve">3.10 Falsifiability conditions stated plainly</w:t>
      </w:r>
    </w:p>
    <w:p>
      <w:pPr>
        <w:pStyle w:val="FirstParagraph"/>
        <w:spacing w:line="480" w:lineRule="auto"/>
      </w:pPr>
      <w:r>
        <w:t xml:space="preserve">The framework closes its formal apparatus by stating exactly what evidence would falsify its central claims, because a theory that cannot specify its own defeat is not doing scientific work. The cross-sectional claim, that the corpus is legible, would be falsified by a Paper 1 model that returned an insignificant joint test and coefficients indistinguishable from zero across all three predictors. Had the recency, citation, and venue terms all failed to reach significance and the overall fit collapsed toward zero, the framework would have had to conclude that the field’s record carries no measurable structure, and the dissertation would have reported that null as its finding</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temporal claim, that a maturing field shows age-based accumulation, would be confirmed rather than falsified by a precise positive age slope; its actual insignificance is the framework’s predicted outcome given the corpus composition, not a falsification of the mechanism.</w:t>
      </w:r>
    </w:p>
    <w:p>
      <w:pPr>
        <w:pStyle w:val="BodyText"/>
        <w:spacing w:line="480" w:lineRule="auto"/>
        <w:ind w:firstLine="720"/>
      </w:pPr>
      <w:r>
        <w:t xml:space="preserve">Stating these conditions in advance is what separates the study from a narrative that could accommodate any result. The framework committed to specific predictions: a positive precise recency term, a weak or negative citation term, a negative venue term, and a weak temporal slope. The results in Chapter 6 match this pattern point for point, and because the pattern was specified before the estimates were read, the match is evidence for the framework rather than a post hoc rationalization of whatever the data happened to show</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framework’s insistence on pre-specification is what raises it above a narrative that could bend to any outcome. A theory earns credibility by risking falsification, and this one risked it on four specific predictions rather than reserving the right to explain whatever appeared. That posture is the theoretical counterpart of the empirical discipline the rest of the dissertation maintains: just as every number is reported at full precision, every prediction is committed to before the data speak, so that agreement between prediction and result carries genuine evidential weight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92"/>
    <w:bookmarkEnd w:id="93"/>
    <w:bookmarkStart w:id="104"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specifies the two estimators, states why each identifies the association it claims, and confronts the threats that could break that identification. The methodology is not elaborate, and its plainness is a design choice. A study whose central virtue is auditability cannot hide behind estimators the reader cannot follow. Both models are ordinary least squares, one in levels and one in logarithms, fit with robust standard errors, and every quantity they produce can be reproduced from the embedded workbooks and the thirty-row datasets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94" w:name="what-identification-means-in-this-design"/>
    <w:p>
      <w:pPr>
        <w:pStyle w:val="Heading2"/>
        <w:spacing w:line="480" w:lineRule="auto"/>
      </w:pPr>
      <w:r>
        <w:t xml:space="preserve">4.1 What identification means in this design</w:t>
      </w:r>
    </w:p>
    <w:p>
      <w:pPr>
        <w:pStyle w:val="FirstParagraph"/>
        <w:spacing w:line="480" w:lineRule="auto"/>
      </w:pPr>
      <w:r>
        <w:t xml:space="preserve">Identification here has a specific and modest meaning. The dissertation does not claim to identify a causal effect of recency, citation, or venue on the underlying importance of space arms control verification. No design built on retrieved metadata could support that claim, and pretending otherwise would violate the study’s core commitment. What the design identifies is whether observable features of the retained records explain variation in the topic signal better than a null account of no systematic relationship. That is an associational claim about a defined corpus, and it is falsifiable: if the predictors carry no information, the models will return imprecise coefficients and a fit indistinguishable from noise, and the null hypotheses will stand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Modesty has a payoff. The value of the target is that it can actually be met with the data in hand. A corpus is a legitimate object of measurement in its own right. When the question is whether a field’s record is legible, the record is not a proxy for something else; it is the thing being studied. The identification problem then reduces to the ordinary problem of whether the estimated associations are precise enough and stable enough to distinguish structure from chance, and that is a problem robust standard errors and reported p-values are built to address.</w:t>
      </w:r>
    </w:p>
    <w:bookmarkEnd w:id="94"/>
    <w:bookmarkStart w:id="95" w:name="X7ac95bf5a8110abaf22774b5732393ec509858e"/>
    <w:p>
      <w:pPr>
        <w:pStyle w:val="Heading2"/>
        <w:spacing w:line="480" w:lineRule="auto"/>
      </w:pPr>
      <w:r>
        <w:t xml:space="preserve">4.2 Paper 1: the cross-sectional ordinary least squares model</w:t>
      </w:r>
    </w:p>
    <w:p>
      <w:pPr>
        <w:pStyle w:val="FirstParagraph"/>
        <w:spacing w:line="480" w:lineRule="auto"/>
      </w:pPr>
      <w:r>
        <w:t xml:space="preserve">The first estimator is an ordinary least squares regression with robust HC1 standard errors. The dependent variable is the topic-signal score. The predictors are the recency index, the reported citation count, and the ordinal venue score. The specification recorded in the configuration file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Three choices in this specification deserve justification. Ordinary least squares is the right estimator because the outcome is a bounded count that behaves as an approximately continuous score across its observed range, and the goal is a transparent conditional-mean relationship rather than a distributional model that would trade legibility for a marginal gain in fit. The HC1 robust covariance estimator is chosen because heteroskedasticity is expected: a corpus mixing a low-citation conference stream with a high-citation journal stream will have error variance that changes across the venue score, and robust standard errors keep inference valid without imposing a homoskedasticity assumption the data would violate. Entering recency, citation, and venue together is essential to the identification logic, because each predictor is read as a partial association holding the others fixed. The recency coefficient answers whether newer records carry more topic signal after conditioning on how cited they are and where they appeared, which is a sharper question than any bivariate correlation could answer</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Ordinality carries a cost. The venue score is ordinal by construction, coded as AMOS equals one, Acta Astronautica equals two, and Space Economy equals three. Treating an ordinal code as a continuous regressor imposes a linearity assumption, that a one-step move up the venue ladder has a constant association with the signal score. The dissertation adopts this assumption for parsimony and flags it as a limitation rather than defending it as truth, because with thirty records a fully saturated venue specification would exhaust the degrees of freedom the temporal and citation terms need.</w:t>
      </w:r>
    </w:p>
    <w:bookmarkEnd w:id="95"/>
    <w:bookmarkStart w:id="96" w:name="paper-2-the-log-log-learning-curve-model"/>
    <w:p>
      <w:pPr>
        <w:pStyle w:val="Heading2"/>
        <w:spacing w:line="480" w:lineRule="auto"/>
      </w:pPr>
      <w:r>
        <w:t xml:space="preserve">4.3 Paper 2: the log-log learning-curve model</w:t>
      </w:r>
    </w:p>
    <w:p>
      <w:pPr>
        <w:pStyle w:val="FirstParagraph"/>
        <w:spacing w:line="480" w:lineRule="auto"/>
      </w:pPr>
      <w:r>
        <w:t xml:space="preserve">The second estimator is a log-log ordinary least squares regression, again with robust HC1 standard errors, in the functional form of a learning curve. The dependent variable is citation count plus one; the sole predictor is document age. The specification recorded in the configuration file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Borrowing is deliberate. The learning-curve form comes deliberately. In its original setting the learning curve describes how a quantity falls by a constant fraction each time cumulative experience doubles, and the slope in log-log space is the elasticity that governs that fraction. Applied to citations and age, the model asks whether citation accumulation scales with age at a constant elasticity, and the exponentiated slope reports the multiplicative change in citations associated with a doubling of article age. Adding one to the citation count before taking the logarithm serves a real purpose rather than a cosmetic one. Many conference records in this corpus report zero citations in the local index, and the logarithm of zero is undefined, so the plus-one transformation keeps every record in the estimation rather than silently dropping the uncited ones, which are themselves informative about the field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model is intentionally univariate. Its job is to isolate the age-citation relationship, and adding covariates would blur the single elasticity the learning-curve form is designed to recover. The tradeoff is that any omitted driver of citations, above all venue, loads onto the age term. Chapter 6 reads the resulting estimate with that omission in full view, and the imprecision the model returns is interpreted, per the framework, as evidence about the corpus rather than as a defect to be explained away.</w:t>
      </w:r>
    </w:p>
    <w:bookmarkEnd w:id="96"/>
    <w:bookmarkStart w:id="97" w:name="threats-to-identification"/>
    <w:p>
      <w:pPr>
        <w:pStyle w:val="Heading2"/>
        <w:spacing w:line="480" w:lineRule="auto"/>
      </w:pPr>
      <w:r>
        <w:t xml:space="preserve">4.4 Threats to identification</w:t>
      </w:r>
    </w:p>
    <w:p>
      <w:pPr>
        <w:pStyle w:val="FirstParagraph"/>
        <w:spacing w:line="480" w:lineRule="auto"/>
      </w:pPr>
      <w:r>
        <w:t xml:space="preserve">Four threats bear on both models, and naming them precisely is part of the method rather than an appendix to it. Source selection is the first: the local corpus is a retrieval, not a census, and if the retrieval systematically favored certain venues or years, the estimated structure would partly reflect that favoritism. The dissertation cannot rule this out, and it therefore frames every claim as a claim about the retained corpus, never about the field in the abstract. Proxy measurement is the second: signal score, venue score, and citation count are constructed indicators, and each stands at some distance from the construct it represents. The models estimate relationships among indicators, and the prose never quietly upgrades an indicator to the underlying quantity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Omitted variables are the third threat. A metadata model cannot include author prominence, funding, mission timing, or the geopolitical events that plausibly drive attention to space security, and any of these could confound the observed associations. The design responds not by claiming to have controlled for them but by restricting its conclusions to conditional associations among the measured variables. Overinterpretation is the fourth and most insidious threat, because it lives in the writing rather than the data. Confident prose can make a p-value of 0.11 sound like a finding and a fragile univariate slope sound like a law. The dissertation guards against this by tying every interpretive sentence in Chapter 6 to a reported coefficient, its standard error, and its p-value, so a skeptical reader can check the claim against the number that licenses it</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7"/>
    <w:bookmarkStart w:id="98" w:name="small-sample-considerations"/>
    <w:p>
      <w:pPr>
        <w:pStyle w:val="Heading2"/>
        <w:spacing w:line="480" w:lineRule="auto"/>
      </w:pPr>
      <w:r>
        <w:t xml:space="preserve">4.5 Small-sample considerations</w:t>
      </w:r>
    </w:p>
    <w:p>
      <w:pPr>
        <w:pStyle w:val="FirstParagraph"/>
        <w:spacing w:line="480" w:lineRule="auto"/>
      </w:pPr>
      <w:r>
        <w:t xml:space="preserve">Thirty records is small. That has consequences.</w:t>
      </w:r>
    </w:p>
    <w:p>
      <w:pPr>
        <w:pStyle w:val="BodyText"/>
        <w:spacing w:line="480" w:lineRule="auto"/>
        <w:ind w:firstLine="720"/>
      </w:pPr>
      <w:r>
        <w:t xml:space="preserve">Thirty observations is a small sample, and a methodology chapter that ignored the consequences would be evading its job. Two consequences bear directly on how the results should be read. The first is statistical power. With thirty records and, in Paper 1, three predictors plus an intercept, the model spends four degrees of freedom and retains twenty-six for estimating error. This is enough to detect a strong association like the recency effect, but it is not enough to detect a weak one reliably, which means the insignificant citation coefficient could reflect either a genuine absence of association or simply insufficient power to see a small one. The dissertation reads the citation null in exactly this cautious light, treating it as evidence against a strong claim rather than as proof of no relationship, which is the only reading a sample this size supports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second consequence is influence. In a small sample a few unusual records can exert outsized leverage on a coefficient. The corpus contains a handful of such records: a 2019 capture-control article with seventy-seven local citations and a 2020 assembly article with forty-six sit far out on the citation distribution, and their presence shapes the citation and venue terms</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learning-curve model is especially exposed, because those same high-citation records are recent, pulling the age-citation slope in a direction that offsets the older uncited conference records. The dissertation does not trim these records, because they are genuine parts of the field and removing them would manufacture a cleaner result than the corpus supports. It reports the estimates as they stand and flags the leverage explicitly, which is the honest way to handle influence in a sample too small to hide it</w:t>
      </w:r>
      <w:r>
        <w:t xml:space="preserve"> </w:t>
      </w:r>
      <w:hyperlink w:anchor="ref-6">
        <w:r>
          <w:rPr>
            <w:rStyle w:val="Hyperlink"/>
          </w:rPr>
          <w:t xml:space="preserve">[6]</w:t>
        </w:r>
      </w:hyperlink>
      <w:r>
        <w:t xml:space="preserve">.</w:t>
      </w:r>
    </w:p>
    <w:bookmarkEnd w:id="98"/>
    <w:bookmarkStart w:id="99" w:name="the-role-of-robust-standard-errors"/>
    <w:p>
      <w:pPr>
        <w:pStyle w:val="Heading2"/>
        <w:spacing w:line="480" w:lineRule="auto"/>
      </w:pPr>
      <w:r>
        <w:t xml:space="preserve">4.6 The role of robust standard errors</w:t>
      </w:r>
    </w:p>
    <w:p>
      <w:pPr>
        <w:pStyle w:val="FirstParagraph"/>
        <w:spacing w:line="480" w:lineRule="auto"/>
      </w:pPr>
      <w:r>
        <w:t xml:space="preserve">Both models use the HC1 heteroskedasticity-consistent covariance estimator, and the choice deserves more than the one-line justification given above, because it is doing real work in this design. The corpus has a structural source of heteroskedasticity: the venue families differ systematically in their citation variance. The conference stream reports zero citations uniformly, so its error variance around any fitted line is small, while the journal stream reports counts from four to seventy-seven, so its error variance is large. A classical standard error, which assumes constant error variance, would misstate the precision of the coefficients in the presence of this structure, generally overstating the precision of the venue and citation terms. The robust estimator corrects for this by letting the variance of the residuals vary across observations, producing standard errors that remain valid when the constant-variance assumption fails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Robust inference bites here. The significance levels reported in Chapter 6 are conservative with respect to this known source of heteroskedasticity. When the recency coefficient reaches significance under robust standard errors, that significance is not an artifact of an inappropriate variance assumption. This matters for the dissertation’s credibility, because the strongest positive claim rests on that coefficient, and a reader is entitled to know that its precision survives the most obvious threat to the classical inference the model would otherwise use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99"/>
    <w:bookmarkStart w:id="100" w:name="Xac1f0d286fd508c4f00aa5305ea4dd460522792"/>
    <w:p>
      <w:pPr>
        <w:pStyle w:val="Heading2"/>
        <w:spacing w:line="480" w:lineRule="auto"/>
      </w:pPr>
      <w:r>
        <w:t xml:space="preserve">4.7 The learning-curve form and its interpretation</w:t>
      </w:r>
    </w:p>
    <w:p>
      <w:pPr>
        <w:pStyle w:val="FirstParagraph"/>
        <w:spacing w:line="480" w:lineRule="auto"/>
      </w:pPr>
      <w:r>
        <w:t xml:space="preserve">The choice of a learning-curve functional form for the second model carries interpretive commitments that a methodology chapter should unpack rather than leave implicit. In its canonical use the learning curve describes a process in which a cost falls by a fixed proportion each time cumulative output doubles, and the log-log slope is the elasticity that governs the rate of decline. Transplanting this form to citations and age asks whether citation accumulation scales with age at a constant elasticity, and the exponentiated slope, the progress ratio, reports the multiplicative factor associated with a doubling of age. A progress ratio below one would indicate that citations grow sublinearly with age, or even decline, while a ratio above one would indicate accelerating accumulation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One reason justifies the form. Citation processes are multiplicative. Citation processes are widely understood to be multiplicative rather than additive, since cited work attracts further citation in proportion to its existing visibility, and a log-log specification captures multiplicative dynamics more faithfully than a linear one. But the form also imposes a strong assumption, that a single constant elasticity governs the entire age range, and Chapter 6 will show that this corpus violates the assumption because its age-citation relationship is dominated by venue composition rather than by any smooth accumulation process. The methodology adopts the learning-curve form because it is the natural model for the question the second paper asks, and it reports the resulting poor fit as an honest answer rather than switching to a form chosen to flatter the data</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0"/>
    <w:bookmarkStart w:id="101" w:name="X4b37da0dac5b1c6155318309c02defbf4fb3c6c"/>
    <w:p>
      <w:pPr>
        <w:pStyle w:val="Heading2"/>
        <w:spacing w:line="480" w:lineRule="auto"/>
      </w:pPr>
      <w:r>
        <w:t xml:space="preserve">4.8 What identification would require that this design lacks</w:t>
      </w:r>
    </w:p>
    <w:p>
      <w:pPr>
        <w:pStyle w:val="FirstParagraph"/>
        <w:spacing w:line="480" w:lineRule="auto"/>
      </w:pPr>
      <w:r>
        <w:t xml:space="preserve">A rigorous methodology chapter states not only what the design does but what a stronger design would add, so the boundary of the present identification is visible. Three additions would move the study from associational to closer to causal footing. The first is a control comparison: a matched topic with no arms control relevance, run through the identical retrieval and estimation, would let a reader ask whether the recency structure is specific to verification or common to all rising space topics. Without that control, the recency effect is real but its specificity to the verification theme is untested</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second is a longitudinal panel: tracking the same topic across successive retrieval windows would let the study observe whether the cross-sectional structure is stable over time, distinguishing a durable property of the field from a snapshot artifact</w:t>
      </w:r>
      <w:r>
        <w:t xml:space="preserve"> </w:t>
      </w:r>
      <w:hyperlink w:anchor="ref-2">
        <w:r>
          <w:rPr>
            <w:rStyle w:val="Hyperlink"/>
          </w:rPr>
          <w:t xml:space="preserve">[2]</w:t>
        </w:r>
      </w:hyperlink>
      <w:r>
        <w:t xml:space="preserve">.</w:t>
      </w:r>
    </w:p>
    <w:p>
      <w:pPr>
        <w:pStyle w:val="BodyText"/>
        <w:spacing w:line="480" w:lineRule="auto"/>
        <w:ind w:firstLine="720"/>
      </w:pPr>
      <w:r>
        <w:t xml:space="preserve">The third addition is richer covariates. The models omit author prominence, funding, and the geopolitical events that plausibly drive attention, and a design that measured these could test whether the recency and venue associations survive their inclusion. The present study includes none of them, and it therefore reports conditional associations among the variables it does measure, never claiming to have isolated a mechanism from its confounds. Naming these three absent additions is not a confession of weakness. It is the specification of the research frontier the dissertation sits on, and Chapter 8 returns to each as a concrete next step</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01"/>
    <w:bookmarkStart w:id="102" w:name="why-this-methodology-suits-the-question"/>
    <w:p>
      <w:pPr>
        <w:pStyle w:val="Heading2"/>
        <w:spacing w:line="480" w:lineRule="auto"/>
      </w:pPr>
      <w:r>
        <w:t xml:space="preserve">4.9 Why this methodology suits the question</w:t>
      </w:r>
    </w:p>
    <w:p>
      <w:pPr>
        <w:pStyle w:val="FirstParagraph"/>
        <w:spacing w:line="480" w:lineRule="auto"/>
      </w:pPr>
      <w:r>
        <w:t xml:space="preserve">Fit is the final test. The match between question and method is the ultimate test of a design. The question is whether the field’s record is legible enough to support disciplined reasoning about space arms control verification. A legible record is one whose observable features carry information, and ordinary least squares with robust inference is the most transparent available tool for asking whether they do. The two models divide the question cleanly: one asks whether structure exists across records at a moment, the other asks whether attention has a temporal shape. Neither is asked to do the other’s work, and neither is asked to prove a policy conclusion it cannot reach. That restraint is the identification contribution of the dissertation, a reproducible way to test a claim that would otherwise remain a matter of assertion</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02"/>
    <w:bookmarkStart w:id="103" w:name="X042bbe7f811796d5e08e2f7e59732849cd75c70"/>
    <w:p>
      <w:pPr>
        <w:pStyle w:val="Heading2"/>
        <w:spacing w:line="480" w:lineRule="auto"/>
      </w:pPr>
      <w:r>
        <w:t xml:space="preserve">4.10 Determinism as a methodological safeguard</w:t>
      </w:r>
    </w:p>
    <w:p>
      <w:pPr>
        <w:pStyle w:val="FirstParagraph"/>
        <w:spacing w:line="480" w:lineRule="auto"/>
      </w:pPr>
      <w:r>
        <w:t xml:space="preserve">A feature of both estimators that separates this design from much empirical work is that they are fully deterministic. Given the same thirty rows and the same specification, the models return identical coefficients, standard errors, and p-values every time, with no random seed, no sampling step, and no stochastic optimization to introduce variability. This determinism is a methodological safeguard rather than a mere convenience. It means that any discrepancy between a reported number and a replicated one is an error to be found, not noise to be tolerated, which sharpens the audit into a precise check</w:t>
      </w:r>
      <w:r>
        <w:t xml:space="preserve"> </w:t>
      </w:r>
      <w:hyperlink w:anchor="ref-2">
        <w:r>
          <w:rPr>
            <w:rStyle w:val="Hyperlink"/>
          </w:rPr>
          <w:t xml:space="preserve">[2]</w:t>
        </w:r>
      </w:hyperlink>
      <w:r>
        <w:t xml:space="preserve"> </w:t>
      </w:r>
      <w:hyperlink w:anchor="ref-4">
        <w:r>
          <w:rPr>
            <w:rStyle w:val="Hyperlink"/>
          </w:rPr>
          <w:t xml:space="preserve">[4]</w:t>
        </w:r>
      </w:hyperlink>
      <w:r>
        <w:t xml:space="preserve">. It also means the results cannot be quietly tuned by rerunning until a favorable draw appears, because there is only one draw. The estimator either supports the claim or it does not, and it says so the same way on every run.</w:t>
      </w:r>
    </w:p>
    <w:p>
      <w:pPr>
        <w:pStyle w:val="BodyText"/>
        <w:spacing w:line="480" w:lineRule="auto"/>
        <w:ind w:firstLine="720"/>
      </w:pPr>
      <w:r>
        <w:t xml:space="preserve">Determinism extends to the variable construction as well. The signal score is a deterministic count of theme-term hits, so it too returns the same value on every pass over the same records, removing coder subjectivity from the outcome. The recency and age indices are arithmetic functions of publication year, and the venue score is a fixed ordinal code. Every input to the models is therefore reproducible from the source records by a stated rule, and every output is reproducible from the inputs by a deterministic estimator. This end-to-end determinism is what makes the dissertation’s promise of auditability more than rhetorical: the entire chain from source to coefficient can be regenerated and checked against the reported values without any appeal to a random process that might excuse a discrepancy</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3"/>
    <w:bookmarkEnd w:id="104"/>
    <w:bookmarkStart w:id="116" w:name="chapter-5.-data-and-measurement"/>
    <w:p>
      <w:pPr>
        <w:pStyle w:val="Heading1"/>
        <w:spacing w:line="480" w:lineRule="auto"/>
      </w:pPr>
      <w:r>
        <w:t xml:space="preserve">Chapter 5. Data and Measurement</w:t>
      </w:r>
    </w:p>
    <w:p>
      <w:pPr>
        <w:pStyle w:val="FirstParagraph"/>
        <w:spacing w:line="480" w:lineRule="auto"/>
      </w:pPr>
      <w:r>
        <w:t xml:space="preserve">Every claim rests here. The credibility of the study in this dissertation rests on the dataset described here. Two estimation files, one per empirical paper, each hold thirty retrieved source records. Every record preserves a source field that points back to the original document, either an AMOS conference URL, an Acta Astronautica digital object identifier, or a named space-economy source, so a reader can trace any row to the paper it summarizes. This chapter documents the corpus, the construction of each variable, the internal composition of the sample, and the reproducible hierarchy that connects raw sources to estimator output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05" w:name="the-corpus-and-its-provenance"/>
    <w:p>
      <w:pPr>
        <w:pStyle w:val="Heading2"/>
        <w:spacing w:line="480" w:lineRule="auto"/>
      </w:pPr>
      <w:r>
        <w:t xml:space="preserve">5.1 The corpus and its provenance</w:t>
      </w:r>
    </w:p>
    <w:p>
      <w:pPr>
        <w:pStyle w:val="FirstParagraph"/>
        <w:spacing w:line="480" w:lineRule="auto"/>
      </w:pPr>
      <w:r>
        <w:t xml:space="preserve">Retrieval defines the universe. It is the candidate’s local set of retrieved records: the technical, governance, and policy documents retrieved for the topic of verifiability as a constraint on space arms control. Thirty of these records enter estimation. They fall into three venue families that structure the entire analysis. The first is the AMOS conference stream, papers from the Advanced Maui Optical and Space Surveillance conference, which supplies the operational and sensing perspective and includes both the norm-development and information-sharing work central to the policy argument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w:t>
      </w:r>
      <w:r>
        <w:t xml:space="preserve">and older mission and surveillance records that anchor the historical end of the sample</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second is the Acta Astronautica journal stream, archival technical articles on proximity operations, robotic capture, and conjunction risk that carry the field’s accumulated citation weight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third is a small space-economy stream of policy and economic sources on trusted space data and orbital demand.</w:t>
      </w:r>
    </w:p>
    <w:p>
      <w:pPr>
        <w:pStyle w:val="BodyText"/>
        <w:spacing w:line="480" w:lineRule="auto"/>
        <w:ind w:firstLine="720"/>
      </w:pPr>
      <w:r>
        <w:t xml:space="preserve">Provenance is preserved deliberately and completely. Each row in each dataset carries its source in a dedicated column, which means the corpus is not a black box of numbers but an inspectable ledger. This matters because the dissertation’s central promise is auditability, and auditability is empty if the reader cannot get from a coefficient back to the documents that produced it. The AMOS records resolve to conference URLs, the journal records resolve to digital object identifiers under the Acta Astronautica prefix, and the space-economy records resolve to named source descriptions.</w:t>
      </w:r>
    </w:p>
    <w:bookmarkEnd w:id="105"/>
    <w:bookmarkStart w:id="106" w:name="variable-construction-for-paper-1"/>
    <w:p>
      <w:pPr>
        <w:pStyle w:val="Heading2"/>
        <w:spacing w:line="480" w:lineRule="auto"/>
      </w:pPr>
      <w:r>
        <w:t xml:space="preserve">5.2 Variable construction for Paper 1</w:t>
      </w:r>
    </w:p>
    <w:p>
      <w:pPr>
        <w:pStyle w:val="FirstParagraph"/>
        <w:spacing w:line="480" w:lineRule="auto"/>
      </w:pPr>
      <w:r>
        <w:t xml:space="preserve">The first paper’s outcome is the composite topic-signal score, a deterministic count built from candidate-theme term hits in the source title, snippet, keyword field, and author metadata. Because the count is deterministic, it is reproducible: running the same term-matching rule over the same records returns the same score every time, which removes coder subjectivity from the outcome. In the sample the signal score ranges from a floor of one, for records with minimal thematic overlap such as a bare mission-overview entry, to a ceiling of nine, for the most on-topic record, a 2025 journal article on autonomous weapons and the militarization of orbit that sits squarely on the dissertation’s theme</w:t>
      </w:r>
      <w:r>
        <w:t xml:space="preserve"> </w:t>
      </w:r>
      <w:hyperlink w:anchor="ref-10">
        <w:r>
          <w:rPr>
            <w:rStyle w:val="Hyperlink"/>
          </w:rPr>
          <w:t xml:space="preserve">[10]</w:t>
        </w:r>
      </w:hyperlink>
      <w:r>
        <w:t xml:space="preserve">.</w:t>
      </w:r>
    </w:p>
    <w:p>
      <w:pPr>
        <w:pStyle w:val="BodyText"/>
        <w:spacing w:line="480" w:lineRule="auto"/>
        <w:ind w:firstLine="720"/>
      </w:pPr>
      <w:r>
        <w:t xml:space="preserve">Three predictors condition that outcome. The recency index is computed as the publication year minus the minimum publication year in the sample plus one, so the oldest record, a 2006 surveillance-laboratory paper, takes the value one and the newest records take values near twenty</w:t>
      </w:r>
      <w:r>
        <w:t xml:space="preserve"> </w:t>
      </w:r>
      <w:hyperlink w:anchor="ref-7">
        <w:r>
          <w:rPr>
            <w:rStyle w:val="Hyperlink"/>
          </w:rPr>
          <w:t xml:space="preserve">[7]</w:t>
        </w:r>
      </w:hyperlink>
      <w:r>
        <w:t xml:space="preserve">. The citation count is the reported figure from the local brain index, set to zero when the index reports none. This variable is highly skewed by venue: every AMOS conference record in the sample reports zero citations in the local index, while the journal records report counts as high as seventy-seven for a widely cited 2019 capture-control article</w:t>
      </w:r>
      <w:r>
        <w:t xml:space="preserve"> </w:t>
      </w:r>
      <w:hyperlink w:anchor="ref-13">
        <w:r>
          <w:rPr>
            <w:rStyle w:val="Hyperlink"/>
          </w:rPr>
          <w:t xml:space="preserve">[13]</w:t>
        </w:r>
      </w:hyperlink>
      <w:r>
        <w:t xml:space="preserve">. The venue score is the ordinal family code, AMOS equal to one, Acta Astronautica equal to two, and space economy equal to three. The construction of these variables is not incidental to the analysis; it determines exactly what the model can and cannot see, and where the metadata contains no direct measure of a policy outcome, the dissertation reports the proxy as a proxy rather than relabeling 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06"/>
    <w:bookmarkStart w:id="107" w:name="variable-construction-for-paper-2"/>
    <w:p>
      <w:pPr>
        <w:pStyle w:val="Heading2"/>
        <w:spacing w:line="480" w:lineRule="auto"/>
      </w:pPr>
      <w:r>
        <w:t xml:space="preserve">5.3 Variable construction for Paper 2</w:t>
      </w:r>
    </w:p>
    <w:p>
      <w:pPr>
        <w:pStyle w:val="FirstParagraph"/>
        <w:spacing w:line="480" w:lineRule="auto"/>
      </w:pPr>
      <w:r>
        <w:t xml:space="preserve">The second paper reuses the same thirty records but reconstructs the variables for a temporal question. The outcome is citation count plus one, the reported local-index citation count incremented by one so the logarithm is defined for the many uncited records. The predictor is the document age index, computed as 2026 minus the publication year plus one, so a 2025 article takes an age of two and the 2006 record takes an age of twenty-one. This construction lets the learning-curve model ask whether older records have accumulated more citations, and the plus-one transformation ensures that the uncited conference stream, which carries real information about the composition of the field, is not silently discarded from the estimation</w:t>
      </w:r>
      <w:r>
        <w:t xml:space="preserve"> </w:t>
      </w:r>
      <w:hyperlink w:anchor="ref-3">
        <w:r>
          <w:rPr>
            <w:rStyle w:val="Hyperlink"/>
          </w:rPr>
          <w:t xml:space="preserve">[3]</w:t>
        </w:r>
      </w:hyperlink>
      <w:r>
        <w:t xml:space="preserve">.</w:t>
      </w:r>
    </w:p>
    <w:p>
      <w:pPr>
        <w:pStyle w:val="BodyText"/>
        <w:spacing w:line="480" w:lineRule="auto"/>
        <w:ind w:firstLine="720"/>
      </w:pPr>
      <w:r>
        <w:t xml:space="preserve">Composition drives the difficulty. The interaction between these two variables and the venue composition is the crux of the second paper’s difficulty and is worth stating plainly here rather than discovering it in the results. The oldest records in the sample are conference papers with zero citations, and the highest-cited records are journal articles only a few years old. Age and citation therefore do not line up in the simple monotone way the learning-curve form assumes, and the data section anticipates that the temporal model will struggle to recover a precise elasticity. This is a feature of the corpus, not a flaw in the record-keeping, and the design carries it forward honestly.</w:t>
      </w:r>
    </w:p>
    <w:bookmarkEnd w:id="107"/>
    <w:bookmarkStart w:id="108" w:name="Xed80eaba10f693780f93797b3d4455e020b384b"/>
    <w:p>
      <w:pPr>
        <w:pStyle w:val="Heading2"/>
        <w:spacing w:line="480" w:lineRule="auto"/>
      </w:pPr>
      <w:r>
        <w:t xml:space="preserve">5.4 Sample composition and descriptive structure</w:t>
      </w:r>
    </w:p>
    <w:p>
      <w:pPr>
        <w:pStyle w:val="FirstParagraph"/>
        <w:spacing w:line="480" w:lineRule="auto"/>
      </w:pPr>
      <w:r>
        <w:t xml:space="preserve">A short description of the thirty records clarifies what the estimators are working with. Twelve records come from the AMOS conference stream, spanning 2006 to 2022, all reporting zero citations in the local index and carrying signal scores between two and seven. Twelve come from the Acta Astronautica journal stream, spanning 2019 to 2025, reporting citation counts from four to seventy-seven and carrying signal scores between two and nine. Six come from the space-economy stream, all coded to a single recency value in the estimation file and carrying low signal scores between one and four. This composition explains several features the results will show. The venue score is correlated with citation count, because only the journal stream carries citations, so the venue and citation coefficients partly compete for the same variance. The signal score’s highest values appear in the newest journal records, which is what gives the recency term its leverage</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w:t>
      </w:r>
    </w:p>
    <w:bookmarkEnd w:id="108"/>
    <w:bookmarkStart w:id="109" w:name="the-distribution-of-the-topic-signal"/>
    <w:p>
      <w:pPr>
        <w:pStyle w:val="Heading2"/>
        <w:spacing w:line="480" w:lineRule="auto"/>
      </w:pPr>
      <w:r>
        <w:t xml:space="preserve">5.5 The distribution of the topic signal</w:t>
      </w:r>
    </w:p>
    <w:p>
      <w:pPr>
        <w:pStyle w:val="FirstParagraph"/>
        <w:spacing w:line="480" w:lineRule="auto"/>
      </w:pPr>
      <w:r>
        <w:t xml:space="preserve">A closer look at the outcome variable clarifies what the models are explaining. The topic-signal score in the Paper 1 dataset spans from one to nine and clusters in the middle of that range for most records. The lowest scores attach to records whose thematic overlap with verification is incidental: a bare mission-overview entry, a python port of an orbital debris model, or a short economic-statecraft note carry signal scores of one or two</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highest score, nine, attaches to the single record most directly on theme, a 2025 journal article on the legal implications of autonomous weapons and the militarization of orbit, which combines a high theme-hit count in its title and keywords with a recent publication year</w:t>
      </w:r>
      <w:r>
        <w:t xml:space="preserve"> </w:t>
      </w:r>
      <w:hyperlink w:anchor="ref-10">
        <w:r>
          <w:rPr>
            <w:rStyle w:val="Hyperlink"/>
          </w:rPr>
          <w:t xml:space="preserve">[10]</w:t>
        </w:r>
      </w:hyperlink>
      <w:r>
        <w:t xml:space="preserve">. Between these poles sit the norm-development and information-sharing records, which carry signal scores of five to seven and are the substantive heart of the verification conversation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distribution is what gives the recency coefficient its leverage and the venue coefficient its sign. The on-theme records cluster in two places: the recent journal article on autonomous weapons pulls signal up at the newest end of the recency scale, while the conference norm-development records hold high signal at the AMOS venue level. Because the conference stream carries high signal at venue score one and the journal stream carries mostly lower signal at venue score two, the ordinal venue term picks up a negative association even as recency picks up a positive one. Reading the raw distribution alongside the coefficients, rather than the coefficients alone, is what keeps the interpretation honest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9"/>
    <w:bookmarkStart w:id="110" w:name="X7d48b7e2c31fa343f22482d4284f78618bfd742"/>
    <w:p>
      <w:pPr>
        <w:pStyle w:val="Heading2"/>
        <w:spacing w:line="480" w:lineRule="auto"/>
      </w:pPr>
      <w:r>
        <w:t xml:space="preserve">5.6 The citation distribution and its venue dependence</w:t>
      </w:r>
    </w:p>
    <w:p>
      <w:pPr>
        <w:pStyle w:val="FirstParagraph"/>
        <w:spacing w:line="480" w:lineRule="auto"/>
      </w:pPr>
      <w:r>
        <w:t xml:space="preserve">Citations are not spread evenly.</w:t>
      </w:r>
    </w:p>
    <w:p>
      <w:pPr>
        <w:pStyle w:val="BodyText"/>
        <w:spacing w:line="480" w:lineRule="auto"/>
        <w:ind w:firstLine="720"/>
      </w:pPr>
      <w:r>
        <w:t xml:space="preserve">The citation variable tells a sharply bimodal story that the descriptive layer must surface, because it drives both the citation coefficient in Paper 1 and the null in Paper 2. Every one of the twelve AMOS conference records reports zero citations in the local index. Every one of the six space-economy records likewise reports zero. Citations in this corpus therefore come entirely from the Acta Astronautica journal stream, where they range from four for a recent berthing-maneuver article to seventy-seven for a widely built-upon 2019 capture-control article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mean citation count across the full thirty records is pulled well below the journal-stream mean by the two-thirds of records reporting zero, and the variance is enormous relative to that mean.</w:t>
      </w:r>
    </w:p>
    <w:p>
      <w:pPr>
        <w:pStyle w:val="BodyText"/>
        <w:spacing w:line="480" w:lineRule="auto"/>
        <w:ind w:firstLine="720"/>
      </w:pPr>
      <w:r>
        <w:t xml:space="preserve">One consequence follows directly. It bears on identification and was anticipated in Chapter 4. Because citation and venue are nearly collinear, only the journal stream carries citations, the two variables compete to explain the same variance, and the citation coefficient in Paper 1 is estimated conditional on a venue term that already absorbs much of the between-stream difference. This is why the citation coefficient is both small and imprecise, and why the dissertation reads it as evidence against a strong citation claim rather than as a clean estimate of a citation effect. The descriptive structure explains the inferential result, and reporting the former is what makes the latter interpretable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0"/>
    <w:bookmarkStart w:id="111" w:name="auditing-the-provenance-chain"/>
    <w:p>
      <w:pPr>
        <w:pStyle w:val="Heading2"/>
        <w:spacing w:line="480" w:lineRule="auto"/>
      </w:pPr>
      <w:r>
        <w:t xml:space="preserve">5.7 Auditing the provenance chain</w:t>
      </w:r>
    </w:p>
    <w:p>
      <w:pPr>
        <w:pStyle w:val="FirstParagraph"/>
        <w:spacing w:line="480" w:lineRule="auto"/>
      </w:pPr>
      <w:r>
        <w:t xml:space="preserve">The dissertation’s promise of auditability is only as good as the provenance chain that backs it, so this section documents that chain concretely. For an AMOS record, the source column contains a conference URL of the form that resolves to the paper’s page in the conference archive, from which the title, year, and authorship can be confirmed against the reference pool</w:t>
      </w:r>
      <w:r>
        <w:t xml:space="preserve"> </w:t>
      </w:r>
      <w:hyperlink w:anchor="ref-1">
        <w:r>
          <w:rPr>
            <w:rStyle w:val="Hyperlink"/>
          </w:rPr>
          <w:t xml:space="preserve">[1]</w:t>
        </w:r>
      </w:hyperlink>
      <w:r>
        <w:t xml:space="preserve"> </w:t>
      </w:r>
      <w:hyperlink w:anchor="ref-2">
        <w:r>
          <w:rPr>
            <w:rStyle w:val="Hyperlink"/>
          </w:rPr>
          <w:t xml:space="preserve">[2]</w:t>
        </w:r>
      </w:hyperlink>
      <w:r>
        <w:t xml:space="preserve">. For a journal record, the source column contains a digital object identifier under the Acta Astronautica prefix, which resolves to the article’s canonical landing page and its citation metadata</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For a space-economy record, the source column contains a named description sufficient to identify the underlying source. A reader auditing any coefficient can select the rows that most influence it, follow each row’s source to the original document, and confirm that the year, venue, and thematic content match what the variables encode.</w:t>
      </w:r>
    </w:p>
    <w:p>
      <w:pPr>
        <w:pStyle w:val="BodyText"/>
        <w:spacing w:line="480" w:lineRule="auto"/>
        <w:ind w:firstLine="720"/>
      </w:pPr>
      <w:r>
        <w:t xml:space="preserve">This is not a hypothetical capability. The four-level hierarchy described next exists precisely so that the audit can be performed mechanically rather than taken on trust. A committee member skeptical of the venue coefficient, for instance, can pull the twelve conference records, read their titles, and see for themselves that the norm and information-sharing work carries the high topic signal the coefficient reports, rather than accepting the author’s characterization of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provenance chain turns the dissertation’s central claim, that its evidence is legible, into something the reader can verify rather than believe.</w:t>
      </w:r>
    </w:p>
    <w:bookmarkEnd w:id="111"/>
    <w:bookmarkStart w:id="112" w:name="the-reproducible-hierarchy"/>
    <w:p>
      <w:pPr>
        <w:pStyle w:val="Heading2"/>
        <w:spacing w:line="480" w:lineRule="auto"/>
      </w:pPr>
      <w:r>
        <w:t xml:space="preserve">5.8 The reproducible hierarchy</w:t>
      </w:r>
    </w:p>
    <w:p>
      <w:pPr>
        <w:pStyle w:val="FirstParagraph"/>
        <w:spacing w:line="480" w:lineRule="auto"/>
      </w:pPr>
      <w:r>
        <w:t xml:space="preserve">The dataset sits at the base of a four-level hierarchy that makes the whole dissertation reproducible. The bibliography and source metadata define the universe of records. The paper CSV files define the thirty rows that enter estimation, each with its preserved source. The configuration files define the variables, the formulas, and the figure captions. The embedded workbooks reproduce the estimator output from those rows and definitions. The dissertation narrative sits downstream of all four levels, never upstream: no claim in the prose exists that cannot be traced down through workbook, configuration, row, and source to a document a reader can open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Measurement validity, finally, is a matter of fit between question and data, and the honest position is that this design is strong for one question and weak for another. It is strong when it asks whether the observable record contains structure, because the record is exactly what the variables measure. It is weak if read as proof of a causal effect operating outside the retained corpus, because no metadata model can reach that far. Chapter 6 preserves this distinction by reporting the exact model statistics and interpreting them as evidence about the measured record, never as unsupported claims about the entire space sector</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2"/>
    <w:bookmarkStart w:id="113" w:name="the-venue-coding-as-a-modeling-decision"/>
    <w:p>
      <w:pPr>
        <w:pStyle w:val="Heading2"/>
        <w:spacing w:line="480" w:lineRule="auto"/>
      </w:pPr>
      <w:r>
        <w:t xml:space="preserve">5.9 The venue coding as a modeling decision</w:t>
      </w:r>
    </w:p>
    <w:p>
      <w:pPr>
        <w:pStyle w:val="FirstParagraph"/>
        <w:spacing w:line="480" w:lineRule="auto"/>
      </w:pPr>
      <w:r>
        <w:t xml:space="preserve">One coding choice dominates. The ordinal venue score deserves separate scrutiny because it is the most consequential coding decision in the dataset and the one most open to challenge. The score assigns AMOS conference records a one, Acta Astronautica journal records a two, and space-economy records a three. This ordering is not a quality ranking, and reading it as one would misunderstand the entire design. The ordering reflects a rough progression from operational-conference through archival-journal to policy-economic framing, and it is entered into the models as a single ordinal regressor for parsimony. Any such coding embeds a claim that the steps between adjacent categories are comparable, and with thirty records the design cannot afford the saturated specification that would relax that claim</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consequence is that the venue coefficient must be read as an average association per ordinal step, not as a precise contrast between any two named families. A reader who wants the conference-versus-journal contrast specifically can recover it approximately as one step of the coefficient, but the exact contrast would require a categorical specification the sample size does not permit. The dataset documentation flags this openly, and Chapter 7 lists the ordinal coding among the threats to validity precisely because it is a modeling convenience rather than a measured truth. Stating the limitation at the point where the variable is constructed, rather than burying it in a later caveat, is the discipline the dissertation maintains throughout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3"/>
    <w:bookmarkStart w:id="114" w:name="Xe1934b0fd8822da716a59d102efaabd82645343"/>
    <w:p>
      <w:pPr>
        <w:pStyle w:val="Heading2"/>
        <w:spacing w:line="480" w:lineRule="auto"/>
      </w:pPr>
      <w:r>
        <w:t xml:space="preserve">5.10 Why thirty records is enough for the claim and no more</w:t>
      </w:r>
    </w:p>
    <w:p>
      <w:pPr>
        <w:pStyle w:val="FirstParagraph"/>
        <w:spacing w:line="480" w:lineRule="auto"/>
      </w:pPr>
      <w:r>
        <w:t xml:space="preserve">A candid data chapter has to address the sample size head-on rather than hoping the reader overlooks it. Thirty records is a small sample, and it constrains the claims the dissertation can make in a specific and knowable way. It is enough to detect a strong, structured association like the recency effect, because a large effect leaves a clear signal even in a modest sample. It is not enough to detect a weak association reliably, which is why the citation coefficient’s insignificance must be read as inconclusive rather than as a demonstrated null. And it is not enough to support a saturated model with many categorical controls, which is why the venue coding stays ordinal and the temporal model stays univariate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Sample size is not a choice. It is a property of the retrieval, not a choice made to weaken the study, and the honest response is to match the claims to what thirty records can bear. The dissertation does exactly that: it advances a strong claim about cross-sectional structure, where the sample is adequate, and it advances only a cautious claim about temporal accumulation, where the sample and the corpus composition together prevent a firmer conclusion. Chapter 8 names corpus expansion as the first priority for future work precisely because lifting the sample size is the single change that would most widen the range of claims the design can support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4"/>
    <w:bookmarkStart w:id="115" w:name="X17192c8ce949a299189708a57ff5028f07c6ba8"/>
    <w:p>
      <w:pPr>
        <w:pStyle w:val="Heading2"/>
        <w:spacing w:line="480" w:lineRule="auto"/>
      </w:pPr>
      <w:r>
        <w:t xml:space="preserve">5.11 The dataset as the dissertation’s evidentiary spine</w:t>
      </w:r>
    </w:p>
    <w:p>
      <w:pPr>
        <w:pStyle w:val="FirstParagraph"/>
        <w:spacing w:line="480" w:lineRule="auto"/>
      </w:pPr>
      <w:r>
        <w:t xml:space="preserve">Everything the dissertation claims rests on the two thirty-row files described in this chapter, and it is worth stating plainly what that dependence means. The prose in every other chapter is downstream of these rows. No argument in the introduction, no prediction in the framework, no interpretation in the results exists independently of what these records contain, and any error in the data would propagate through the entire manuscript. That is why the chapter has documented not only what the variables are but how each was constructed, where each record came from, and how the provenance chain lets a reader confirm the values. The dataset is not an appendix to the argument; it is the argument’s foundation, and treating it with the seriousness a foundation deserves is the point of dedicating a full chapter to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Rigor earns something concrete. The reward is that the dissertation’s central virtue, auditability, is grounded in something concrete rather than promised in the abstract. A reader who wants to test any claim in the study can begin here, with the rows and their sources, and follow the chain upward to the coefficient and the interpretation. The data chapter is where the promise of a traceable path from source to conclusion is made good, and the remaining chapters draw on that foundation confident that it can bear the weight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5"/>
    <w:bookmarkEnd w:id="116"/>
    <w:bookmarkStart w:id="127" w:name="chapter-6.-results"/>
    <w:p>
      <w:pPr>
        <w:pStyle w:val="Heading1"/>
        <w:spacing w:line="480" w:lineRule="auto"/>
      </w:pPr>
      <w:r>
        <w:t xml:space="preserve">Chapter 6. Results</w:t>
      </w:r>
    </w:p>
    <w:p>
      <w:pPr>
        <w:pStyle w:val="FirstParagraph"/>
        <w:spacing w:line="480" w:lineRule="auto"/>
      </w:pPr>
      <w:r>
        <w:t xml:space="preserve">This chapter reports the exact output of the two estimators and interprets the signs and magnitudes each returns. Nothing here is rounded away or reframed. The numbers come directly from the embedded workbooks over the thirty-record datasets, and the interpretation stays inside what those numbers license. The chapter takes the cross-sectional model first, the temporal model second, and then reads the two together against the hypotheses stated in Chapter 3</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17" w:name="X66e418f7b8709ba90628c4866062da0182dc698"/>
    <w:p>
      <w:pPr>
        <w:pStyle w:val="Heading2"/>
        <w:spacing w:line="480" w:lineRule="auto"/>
      </w:pPr>
      <w:r>
        <w:t xml:space="preserve">6.1 Paper 1: cross-sectional ordinary least squares</w:t>
      </w:r>
    </w:p>
    <w:p>
      <w:pPr>
        <w:pStyle w:val="FirstParagraph"/>
        <w:spacing w:line="480" w:lineRule="auto"/>
      </w:pPr>
      <w:r>
        <w:t xml:space="preserve">The first model regresses the topic-signal score on the recency index, the reported citation count, and the ordinal venue score, using ordinary least squares with robust HC1 standard errors over N = 30 records. The overall fit is substantial. The model returns R2 = 0.5402985073139535 and adjusted R2 = 0.4872560273886404, so the three predictors together account for roughly fifty-four percent of the variance in the topic signal, and about forty-nine percent after the penalty for model size. The joint test is decisive: F = 14.673675870764065 with F p-value = 8.638521153673204e-06. A fit of this magnitude over a small corpus is the dissertation’s central positive result, because it means the record is not noise. The observable metadata carries real information about where the topic signal sits, which is exactly the legibility the study set out to test.</w:t>
      </w:r>
    </w:p>
    <w:p>
      <w:pPr>
        <w:pStyle w:val="BodyText"/>
        <w:spacing w:line="480" w:lineRule="auto"/>
        <w:ind w:firstLine="720"/>
      </w:pPr>
      <w:r>
        <w:t xml:space="preserve">Individual terms sharpen the picture. The intercept is const coefficient = 2.868231091659493, standard error 0.9925, p = 0.0038526729964795054, a precisely estimated baseline. The recency term is the empirical heart of the dissertation: recency_index coefficient = 0.2844607989680376, standard error 0.0747, p = 0.00014137891465885953. The sign is positive and the estimate is precise well beyond any conventional threshold. Holding citation attention and venue family fixed, each one-unit increase in the recency index is associated with roughly 0.28 additional points of topic signal, so a record two decades newer than the oldest in the sample carries on the order of five additional signal points, which is most of the observed range. This is the association H1 predicted for Paper 1, and it is the strongest single finding in the study.</w:t>
      </w:r>
    </w:p>
    <w:p>
      <w:pPr>
        <w:pStyle w:val="BodyText"/>
        <w:spacing w:line="480" w:lineRule="auto"/>
        <w:ind w:firstLine="720"/>
      </w:pPr>
      <w:r>
        <w:t xml:space="preserve">Citation behaves as anticipated. The framework expected weakness here. The estimate is cites_num coefficient = -0.016632309620796825, standard error 0.0104, p = 0.10919475872648758. The sign is negative and the p-value sits above the conventional 0.05 line, so the association is not statistically distinguishable from zero at that standard. The dissertation does not treat this as a failure. Chapter 3 committed in advance to a weak citation expectation, precisely because the highly cited records in this corpus are technical capture-control and conjunction-risk articles whose topic signal for arms control verification is low</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negative point estimate is consistent with that composition: within this corpus, more citations tend to mark technical work slightly off the dissertation’s theme rather than on it. Read through the interpretive ladder, an imprecise coefficient is evidence against a strong citation claim, not evidence for its opposite.</w:t>
      </w:r>
    </w:p>
    <w:p>
      <w:pPr>
        <w:pStyle w:val="BodyText"/>
        <w:spacing w:line="480" w:lineRule="auto"/>
        <w:ind w:firstLine="720"/>
      </w:pPr>
      <w:r>
        <w:t xml:space="preserve">Venue is the third story. The term is large, negative, and extremely precise: venue_score coefficient = -1.718239320724083, standard error 0.292, p = 4.0171619928633545e-09. Each step up the ordinal venue ladder, from AMOS conference to Acta Astronautica journal to space economy, is associated with roughly 1.72 fewer points of topic signal, holding recency and citation fixed. This deserves careful reading rather than a quick headline. It does not mean journals are less important than conferences. It means that within this particular corpus the conference stream, which contains the norm and information-sharing work most directly about verification and trust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carries higher topic signal than the journal stream, which is dominated by proximity-operations engineering whose relevance to arms control is real but oblique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venue coefficient is measuring the framing structure the theory predicted: different communities own different pieces of the conversation, and the conference community owns the piece most on theme.</w:t>
      </w:r>
    </w:p>
    <w:bookmarkEnd w:id="117"/>
    <w:bookmarkStart w:id="118" w:name="paper-2-log-log-learning-curve-model"/>
    <w:p>
      <w:pPr>
        <w:pStyle w:val="Heading2"/>
        <w:spacing w:line="480" w:lineRule="auto"/>
      </w:pPr>
      <w:r>
        <w:t xml:space="preserve">6.2 Paper 2: log-log learning-curve model</w:t>
      </w:r>
    </w:p>
    <w:p>
      <w:pPr>
        <w:pStyle w:val="FirstParagraph"/>
        <w:spacing w:line="480" w:lineRule="auto"/>
      </w:pPr>
      <w:r>
        <w:t xml:space="preserve">The second model tells a quieter story.</w:t>
      </w:r>
    </w:p>
    <w:p>
      <w:pPr>
        <w:pStyle w:val="BodyText"/>
        <w:spacing w:line="480" w:lineRule="auto"/>
        <w:ind w:firstLine="720"/>
      </w:pPr>
      <w:r>
        <w:t xml:space="preserve">The second model regresses the log of citation count plus one on the log of document age, again with robust HC1 standard errors over N = 30 records. The result is reported in full even though it is weak, because the framework treats weakness here as a substantive finding. The overall fit is small: R2 = 0.0293957069976164. The age term explains under three percent of the variance in log citations, so article age is close to uninformative about citation accumulation in this corpus.</w:t>
      </w:r>
    </w:p>
    <w:p>
      <w:pPr>
        <w:pStyle w:val="BodyText"/>
        <w:spacing w:line="480" w:lineRule="auto"/>
        <w:ind w:firstLine="720"/>
      </w:pPr>
      <w:r>
        <w:t xml:space="preserve">Estimates confirm the reading. The intercept is const coefficient = 2.2073202003651495, standard error 0.9191, p = 0.016318524412148948, a precisely estimated baseline level of log citations. The slope is _ln_x coefficient = -0.5857648159965778, standard error 0.4864, p = 0.22852073455848543. The elasticity of citations with respect to age is therefore -0.5857648159965778, and its exponentiated form gives a progress ratio of 0.6662960213576112, meaning a doubling of article age is associated with citations at roughly sixty-seven percent of their prior level. But the p-value of 0.228521 places this slope well inside the range attributable to chance, so the point estimate cannot be distinguished from zero. The negative sign is the opposite of the naive expectation that older work accumulates more citations, and Chapter 5 explained why: the oldest records here are uncited conference papers while the highest-cited records are recent journal articles, so age and citation are pulled in opposite directions by venue composition. H0 for Paper 2 cannot be rejected. Citation accumulation in this corpus does not follow a measurable age-based curve, and that absence is a finding about the field’s composition rather than a defect in the test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8"/>
    <w:bookmarkStart w:id="119" w:name="reading-the-two-papers-together"/>
    <w:p>
      <w:pPr>
        <w:pStyle w:val="Heading2"/>
        <w:spacing w:line="480" w:lineRule="auto"/>
      </w:pPr>
      <w:r>
        <w:t xml:space="preserve">6.3 Reading the two papers together</w:t>
      </w:r>
    </w:p>
    <w:p>
      <w:pPr>
        <w:pStyle w:val="FirstParagraph"/>
        <w:spacing w:line="480" w:lineRule="auto"/>
      </w:pPr>
      <w:r>
        <w:t xml:space="preserve">Different questions, different answers. The two models, taken together, give the dissertation its bounded conclusion. Paper 1 establishes that the corpus has strong cross-sectional structure: recency and venue family predict the topic signal precisely, and the model accounts for over half the variance in the outcome. Paper 2 establishes that the same corpus has no measurable temporal accumulation structure: age does not predict citations once the venue-driven composition of the sample is left uncontrolled. These are not in tension. They say that the legibility of this field is spatial rather than temporal, visible in how the topic distributes across venues and vintages at a moment, but not in any smooth aging of attention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One combined finding stands out. It is worth stating precisely because the dissertation’s honesty depends on it. The record of space arms control verification is legible enough to reason about. Its topic signal is organized, its most on-theme work concentrates in the conference and policy stream, and its recency structure points to a field drawing fresh attention. What the record does not supply is a clean temporal law of citation growth, and the study reports that absence rather than manufacturing a curve the data will not support. The strong recency result and the null temporal result are both genuine knowledge, and the interpretive ladder from Chapter 3 licenses reporting them side by side without contradiction</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19"/>
    <w:bookmarkStart w:id="120" w:name="X1176b953fa37e95c97789a39233574385495607"/>
    <w:p>
      <w:pPr>
        <w:pStyle w:val="Heading2"/>
        <w:spacing w:line="480" w:lineRule="auto"/>
      </w:pPr>
      <w:r>
        <w:t xml:space="preserve">6.4 The magnitude of the recency effect in context</w:t>
      </w:r>
    </w:p>
    <w:p>
      <w:pPr>
        <w:pStyle w:val="FirstParagraph"/>
        <w:spacing w:line="480" w:lineRule="auto"/>
      </w:pPr>
      <w:r>
        <w:t xml:space="preserve">Statistical significance and practical magnitude are different questions, and the recency result clears both. Consider what the coefficient of 0.2844607989680376 means across the observed range of the recency index. The oldest record in the sample, a 2006 surveillance-laboratory paper, has a recency index near one; the newest records approach twenty</w:t>
      </w:r>
      <w:r>
        <w:t xml:space="preserve"> </w:t>
      </w:r>
      <w:hyperlink w:anchor="ref-7">
        <w:r>
          <w:rPr>
            <w:rStyle w:val="Hyperlink"/>
          </w:rPr>
          <w:t xml:space="preserve">[7]</w:t>
        </w:r>
      </w:hyperlink>
      <w:r>
        <w:t xml:space="preserve">. Multiplying the coefficient across that span implies a difference of roughly 5.4 signal points attributable to recency alone, holding citation and venue fixed. The topic-signal score itself ranges from one to nine, so a 5.4-point swing is a majority of the entire observed scale. The recency effect is not a statistically detectable triviality; it is the dominant axis along which the topic signal varies in this corpus. A field whose on-theme concentration shifts by more than half the signal scale across two decades is a field whose attention has moved decisively toward the present, which is the substantive reading Chapter 7 develops.</w:t>
      </w:r>
    </w:p>
    <w:p>
      <w:pPr>
        <w:pStyle w:val="BodyText"/>
        <w:spacing w:line="480" w:lineRule="auto"/>
        <w:ind w:firstLine="720"/>
      </w:pPr>
      <w:r>
        <w:t xml:space="preserve">The venue effect is comparably large. A coefficient of -1.718239320724083 per venue step means that moving from the conference stream at venue score one to the space-economy stream at venue score three is associated with roughly 3.4 fewer signal points, again a substantial fraction of the nine-point scale. The precision of this estimate, with a p-value near four in one billion, leaves little room to attribute it to chance within the retained corpus. Recency and venue together are therefore not marginal predictors; they are the structure of the topic signal, and the model’s fit of 0.5402985073139535 confirms that between them they capture most of what the outcome does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20"/>
    <w:bookmarkStart w:id="121" w:name="why-the-two-fits-differ-so-sharply"/>
    <w:p>
      <w:pPr>
        <w:pStyle w:val="Heading2"/>
        <w:spacing w:line="480" w:lineRule="auto"/>
      </w:pPr>
      <w:r>
        <w:t xml:space="preserve">6.5 Why the two fits differ so sharply</w:t>
      </w:r>
    </w:p>
    <w:p>
      <w:pPr>
        <w:pStyle w:val="FirstParagraph"/>
        <w:spacing w:line="480" w:lineRule="auto"/>
      </w:pPr>
      <w:r>
        <w:t xml:space="preserve">Fit statistics diverge sharply. The contrast between the two models statistics is itself a result worth interpreting. Paper 1 explains 0.5402985073139535 of the variance in its outcome; Paper 2 explains 0.0293957069976164 of the variance in its outcome. This is not a case of one model being well specified and the other poorly built. Both are correctly specified for the questions they ask. The difference reflects a real property of the corpus: the topic signal is highly structured by observable metadata, while citation accumulation is not structured by age. A field can be legible along one dimension and illegible along another, and this pair of fits quantifies exactly that split. The cross-sectional legibility is strong; the temporal legibility is essentially absent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Reading the two fits together also guards against a tempting error, which would be to conclude from the strong Paper 1 fit that the corpus is uniformly well behaved and therefore that any model over it would succeed. The weak Paper 2 fit refutes that conclusion directly. The same thirty records that yield a decisive cross-sectional model yield a temporal model that barely rises above noise. The corpus is not generically tractable; it is tractable for a specific question and intractable for another, and the honest report of both is what distinguishes a measured finding from a fishing expedition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1"/>
    <w:bookmarkStart w:id="122" w:name="the-intercepts-and-what-they-anchor"/>
    <w:p>
      <w:pPr>
        <w:pStyle w:val="Heading2"/>
        <w:spacing w:line="480" w:lineRule="auto"/>
      </w:pPr>
      <w:r>
        <w:t xml:space="preserve">6.6 The intercepts and what they anchor</w:t>
      </w:r>
    </w:p>
    <w:p>
      <w:pPr>
        <w:pStyle w:val="FirstParagraph"/>
        <w:spacing w:line="480" w:lineRule="auto"/>
      </w:pPr>
      <w:r>
        <w:t xml:space="preserve">The two intercepts are easy to skip past, but they anchor the interpretation of both models and deserve a reading. In Paper 1 the intercept is 2.868231091659493 with p = 0.0038526729964795054, which represents the expected topic signal for a hypothetical record at the zero point of all three predictors. Because the predictors are not centered, that zero point is outside the observed data, so the intercept is a mathematical anchor rather than a substantive prediction. Its precision matters nonetheless: a well-determined intercept indicates that the linear structure holds steadily across the range where the data actually live, rather than being propped up by a few extreme records. The intercept in Paper 2, 2.2073202003651495 with p = 0.016318524412148948, plays the analogous role for the log-log model, fixing the baseline level of log citations at the reference age and being precisely estimated even though the slope above it is not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contrast between a precise intercept and an imprecise slope in Paper 2 is instructive. It says the model can pin down the average level of citations in the corpus but cannot pin down how that level changes with age. That is exactly the signature of a corpus where citations exist but are not organized by the predictor in question. The intercept captures the fact that journal records carry citations; the failed slope captures the fact that those citations do not scale with age in any measurable way. Reading the two parameters together, rather than fixating on the slope alone, is what turns a bare insignificant coefficient into an interpretable statement about the field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2"/>
    <w:bookmarkStart w:id="123" w:name="reconciling-the-negative-signs"/>
    <w:p>
      <w:pPr>
        <w:pStyle w:val="Heading2"/>
        <w:spacing w:line="480" w:lineRule="auto"/>
      </w:pPr>
      <w:r>
        <w:t xml:space="preserve">6.7 Reconciling the negative signs</w:t>
      </w:r>
    </w:p>
    <w:p>
      <w:pPr>
        <w:pStyle w:val="FirstParagraph"/>
        <w:spacing w:line="480" w:lineRule="auto"/>
      </w:pPr>
      <w:r>
        <w:t xml:space="preserve">Two coefficients in this study carry negative signs that a careless reader might find surprising, and reconciling them is part of an honest results chapter. The citation coefficient in Paper 1 is -0.016632309620796825, and the age slope in Paper 2 is -0.5857648159965778. Neither negative sign means what it might appear to mean at first glance. The negative citation coefficient does not mean that citations suppress topic relevance in any causal sense; it means that within this corpus the most-cited records are technical articles whose arms control topic signal is low, so conditional on recency and venue, higher citation counts track slightly off-theme work</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negative age slope does not mean that older articles are cited less than newer ones as a general law; it means that in this specific sample the oldest records are uncited conference papers while the newest are highly cited journal articles, inverting the naive expectation</w:t>
      </w:r>
      <w:r>
        <w:t xml:space="preserve"> </w:t>
      </w:r>
      <w:hyperlink w:anchor="ref-7">
        <w:r>
          <w:rPr>
            <w:rStyle w:val="Hyperlink"/>
          </w:rPr>
          <w:t xml:space="preserve">[7]</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Both negative signs, in other words, are compositional rather than causal. They arise from the particular mix of venues and vintages in the retained corpus, and Chapter 5 documented that mix in advance precisely so these signs would be interpretable when they appeared. The dissertation neither hides the negatives nor overreads them. It reports them, explains their compositional origin, and declines to inflate either into a causal claim the design cannot support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3"/>
    <w:bookmarkStart w:id="124" w:name="what-the-numbers-do-not-say"/>
    <w:p>
      <w:pPr>
        <w:pStyle w:val="Heading2"/>
        <w:spacing w:line="480" w:lineRule="auto"/>
      </w:pPr>
      <w:r>
        <w:t xml:space="preserve">6.8 What the numbers do not say</w:t>
      </w:r>
    </w:p>
    <w:p>
      <w:pPr>
        <w:pStyle w:val="FirstParagraph"/>
        <w:spacing w:line="480" w:lineRule="auto"/>
      </w:pPr>
      <w:r>
        <w:t xml:space="preserve">Two cautions close the results. The venue coefficient’s magnitude should not be read as a ranking of scholarly quality; it is a statement about topic-signal concentration in this corpus, driven by which communities publish the most on-theme verification and trust work</w:t>
      </w:r>
      <w:r>
        <w:t xml:space="preserve"> </w:t>
      </w:r>
      <w:hyperlink w:anchor="ref-3">
        <w:r>
          <w:rPr>
            <w:rStyle w:val="Hyperlink"/>
          </w:rPr>
          <w:t xml:space="preserve">[3]</w:t>
        </w:r>
      </w:hyperlink>
      <w:r>
        <w:t xml:space="preserve"> </w:t>
      </w:r>
      <w:hyperlink w:anchor="ref-5">
        <w:r>
          <w:rPr>
            <w:rStyle w:val="Hyperlink"/>
          </w:rPr>
          <w:t xml:space="preserve">[5]</w:t>
        </w:r>
      </w:hyperlink>
      <w:r>
        <w:t xml:space="preserve">. And the strong Paper 1 fit should not be read as a causal account of why the field attends to the topic; the model identifies conditional associations among constructed indicators over a retrieved sample of thirty, and nothing in the arithmetic reaches beyond that sample. Chapter 7 takes up these limits in full, but the results themselves already draw the boundary between what the estimators show and what a governance decision would still require</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24"/>
    <w:bookmarkStart w:id="125" w:name="the-joint-test-as-the-decisive-evidence"/>
    <w:p>
      <w:pPr>
        <w:pStyle w:val="Heading2"/>
        <w:spacing w:line="480" w:lineRule="auto"/>
      </w:pPr>
      <w:r>
        <w:t xml:space="preserve">6.9 The joint test as the decisive evidence</w:t>
      </w:r>
    </w:p>
    <w:p>
      <w:pPr>
        <w:pStyle w:val="FirstParagraph"/>
        <w:spacing w:line="480" w:lineRule="auto"/>
      </w:pPr>
      <w:r>
        <w:t xml:space="preserve">Among all the statistics reported, the joint F-test of Paper 1 deserves to be singled out as the single most decisive piece of evidence in the dissertation. The value F = 14.673675870764065 with F p-value = 8.638521153673204e-06 tests whether the three predictors together explain the outcome better than an intercept-only model would. A p-value of roughly nine in one million means the probability of observing a fit this good by chance, if the predictors truly carried no information, is vanishingly small. This is the formal statement of the dissertation’s central positive finding: the corpus is not noise, and its observable metadata jointly carries strong information about where the topic signal sits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One statistic outweighs the rest. The joint test matters more than any single coefficient because it is robust to the collinearity between citation and venue that muddies the individual terms. Even if a reader distrusts the exact partition of explanatory power between the citation coefficient and the venue coefficient, the joint test establishes that the three predictors together capture real structure, and that conclusion does not depend on how the shared variance is divided among them. The dissertation therefore rests its legibility claim on the joint test first and the individual recency coefficient second, in that order of confidence, because the joint test is the least assailable statistic the models produce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5"/>
    <w:bookmarkStart w:id="126" w:name="what-replication-would-require"/>
    <w:p>
      <w:pPr>
        <w:pStyle w:val="Heading2"/>
        <w:spacing w:line="480" w:lineRule="auto"/>
      </w:pPr>
      <w:r>
        <w:t xml:space="preserve">6.10 What replication would require</w:t>
      </w:r>
    </w:p>
    <w:p>
      <w:pPr>
        <w:pStyle w:val="FirstParagraph"/>
        <w:spacing w:line="480" w:lineRule="auto"/>
      </w:pPr>
      <w:r>
        <w:t xml:space="preserve">Because the results are reported at full precision and traced to embedded workbooks, replication is not a hypothetical exercise but a concrete procedure a reader can follow. To reproduce Paper 1, a reader runs the ordinary least squares estimator with HC1 robust standard errors on the thirty-row dataset, regressing signal score on recency index, citation count, and venue score, and confirms that the fit returns R2 = 0.5402985073139535 and the recency coefficient 0.2844607989680376. To reproduce Paper 2, the reader runs the log-log estimator on the same records and confirms the elasticity of -0.5857648159965778 and the progress ratio of 0.6662960213576112. Any deviation from these exact values would indicate an error in the replication rather than a genuine difference, because the estimators are deterministic given the data</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reproducibility is the practical form of the dissertation’s commitment to auditability. A committee member who doubts any reported number can regenerate it from the artifacts in minutes, and a future researcher extending the corpus can confirm the baseline before adding to it. The results chapter thus does not merely report findings; it reports them in a form that invites and enables checking, which is the standard a study about verification ought to hold itself to</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26"/>
    <w:bookmarkEnd w:id="127"/>
    <w:bookmarkStart w:id="138" w:name="chapter-7.-discussion-and-limitations"/>
    <w:p>
      <w:pPr>
        <w:pStyle w:val="Heading1"/>
        <w:spacing w:line="480" w:lineRule="auto"/>
      </w:pPr>
      <w:r>
        <w:t xml:space="preserve">Chapter 7. Discussion and Limitations</w:t>
      </w:r>
    </w:p>
    <w:p>
      <w:pPr>
        <w:pStyle w:val="FirstParagraph"/>
        <w:spacing w:line="480" w:lineRule="auto"/>
      </w:pPr>
      <w:r>
        <w:t xml:space="preserve">The results of Chapter 6 are precise, bounded, and partly negative, which makes the interpretive task in this chapter as much about restraint as about ambition. Two things are true at once. The corpus of space arms control verification is legible: its topic signal is strongly and precisely predicted by recency and venue family. And the corpus does not accumulate attention along any measurable temporal curve: age carries almost no information about citations. This chapter draws out what those findings mean for the verification problem, catalogs the threats that could undermine them, and states without hedging what the data simply cannot show</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28" w:name="Xfafa889bc0fcbf074eeaaa6aa8a834dfa38e7c4"/>
    <w:p>
      <w:pPr>
        <w:pStyle w:val="Heading2"/>
        <w:spacing w:line="480" w:lineRule="auto"/>
      </w:pPr>
      <w:r>
        <w:t xml:space="preserve">7.1 What the strong cross-sectional result means</w:t>
      </w:r>
    </w:p>
    <w:p>
      <w:pPr>
        <w:pStyle w:val="FirstParagraph"/>
        <w:spacing w:line="480" w:lineRule="auto"/>
      </w:pPr>
      <w:r>
        <w:t xml:space="preserve">One coefficient carries the weight. The recency term that carries interpretive weight, and its meaning runs directly to the verification question. A precise, positive association between recency and topic signal says that the field’s most on-theme work is its newest work. The conversation about verifiability, trust, and information sharing is not a settled body of classic texts; it is a live and expanding front. For a governance audience this matters because it distinguishes a maturing problem from a dormant one. A regime designer confronting a topic whose on-theme literature concentrates in the last few years is confronting a moving target, where today’s framing may be superseded before a treaty is drafted, and where the definitional instability the legal stream describes is a symptom of genuine novelty rather than of neglect</w:t>
      </w:r>
      <w:r>
        <w:t xml:space="preserve"> </w:t>
      </w:r>
      <w:hyperlink w:anchor="ref-10">
        <w:r>
          <w:rPr>
            <w:rStyle w:val="Hyperlink"/>
          </w:rPr>
          <w:t xml:space="preserve">[10]</w:t>
        </w:r>
      </w:hyperlink>
      <w:r>
        <w:t xml:space="preserve">. The recency structure, in other words, is consistent with a field that knows it has an unsolved problem and is actively working it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second layer follows. The venue result of meaning that is easy to misread and important to get right. The large negative venue coefficient says the conference stream carries the highest topic signal, and the conference stream is where the norm-development and information-sharing proposals live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The verification conversation, then, is concentrated in the venue closest to operational practice and policy application rather than in the archival technical journals. This is encouraging for anyone who wants the field’s most on-theme thinking to be legible to practitioners, because conference venues turn over quickly and reach operators and policymakers directly. But it also warns that the verification discussion is somewhat detached from the deep technical literature on what spacecraft can actually do, which lives in the journal stream and carries the citation weight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A verification regime needs both the policy framing and the technical grounding, and the venue structure suggests these two are not yet tightly coupled in the field’s own record.</w:t>
      </w:r>
    </w:p>
    <w:bookmarkEnd w:id="128"/>
    <w:bookmarkStart w:id="129" w:name="what-the-null-temporal-result-means"/>
    <w:p>
      <w:pPr>
        <w:pStyle w:val="Heading2"/>
        <w:spacing w:line="480" w:lineRule="auto"/>
      </w:pPr>
      <w:r>
        <w:t xml:space="preserve">7.2 What the null temporal result means</w:t>
      </w:r>
    </w:p>
    <w:p>
      <w:pPr>
        <w:pStyle w:val="FirstParagraph"/>
        <w:spacing w:line="480" w:lineRule="auto"/>
      </w:pPr>
      <w:r>
        <w:t xml:space="preserve">Absence is itself a finding. The missing citation-age curve is a finding, not a gap, and it means something specific about the field’s shape. If verification research were a slow-maturing technical literature, older work would anchor newer work and citations would accumulate with age in a recognizable pattern. The data show the opposite: the highest-cited records are recent journal articles on capture and conjunction risk, while the oldest records, mostly conference papers on surveillance and mission operations, sit largely uncited in the local index</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5">
        <w:r>
          <w:rPr>
            <w:rStyle w:val="Hyperlink"/>
          </w:rPr>
          <w:t xml:space="preserve">[15]</w:t>
        </w:r>
      </w:hyperlink>
      <w:r>
        <w:t xml:space="preserve">. The verification conversation has not yet built the kind of cumulative citation spine that a mature field displays. Its attention is organized by venue and vintage, not by the steady aging of a shared canon.</w:t>
      </w:r>
    </w:p>
    <w:p>
      <w:pPr>
        <w:pStyle w:val="BodyText"/>
        <w:spacing w:line="480" w:lineRule="auto"/>
        <w:ind w:firstLine="720"/>
      </w:pPr>
      <w:r>
        <w:t xml:space="preserve">For the verification problem this is a sobering signal underneath an encouraging one. The field is legible and active in cross-section, but it has not yet converged on a stable set of foundational references that everyone builds on. A verification regime presupposes a shared factual and conceptual baseline, and a literature without a citation spine is a literature that has not yet agreed on its foundations. The null temporal result thus quantifies, in a small way, exactly the fragmentation that Chapter 2 described qualitatively: the streams are active, but they have not fused into a cumulative whole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9"/>
    <w:bookmarkStart w:id="130" w:name="threats-to-validity"/>
    <w:p>
      <w:pPr>
        <w:pStyle w:val="Heading2"/>
        <w:spacing w:line="480" w:lineRule="auto"/>
      </w:pPr>
      <w:r>
        <w:t xml:space="preserve">7.3 Threats to validity</w:t>
      </w:r>
    </w:p>
    <w:p>
      <w:pPr>
        <w:pStyle w:val="FirstParagraph"/>
        <w:spacing w:line="480" w:lineRule="auto"/>
      </w:pPr>
      <w:r>
        <w:t xml:space="preserve">Four threats bear directly on how far these interpretations can travel, and each maps to a caution registered earlier. Source selection is the first and largest. The corpus is a retrieval of thirty records, not a census of the field, and its three-venue composition is a property of how the sources were gathered. If the retrieval over-weighted the conference stream, the venue coefficient would partly reflect that choice rather than the field’s true distribution. Every claim in this chapter is therefore a claim about the retained corpus, and the recency and venue structures should be read as structures in this sample that a larger and differently constructed corpus might revise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Proxy measurement is the second threat. The signal score is a deterministic term-hit count, the venue score is an ordinal family code, and the citation count is a local index measure rather than a universal one. Each indicator stands at a distance from the construct it names. A record can score high on signal through vocabulary overlap without being genuinely central to verification, and a record can report zero local citations while being widely cited elsewhere. The interpretations above hold for the indicators as measured, and the dissertation does not upgrade them into the underlying constructs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Omitted variables are the third threat, and they are unavoidable in a metadata design. Author prominence, funding, mission cycles, and the geopolitical events that plausibly drive attention to space security are all absent from the models, and any of them could confound the recency and venue associations. The temporal model is especially exposed here, because venue loads onto the age term and the univariate specification cannot separate them. This is why the null temporal result is reported as an absence of a simple curve rather than as proof that age is irrelevant; a richer model might recover a relationship the univariate form cannot see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Overinterpretation is the fourth threat, and it is the one the writing must guard against most actively. It would be easy to let the strong Paper 1 fit imply that the field is healthy, or to let the venue coefficient imply that conferences matter more than journals. Neither implication follows. The fit measures legibility, not health; the venue term measures topic-signal concentration, not scholarly value. The dissertation ties each interpretive sentence to a reported coefficient precisely so that a skeptical reader can hold the prose to the number that licenses it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30"/>
    <w:bookmarkStart w:id="131" w:name="what-the-data-cannot-show"/>
    <w:p>
      <w:pPr>
        <w:pStyle w:val="Heading2"/>
        <w:spacing w:line="480" w:lineRule="auto"/>
      </w:pPr>
      <w:r>
        <w:t xml:space="preserve">7.4 What the data cannot show</w:t>
      </w:r>
    </w:p>
    <w:p>
      <w:pPr>
        <w:pStyle w:val="FirstParagraph"/>
        <w:spacing w:line="480" w:lineRule="auto"/>
      </w:pPr>
      <w:r>
        <w:t xml:space="preserve">Some limits are not fixable. They are boundaries.</w:t>
      </w:r>
    </w:p>
    <w:p>
      <w:pPr>
        <w:pStyle w:val="BodyText"/>
        <w:spacing w:line="480" w:lineRule="auto"/>
        <w:ind w:firstLine="720"/>
      </w:pPr>
      <w:r>
        <w:t xml:space="preserve">Some limits are not threats to be managed but boundaries to be respected, and stating them plainly is part of the contribution. The data cannot show that space arms control verification is feasible. It cannot show that any particular treaty design would work, that the norms proposed in the conference stream would be adopted, or that the information-sharing architectures described there would in practice lower the cost of transparency below the cost of secrecy</w:t>
      </w:r>
      <w:r>
        <w:t xml:space="preserve"> </w:t>
      </w:r>
      <w:hyperlink w:anchor="ref-3">
        <w:r>
          <w:rPr>
            <w:rStyle w:val="Hyperlink"/>
          </w:rPr>
          <w:t xml:space="preserve">[3]</w:t>
        </w:r>
      </w:hyperlink>
      <w:r>
        <w:t xml:space="preserve"> </w:t>
      </w:r>
      <w:hyperlink w:anchor="ref-5">
        <w:r>
          <w:rPr>
            <w:rStyle w:val="Hyperlink"/>
          </w:rPr>
          <w:t xml:space="preserve">[5]</w:t>
        </w:r>
      </w:hyperlink>
      <w:r>
        <w:t xml:space="preserve">. It cannot establish causation of any kind, because it identifies conditional associations among constructed indicators over a small retrieved sample. And it cannot speak to on-orbit behavior at all, because it studies the literature about spacecraft, not the spacecraft themselves.</w:t>
      </w:r>
    </w:p>
    <w:p>
      <w:pPr>
        <w:pStyle w:val="BodyText"/>
        <w:spacing w:line="480" w:lineRule="auto"/>
        <w:ind w:firstLine="720"/>
      </w:pPr>
      <w:r>
        <w:t xml:space="preserve">These boundaries are not apologies. They define the shape of a legitimate contribution. The dissertation set out to test one narrow, falsifiable claim about the legibility of a field’s record, and it answered that claim with precise evidence: the record is legible in cross-section and uncumulated in time. Everything beyond that claim belongs to future work with richer data, and Chapter 8 specifies what that data would need to contain</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31"/>
    <w:bookmarkStart w:id="132" w:name="the-comparative-dimension"/>
    <w:p>
      <w:pPr>
        <w:pStyle w:val="Heading2"/>
        <w:spacing w:line="480" w:lineRule="auto"/>
      </w:pPr>
      <w:r>
        <w:t xml:space="preserve">7.5 The comparative dimension</w:t>
      </w:r>
    </w:p>
    <w:p>
      <w:pPr>
        <w:pStyle w:val="FirstParagraph"/>
        <w:spacing w:line="480" w:lineRule="auto"/>
      </w:pPr>
      <w:r>
        <w:t xml:space="preserve">The dissertation’s title promises a comparative audit, and the comparison the data actually delivers is between venue families rather than between treaties or eras. That is a narrower comparison than a policy analyst might have hoped for, and naming the narrowing honestly is part of the discussion. What the corpus permits is a comparison of how three communities, the operational conference community, the archival technical community, and the economic and policy community, distribute their attention across the verification theme. The venue coefficient is the quantitative form of that comparison, and it says the conference community carries the highest on-theme signal while the journal community carries the citation weight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 The comparison is real and measured, but it is a comparison of scholarly framing, not of regime effectiveness.</w:t>
      </w:r>
    </w:p>
    <w:p>
      <w:pPr>
        <w:pStyle w:val="BodyText"/>
        <w:spacing w:line="480" w:lineRule="auto"/>
        <w:ind w:firstLine="720"/>
      </w:pPr>
      <w:r>
        <w:t xml:space="preserve">This has a direct bearing on how the findings should feed a comparative study of arms control regimes. Terrestrial arms control offers a library of cases in which verification succeeded or failed, and a mature comparative project would set the orbital case against those. The present dissertation cannot do that, because its data are bibliometric rather than historical, and it says so plainly. What it can contribute to such a project is a characterization of the orbital field’s epistemic state: legible in cross-section, uncumulated in time, and concentrated in fast-moving venues detached from the deep technical literature. A comparative regime study would want that characterization as an input, because the epistemic maturity of a field is plausibly one of the conditions under which verification regimes succeed, and the orbital field’s maturity is exactly what this study measures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32"/>
    <w:bookmarkStart w:id="133" w:name="the-audit-as-a-transferable-instrument"/>
    <w:p>
      <w:pPr>
        <w:pStyle w:val="Heading2"/>
        <w:spacing w:line="480" w:lineRule="auto"/>
      </w:pPr>
      <w:r>
        <w:t xml:space="preserve">7.6 The audit as a transferable instrument</w:t>
      </w:r>
    </w:p>
    <w:p>
      <w:pPr>
        <w:pStyle w:val="FirstParagraph"/>
        <w:spacing w:line="480" w:lineRule="auto"/>
      </w:pPr>
      <w:r>
        <w:t xml:space="preserve">A second-order implication concerns the method rather than the topic. The audit performed here, treat a field’s retrieved record as data, measure whether observable metadata predicts topic signal, and report the exact structure, is not specific to space arms control. It is a general instrument for asking whether any policy field’s evidence base is legible before staking decisions on it. The value of demonstrating it on the verification problem is that the verification problem is a hard case: the field is fragmented across engineering, law, and policy, and its dual-use core resists clean measurement</w:t>
      </w:r>
      <w:r>
        <w:t xml:space="preserve"> </w:t>
      </w:r>
      <w:hyperlink w:anchor="ref-6">
        <w:r>
          <w:rPr>
            <w:rStyle w:val="Hyperlink"/>
          </w:rPr>
          <w:t xml:space="preserve">[6]</w:t>
        </w:r>
      </w:hyperlink>
      <w:r>
        <w:t xml:space="preserve"> </w:t>
      </w:r>
      <w:hyperlink w:anchor="ref-10">
        <w:r>
          <w:rPr>
            <w:rStyle w:val="Hyperlink"/>
          </w:rPr>
          <w:t xml:space="preserve">[10]</w:t>
        </w:r>
      </w:hyperlink>
      <w:r>
        <w:t xml:space="preserve">. If the audit can extract interpretable structure from a field this fragmented, it can plausibly do so for better-behaved fields as well.</w:t>
      </w:r>
    </w:p>
    <w:p>
      <w:pPr>
        <w:pStyle w:val="BodyText"/>
        <w:spacing w:line="480" w:lineRule="auto"/>
        <w:ind w:firstLine="720"/>
      </w:pPr>
      <w:r>
        <w:t xml:space="preserve">The transferability comes with a caution that the discussion must register. The instrument measures legibility, and legibility is a necessary but not sufficient condition for good governance. A field can be perfectly legible and still be wrong, or legible and still lack the political will to act on what it knows. The audit tells a decision maker whether the evidence base is coherent enough to reason from; it does not tell them whether the reasoning will lead anywhere. Presenting the instrument as a screening step rather than a decision procedure is the accurate framing, and it is the framing the dissertation adopts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33"/>
    <w:bookmarkStart w:id="134" w:name="Xa35f6f9ed7a52db11292920c90a42fa930831bc"/>
    <w:p>
      <w:pPr>
        <w:pStyle w:val="Heading2"/>
        <w:spacing w:line="480" w:lineRule="auto"/>
      </w:pPr>
      <w:r>
        <w:t xml:space="preserve">7.7 Implications for a research and governance agenda</w:t>
      </w:r>
    </w:p>
    <w:p>
      <w:pPr>
        <w:pStyle w:val="FirstParagraph"/>
        <w:spacing w:line="480" w:lineRule="auto"/>
      </w:pPr>
      <w:r>
        <w:t xml:space="preserve">Read as guidance rather than as direction, the findings point to a specific agenda. A governance community that wants a verifiable regime should notice that its most on-theme thinking lives in fast-moving conference venues detached from the citation-heavy technical journals, and it could work deliberately to couple the two, so that norm proposals are grounded in the proximity-operations science that defines what verification would have to detect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A research community should notice that its verification literature has not yet built a cumulative citation spine, and it could invest in the shared foundational work that a maturing field requires. Neither of these is a directive the data can issue on its own. They are inferences a careful reader can draw from a legible record, offered in the conditional voice the evidence supports</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34"/>
    <w:bookmarkStart w:id="135" w:name="X67829acbf6cf9131a4589302d4b4631dc939812"/>
    <w:p>
      <w:pPr>
        <w:pStyle w:val="Heading2"/>
        <w:spacing w:line="480" w:lineRule="auto"/>
      </w:pPr>
      <w:r>
        <w:t xml:space="preserve">7.8 Implications for program offices and international forums</w:t>
      </w:r>
    </w:p>
    <w:p>
      <w:pPr>
        <w:pStyle w:val="FirstParagraph"/>
        <w:spacing w:line="480" w:lineRule="auto"/>
      </w:pPr>
      <w:r>
        <w:t xml:space="preserve">Institutions are the real audience. The findings bear on them directly to the institutions that would actually build or negotiate a verification regime, and translating bibliometric structure into program guidance requires care. A program office designing space domain awareness capabilities could read the recency and venue results as a signal about where the field’s most current thinking on verification requirements lives, which is in the fast-moving conference and policy stream rather than in the archival journals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That has a practical consequence for how such an office scans the literature: relying on citation counts to surface important work would systematically miss the on-theme verification and trust research, because that research sits in the low-citation conference stream while the citations concentrate in technical articles slightly off the arms control theme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 citation-weighted scan would over-surface capability research and under-surface governance research, which is exactly backward for a verification mandate.</w:t>
      </w:r>
    </w:p>
    <w:p>
      <w:pPr>
        <w:pStyle w:val="BodyText"/>
        <w:spacing w:line="480" w:lineRule="auto"/>
        <w:ind w:firstLine="720"/>
      </w:pPr>
      <w:r>
        <w:t xml:space="preserve">For an international forum, the null temporal result carries a sobering message about timing. A forum contemplating a verification regime is contemplating an agreement that presupposes a shared foundational understanding, and the absence of a citation spine indicates that the field has not yet built one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implication is not that verification is impossible but that the forum should expect definitional disputes of the kind the legal literature already documents, because the field itself has not converged on common foundations</w:t>
      </w:r>
      <w:r>
        <w:t xml:space="preserve"> </w:t>
      </w:r>
      <w:hyperlink w:anchor="ref-10">
        <w:r>
          <w:rPr>
            <w:rStyle w:val="Hyperlink"/>
          </w:rPr>
          <w:t xml:space="preserve">[10]</w:t>
        </w:r>
      </w:hyperlink>
      <w:r>
        <w:t xml:space="preserve">. A forum that entered negotiations expecting a settled technical consensus would be surprised; a forum that entered expecting to help build that consensus would be better calibrated to what the evidence base actually offers.</w:t>
      </w:r>
    </w:p>
    <w:bookmarkEnd w:id="135"/>
    <w:bookmarkStart w:id="136" w:name="X77908a8169ea5b697cbfb0bdae30c9c98f6c324"/>
    <w:p>
      <w:pPr>
        <w:pStyle w:val="Heading2"/>
        <w:spacing w:line="480" w:lineRule="auto"/>
      </w:pPr>
      <w:r>
        <w:t xml:space="preserve">7.9 The limits of a literature-based proxy for domain legibility</w:t>
      </w:r>
    </w:p>
    <w:p>
      <w:pPr>
        <w:pStyle w:val="FirstParagraph"/>
        <w:spacing w:line="480" w:lineRule="auto"/>
      </w:pPr>
      <w:r>
        <w:t xml:space="preserve">One move defines the study. It uses the legibility of the literature, using the legibility of the literature as a proxy for the legibility of the domain, is powerful but bounded, and the discussion must confront where the proxy breaks. The literature and the domain are not the same thing. A field could have a perfectly legible scholarly record while the operational reality it describes remained opaque to verification, because the classified sensing data that would actually verify on-orbit behavior does not appear in the open literature at all</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proxy captures the legibility of the public conversation, not the legibility of the observations a verification regime would depend on. This is a real gap, and the dissertation does not paper over it.</w:t>
      </w:r>
    </w:p>
    <w:p>
      <w:pPr>
        <w:pStyle w:val="BodyText"/>
        <w:spacing w:line="480" w:lineRule="auto"/>
        <w:ind w:firstLine="720"/>
      </w:pPr>
      <w:r>
        <w:t xml:space="preserve">What rescues the proxy from irrelevance is the argument from Chapter 1: the public conversation is the first approximation of the shared reference frame that verification requires, and a field that cannot cohere in the open is unlikely to cohere across a classified, adversarial divide. The proxy is a leading indicator, not a direct measure, and it should be read as one. A legible literature is a necessary condition for the shared understanding verification needs, not a sufficient one, and the discussion holds to that distinction rather than letting the bibliometric result stand in for a claim about the operational domain it cannot reach</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36"/>
    <w:bookmarkStart w:id="137" w:name="Xc80d8a677f9876dd6a91699c7f6aca9ad63e520"/>
    <w:p>
      <w:pPr>
        <w:pStyle w:val="Heading2"/>
        <w:spacing w:line="480" w:lineRule="auto"/>
      </w:pPr>
      <w:r>
        <w:t xml:space="preserve">7.10 Reconciling the strong and the null findings</w:t>
      </w:r>
    </w:p>
    <w:p>
      <w:pPr>
        <w:pStyle w:val="FirstParagraph"/>
        <w:spacing w:line="480" w:lineRule="auto"/>
      </w:pPr>
      <w:r>
        <w:t xml:space="preserve">A discussion chapter earns its keep partly by refusing to let a reader walk away with only the convenient half of a mixed result. This study produced one strong positive finding and one reported null, and the two must be held together rather than separately. The strong cross-sectional structure is genuine, and it licenses the claim that the field is legible at a moment in time. The null temporal structure is equally genuine, and it withholds the claim that the field has matured into a cumulative discipline. A reader who took only the first finding would overstate the field’s readiness; a reader who took only the second would understate its legibility. The honest synthesis is that the orbital verification field is legible but young, coherent in cross-section but not yet cumulative in time, and every governance inference in this chapter has been calibrated to that dual reading</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reconciliation is where the interpretive discipline of the whole dissertation is tested most directly. It would be rhetorically easier to lead with the strong result and let the null fade into a footnote, and much policy writing does exactly that. The discussion refuses the move, because the null is not a blemish on the finding but half of it, and a field characterized only by its strengths is a field described dishonestly. Holding both results in view, and drawing only the inferences that both together support, is the contribution the discussion makes beyond the bare estimator output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37"/>
    <w:bookmarkEnd w:id="138"/>
    <w:bookmarkStart w:id="175"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began with a hard problem and ended with a modest, defensible answer, and the distance between the two is the point. The hard problem is that space arms control cannot work without verification, and verification in orbit is undermined by the dual-use character of nearly every relevant capability. The modest answer concerns not the treaty but the field: the scholarly and policy record that surrounds space security is legible in cross-section, organized so that its most on-theme work concentrates in recent conference and policy venues, though it has not yet built the cumulative citation spine of a mature discipline. This closing chapter states the contribution, connects it to governance and program relevance, and specifies the next data collection the design would require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39" w:name="the-contribution-restated"/>
    <w:p>
      <w:pPr>
        <w:pStyle w:val="Heading2"/>
        <w:spacing w:line="480" w:lineRule="auto"/>
      </w:pPr>
      <w:r>
        <w:t xml:space="preserve">8.1 The contribution restated</w:t>
      </w:r>
    </w:p>
    <w:p>
      <w:pPr>
        <w:pStyle w:val="FirstParagraph"/>
        <w:spacing w:line="480" w:lineRule="auto"/>
      </w:pPr>
      <w:r>
        <w:t xml:space="preserve">One falsifiable claim, tested. That is the contribution, tested and reported without inflation. The claim was that the topic signal in the retained corpus is systematically related to publication recency, citation attention, and venue family. The cross-sectional model confirmed the recency and venue portions of that claim decisively, with an overall fit accounting for over half the variance in the outcome and a recency coefficient precise well beyond conventional thresholds. The citation portion returned an imprecise, slightly negative estimate, which the framework had anticipated and which the dissertation reports as evidence against a strong citation claim rather than as a disappointment. The temporal model returned a weak, insignificant slope, so the corpus shows no measurable age-based accumulation curve, and that null is reported as a genuine finding about the field’s composition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What makes this a doctoral contribution is not the size of any single coefficient. It is the demonstrated method: a way to take a space-domain claim that would ordinarily be asserted and convert it into variables, model output, and a documented, reproducible trail from source to estimate. Many space governance and program questions begin exactly where this one did, with partial records and confident intuition rather than finished datasets, and the discipline this dissertation models, treat the corpus as data, report the exact numbers, tie every claim to its licensing coefficient, is transferable to all of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9"/>
    <w:bookmarkStart w:id="140" w:name="Xc15af11777ecb15e45deb5b96dc6829b6273681"/>
    <w:p>
      <w:pPr>
        <w:pStyle w:val="Heading2"/>
        <w:spacing w:line="480" w:lineRule="auto"/>
      </w:pPr>
      <w:r>
        <w:t xml:space="preserve">8.2 Why a legible evidence base matters for governance</w:t>
      </w:r>
    </w:p>
    <w:p>
      <w:pPr>
        <w:pStyle w:val="FirstParagraph"/>
        <w:spacing w:line="480" w:lineRule="auto"/>
      </w:pPr>
      <w:r>
        <w:t xml:space="preserve">Legibility is the bridge. It links a bibliometric result to the governance of space to the governance of space runs through the concept the dissertation has held throughout: legibility. Verification regimes are, at bottom, agreements about shared facts and shared meanings. Before any treaty can specify what counts as a violation, the community that would design it needs an internal record coherent enough to reason from. The finding that the verification literature is legible in cross-section is therefore quietly consequential. It says the raw material for a shared understanding exists and can be built upon, which is a precondition for any verification arrangement even though it is far from a guarantee of one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finding that the same literature lacks a cumulative citation spine is the other half of the governance message, and it is a caution. A field whose attention is organized by venue and vintage rather than by a shared canon has not yet converged on its foundations, and a verification regime built on an unconverged field would inherit that instability. The definitional problem the legal stream describes, the difficulty of even agreeing on what an autonomous space weapon is, is exactly what one would expect of a field in this state</w:t>
      </w:r>
      <w:r>
        <w:t xml:space="preserve"> </w:t>
      </w:r>
      <w:hyperlink w:anchor="ref-10">
        <w:r>
          <w:rPr>
            <w:rStyle w:val="Hyperlink"/>
          </w:rPr>
          <w:t xml:space="preserve">[10]</w:t>
        </w:r>
      </w:hyperlink>
      <w:r>
        <w:t xml:space="preserve">. For program offices and international forums the practical implication is to treat the current verification discussion as promising but immature, and to invest in the foundational and cross-stream work that would let it cohere before staking a regime on it.</w:t>
      </w:r>
    </w:p>
    <w:bookmarkEnd w:id="140"/>
    <w:bookmarkStart w:id="141" w:name="Xf95b52db4076dc7d79bcc06fdbf8b7cc4fb30ae"/>
    <w:p>
      <w:pPr>
        <w:pStyle w:val="Heading2"/>
        <w:spacing w:line="480" w:lineRule="auto"/>
      </w:pPr>
      <w:r>
        <w:t xml:space="preserve">8.3 Program relevance and the conditional voice</w:t>
      </w:r>
    </w:p>
    <w:p>
      <w:pPr>
        <w:pStyle w:val="FirstParagraph"/>
        <w:spacing w:line="480" w:lineRule="auto"/>
      </w:pPr>
      <w:r>
        <w:t xml:space="preserve">The dissertation offers these implications as assessment rather than as instruction, which is the appropriate register for evidence of this kind. A conference stream detached from the technical journals could be more tightly coupled, so that verification norms are grounded in the proximity-operations and capture science that determines what any observation protocol would have to detect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A research community aware that its verification literature has not yet accumulated a shared spine could prioritize the cumulative work that maturity requires. Each of these is an inference a careful reader can draw from a legible record, stated conditionally because the data supports conditional claims and no more. The dissertation does not tell any institution what to do. It shows what the record reveals and lets the reader reason from there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1"/>
    <w:bookmarkStart w:id="142" w:name="future-work-the-next-data-collection"/>
    <w:p>
      <w:pPr>
        <w:pStyle w:val="Heading2"/>
        <w:spacing w:line="480" w:lineRule="auto"/>
      </w:pPr>
      <w:r>
        <w:t xml:space="preserve">8.4 Future work: the next data collection</w:t>
      </w:r>
    </w:p>
    <w:p>
      <w:pPr>
        <w:pStyle w:val="FirstParagraph"/>
        <w:spacing w:line="480" w:lineRule="auto"/>
      </w:pPr>
      <w:r>
        <w:t xml:space="preserve">A bounded study leaves a next step. That is its clearest legacy is a well-specified next step, and the design points to three. The first is to widen the source universe beyond thirty records and beyond three venue families, so that source-selection risk shrinks and the cross-sectional structure can be tested for stability against a larger and differently constructed corpus. A census-scale retrieval would let a reader distinguish structure in the field from structure in the retrieval, which the present sample cannot fully separate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second is to add direct outcome measures that the current metadata cannot supply. The signal score is a term-hit proxy, and a stronger design would replace or supplement it with document-level coding of what each source actually claims about verification, attribution, or trust, so that on-theme relevance is measured by content rather than vocabulary overlap. That coding would also let the venue coefficient be interpreted against substance rather than against publishing practice alone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third is to strengthen identification. The present models recover conditional associations; a longitudinal design that tracked the same topic across successive retrieval windows, or a matched comparison against a control topic with no arms control relevance, would let a later study ask whether the recency structure is specific to verification or common to all rising space topics. Adding richer temporal data would also give the learning-curve model the venue controls it presently lacks, so the null temporal result could be retested under a specification that can actually separate age from venue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2"/>
    <w:bookmarkStart w:id="143" w:name="the-dual-use-dilemma-revisited"/>
    <w:p>
      <w:pPr>
        <w:pStyle w:val="Heading2"/>
        <w:spacing w:line="480" w:lineRule="auto"/>
      </w:pPr>
      <w:r>
        <w:t xml:space="preserve">8.5 The dual-use dilemma revisited</w:t>
      </w:r>
    </w:p>
    <w:p>
      <w:pPr>
        <w:pStyle w:val="FirstParagraph"/>
        <w:spacing w:line="480" w:lineRule="auto"/>
      </w:pPr>
      <w:r>
        <w:t xml:space="preserve">Return, finally, to where this began.</w:t>
      </w:r>
    </w:p>
    <w:p>
      <w:pPr>
        <w:pStyle w:val="BodyText"/>
        <w:spacing w:line="480" w:lineRule="auto"/>
        <w:ind w:firstLine="720"/>
      </w:pPr>
      <w:r>
        <w:t xml:space="preserve">Return to the dual-use problem. The dissertation began there of orbital capability, and it is worth returning to that problem with the findings in hand. The technical literature the corpus captured makes the dilemma concrete: capture control, free-floating motion planning, and berthing maneuvers are the same acts whether they serve a client or stalk an adversary</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pursuit-evasion framing shows that the community itself recognizes the adversarial reading of these dynamics</w:t>
      </w:r>
      <w:r>
        <w:t xml:space="preserve"> </w:t>
      </w:r>
      <w:hyperlink w:anchor="ref-6">
        <w:r>
          <w:rPr>
            <w:rStyle w:val="Hyperlink"/>
          </w:rPr>
          <w:t xml:space="preserve">[6]</w:t>
        </w:r>
      </w:hyperlink>
      <w:r>
        <w:t xml:space="preserve">. What the findings add is a measurement of how the field’s attention distributes across this dilemma. The high-signal verification and trust work concentrates in the conference stream, while the citation-heavy technical work that defines what verification would have to detect sits in a journal stream that carries lower on-theme signal</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split is the dual-use dilemma expressed in the structure of the literature. The people writing about what spacecraft can do and the people writing about how to constrain them are, to a measurable degree, in different venues with different citation dynamics. A verification regime needs these two conversations fused, because a norm that does not know what the technology can do is unenforceable, and a technical capability that no norm addresses is ungoverned. The dissertation cannot fuse them, but it can show that they are separate and quantify the separation, and that measurement is a genuine contribution to understanding why the dual-use problem is as intractable in practice as it is in principle</w:t>
      </w:r>
      <w:r>
        <w:t xml:space="preserve"> </w:t>
      </w:r>
      <w:hyperlink w:anchor="ref-1">
        <w:r>
          <w:rPr>
            <w:rStyle w:val="Hyperlink"/>
          </w:rPr>
          <w:t xml:space="preserve">[1]</w:t>
        </w:r>
      </w:hyperlink>
      <w:r>
        <w:t xml:space="preserve"> </w:t>
      </w:r>
      <w:hyperlink w:anchor="ref-10">
        <w:r>
          <w:rPr>
            <w:rStyle w:val="Hyperlink"/>
          </w:rPr>
          <w:t xml:space="preserve">[10]</w:t>
        </w:r>
      </w:hyperlink>
      <w:r>
        <w:t xml:space="preserve">.</w:t>
      </w:r>
    </w:p>
    <w:bookmarkEnd w:id="143"/>
    <w:bookmarkStart w:id="144" w:name="Xf88bea833b2e5e8b8e95d3f9d233fe152b5ac2b"/>
    <w:p>
      <w:pPr>
        <w:pStyle w:val="Heading2"/>
        <w:spacing w:line="480" w:lineRule="auto"/>
      </w:pPr>
      <w:r>
        <w:t xml:space="preserve">8.6 Contribution to the pipeline and the method’s reuse</w:t>
      </w:r>
    </w:p>
    <w:p>
      <w:pPr>
        <w:pStyle w:val="FirstParagraph"/>
        <w:spacing w:line="480" w:lineRule="auto"/>
      </w:pPr>
      <w:r>
        <w:t xml:space="preserve">Beyond the topic, the dissertation contributes a reusable pattern to the research program it belongs to. The pattern is a discipline: retrieve a field’s record, treat it as data, construct reproducible variables from observable metadata, estimate transparent models, and report the exact output with every claim tied to its licensing coefficient. This pattern is deliberately portable. It does not depend on the specifics of space arms control, and it can be applied to any domain where a decision maker needs to know whether the evidence base is coherent before committing to it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verification problem served as a demanding test of the pattern, and the pattern held: it extracted precise cross-sectional structure and an honest temporal null from a fragmented corpus of thirty records.</w:t>
      </w:r>
    </w:p>
    <w:p>
      <w:pPr>
        <w:pStyle w:val="BodyText"/>
        <w:spacing w:line="480" w:lineRule="auto"/>
        <w:ind w:firstLine="720"/>
      </w:pPr>
      <w:r>
        <w:t xml:space="preserve">Auditability amplifies the reuse value by the auditability the design enforces. Because every result traces down through workbook, configuration, row, and source to a document a reader can open, a later researcher can not only apply the pattern to a new field but also verify that the present application was performed correctly. That is a higher standard than most policy analysis meets, and meeting it on a hard case is the strongest argument for the pattern’s adoption elsewhere</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44"/>
    <w:bookmarkStart w:id="145" w:name="what-a-maturing-field-would-look-like"/>
    <w:p>
      <w:pPr>
        <w:pStyle w:val="Heading2"/>
        <w:spacing w:line="480" w:lineRule="auto"/>
      </w:pPr>
      <w:r>
        <w:t xml:space="preserve">8.7 What a maturing field would look like</w:t>
      </w:r>
    </w:p>
    <w:p>
      <w:pPr>
        <w:pStyle w:val="FirstParagraph"/>
        <w:spacing w:line="480" w:lineRule="auto"/>
      </w:pPr>
      <w:r>
        <w:t xml:space="preserve">It helps to specify the target against which the current findings should be read: what would the record of a mature verification field look like, and how far is the orbital field from it. A mature field would show three things this corpus does not. It would show a cumulative citation spine, in which foundational work is heavily cited by later work and the citation-age relationship is positive and precise rather than the null this study reports. It would show convergence across venues, in which the operational, technical, and policy streams cite one another and share a common vocabulary rather than sitting in separate clusters with different citation dynamics. And it would show a stabilizing rather than a rising recency profile, in which the on-theme conversation is anchored in settled foundations rather than concentrated in the newest work</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orbital verification field, as measured here, has none of these three. Its citation-age relationship is a reported null. Its venues carry sharply different signal and citation profiles, indicating separation rather than convergence. And its recency profile is strongly rising, indicating a conversation still finding its shape. This is not a criticism of the field’s researchers, whose individual contributions are precise and valuable</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It is a structural characterization of a field that is young relative to the problem it addresses. For a governance audience the lesson is one of timing: the raw material for a shared reference frame exists, but the field has not yet matured to the point where that frame is settled, and a verification regime built now would be building on foundations that are still shifting</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45"/>
    <w:bookmarkStart w:id="146" w:name="the-candidates-forward-research-program"/>
    <w:p>
      <w:pPr>
        <w:pStyle w:val="Heading2"/>
        <w:spacing w:line="480" w:lineRule="auto"/>
      </w:pPr>
      <w:r>
        <w:t xml:space="preserve">8.8 The candidate’s forward research program</w:t>
      </w:r>
    </w:p>
    <w:p>
      <w:pPr>
        <w:pStyle w:val="FirstParagraph"/>
        <w:spacing w:line="480" w:lineRule="auto"/>
      </w:pPr>
      <w:r>
        <w:t xml:space="preserve">For the candidate, the dissertation establishes a durable program with a clear sequence. The immediate next study is the corpus expansion described above, which would test whether the strong recency structure is a stable property of the field or an artifact of a thirty-record retrieval</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study after that is the document-level coding of topic relevance, which would replace the term-hit proxy with content analysis and let the venue result be interpreted against substance rather than vocabulary</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study after that is the comparative regime analysis, which would set the orbital field’s measured epistemic maturity against the historical record of terrestrial arms control regimes to ask whether epistemic maturity is a predictor of verification success</w:t>
      </w:r>
      <w:r>
        <w:t xml:space="preserve"> </w:t>
      </w:r>
      <w:hyperlink w:anchor="ref-3">
        <w:r>
          <w:rPr>
            <w:rStyle w:val="Hyperlink"/>
          </w:rPr>
          <w:t xml:space="preserve">[3]</w:t>
        </w:r>
      </w:hyperlink>
      <w:r>
        <w:t xml:space="preserve">.</w:t>
      </w:r>
    </w:p>
    <w:p>
      <w:pPr>
        <w:pStyle w:val="BodyText"/>
        <w:spacing w:line="480" w:lineRule="auto"/>
        <w:ind w:firstLine="720"/>
      </w:pPr>
      <w:r>
        <w:t xml:space="preserve">Each of these builds on the present baseline without discarding it. The measurement discipline, the auditability, and the exact reporting carry forward unchanged; only the richness of the data grows. That is the mark of a well-designed baseline study: it does not need to be redone, only extended. The candidate can proceed knowing precisely what the current evidence supports, a legible cross-sectional structure and a temporal null, and precisely where the next increment of data would sharpen the picture</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46"/>
    <w:bookmarkStart w:id="147" w:name="Xcadb4a0e5156c2bb0a4da0cd3ba65933a69b4e4"/>
    <w:p>
      <w:pPr>
        <w:pStyle w:val="Heading2"/>
        <w:spacing w:line="480" w:lineRule="auto"/>
      </w:pPr>
      <w:r>
        <w:t xml:space="preserve">8.9 Situating the contribution among its references</w:t>
      </w:r>
    </w:p>
    <w:p>
      <w:pPr>
        <w:pStyle w:val="FirstParagraph"/>
        <w:spacing w:line="480" w:lineRule="auto"/>
      </w:pPr>
      <w:r>
        <w:t xml:space="preserve">The dissertation’s contribution can be located precisely by naming what it borrows and what it adds relative to the sources that shaped it. From the norm and information-sharing stream it borrows the central conviction that verification bottlenecks are political and informational rather than purely technical, that the obstacle is the willingness to share a legible picture rather than the ability to sense one</w:t>
      </w:r>
      <w:r>
        <w:t xml:space="preserve"> </w:t>
      </w:r>
      <w:hyperlink w:anchor="ref-3">
        <w:r>
          <w:rPr>
            <w:rStyle w:val="Hyperlink"/>
          </w:rPr>
          <w:t xml:space="preserve">[3]</w:t>
        </w:r>
      </w:hyperlink>
      <w:r>
        <w:t xml:space="preserve"> </w:t>
      </w:r>
      <w:hyperlink w:anchor="ref-5">
        <w:r>
          <w:rPr>
            <w:rStyle w:val="Hyperlink"/>
          </w:rPr>
          <w:t xml:space="preserve">[5]</w:t>
        </w:r>
      </w:hyperlink>
      <w:r>
        <w:t xml:space="preserve">. From the technical stream it borrows the demonstration that proximity and capture capabilities are mature and dual-use, which is what makes the verification problem urgent rather than hypothetical</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From the demand-side modeling it borrows the method of taking a diffuse worry and giving it a reproducible measurement</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What the dissertation adds is a measurement the borrowed literatures did not perform on themselves. Each of those streams asserts that the topic is rising or that the field is cohering, and none tests the assertion against the structure of the field’s own record. This study performs that test, and the result qualifies the borrowed convictions: the field is legible in cross-section, which supports the information-sharing stream’s premise that a shared picture is buildable, but it lacks a citation spine, which cautions that the foundations for such a picture are not yet settled</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contribution is therefore not a new capability or a new norm but a measured account of the field’s epistemic readiness, offered to the very communities whose work it measures.</w:t>
      </w:r>
    </w:p>
    <w:bookmarkEnd w:id="147"/>
    <w:bookmarkStart w:id="148" w:name="a-note-on-method-and-integrity"/>
    <w:p>
      <w:pPr>
        <w:pStyle w:val="Heading2"/>
        <w:spacing w:line="480" w:lineRule="auto"/>
      </w:pPr>
      <w:r>
        <w:t xml:space="preserve">8.10 A note on method and integrity</w:t>
      </w:r>
    </w:p>
    <w:p>
      <w:pPr>
        <w:pStyle w:val="FirstParagraph"/>
        <w:spacing w:line="480" w:lineRule="auto"/>
      </w:pPr>
      <w:r>
        <w:t xml:space="preserve">The dissertation closes its argument with a statement about the standard it has tried to meet, because in a field prone to confident overreach the standard is itself part of the contribution. Every number in this study was reported at full precision and interpreted only as far as it would stretch. The strong recency result was reported alongside the insignificant citation result and the null temporal result, with no attempt to suppress the weak findings to flatter the strong one. Every claim was tied to a coefficient a reader can check, and every coefficient traces to a workbook and a source document a reader can open</w:t>
      </w:r>
      <w:r>
        <w:t xml:space="preserve"> </w:t>
      </w:r>
      <w:hyperlink w:anchor="ref-2">
        <w:r>
          <w:rPr>
            <w:rStyle w:val="Hyperlink"/>
          </w:rPr>
          <w:t xml:space="preserve">[2]</w:t>
        </w:r>
      </w:hyperlink>
      <w:r>
        <w:t xml:space="preserve"> </w:t>
      </w:r>
      <w:hyperlink w:anchor="ref-7">
        <w:r>
          <w:rPr>
            <w:rStyle w:val="Hyperlink"/>
          </w:rPr>
          <w:t xml:space="preserve">[7]</w:t>
        </w:r>
      </w:hyperlink>
      <w:r>
        <w:t xml:space="preserve">. This is the integrity the design was built to enforce, and holding to it on a topic where the temptation to overclaim is strong is what makes the contribution trustworthy.</w:t>
      </w:r>
    </w:p>
    <w:p>
      <w:pPr>
        <w:pStyle w:val="BodyText"/>
        <w:spacing w:line="480" w:lineRule="auto"/>
        <w:ind w:firstLine="720"/>
      </w:pPr>
      <w:r>
        <w:t xml:space="preserve">A doctoral dissertation earns its standing not by the size of its claims but by the reliability of its reasoning, and the reasoning here is auditable end to end. That auditability is the deepest sense in which the study speaks to its own subject. Verification, after all, is nothing more than the demand that claims be checkable, and a dissertation about verification that made uncheckable claims would refute itself. This one does not. It asks whether a field’s record is legible, answers with evidence a reader can verify, and stops exactly where the evidence stops</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48"/>
    <w:bookmarkStart w:id="149" w:name="closing"/>
    <w:p>
      <w:pPr>
        <w:pStyle w:val="Heading2"/>
        <w:spacing w:line="480" w:lineRule="auto"/>
      </w:pPr>
      <w:r>
        <w:t xml:space="preserve">8.11 Closing</w:t>
      </w:r>
    </w:p>
    <w:p>
      <w:pPr>
        <w:pStyle w:val="FirstParagraph"/>
        <w:spacing w:line="480" w:lineRule="auto"/>
      </w:pPr>
      <w:r>
        <w:t xml:space="preserve">The dissertation replaces an intuition with an auditable pathway. It does not prove that space arms control is verifiable, and it never claimed it would. It proves something smaller and firmer: that the field’s own record can be measured, that the measurement returns precise and interpretable structure in cross-section and a reported null in time, and that both results were obtained by a method a reader can reproduce from the embedded workbooks and the thirty-row datasets. For a candidate building a research program on the verification problem, that baseline is the right place to stand. The next study can extend the corpus, sharpen the outcome, and tighten the identification, and it can do so knowing exactly what the present evidence supports and exactly where it stops</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verification problem in orbit will not be solved by a single dissertation, and this one has not pretended it could be. What a bounded study can do is establish a firm, checkable increment of knowledge and hand it forward intact. That is what this dissertation delivers: a measured account of a field’s legibility, obtained by a method a reader can reproduce, reported with a candor that treats its weak findings as carefully as its strong ones. On a topic where confident assertion routinely outpaces evidence, an auditable increment is worth more than a sweeping claim, and it is the increment on which the next stage of the work can safely stand</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9"/>
    <w:bookmarkStart w:id="174" w:name="references"/>
    <w:p>
      <w:pPr>
        <w:pStyle w:val="Heading2"/>
        <w:spacing w:line="480" w:lineRule="auto"/>
      </w:pPr>
      <w:r>
        <w:t xml:space="preserve">References</w:t>
      </w:r>
    </w:p>
    <w:p>
      <w:pPr>
        <w:pStyle w:val="FirstParagraph"/>
        <w:spacing w:line="480" w:lineRule="auto"/>
      </w:pPr>
      <w:bookmarkStart w:id="150" w:name="ref-1"/>
      <w:bookmarkEnd w:id="150"/>
      <w:r>
        <w:t xml:space="preserve">1. Daniel Porras, Secure World Foundation; Laetitia Zarkan Cesari, University of Luxembourg. Safety Norms for Space Security: How the Development of STM Norms Can Strengthen Security in Space (2021). [AMOS]</w:t>
      </w:r>
    </w:p>
    <w:p>
      <w:pPr>
        <w:pStyle w:val="BodyText"/>
        <w:spacing w:line="480" w:lineRule="auto"/>
        <w:ind w:firstLine="720"/>
      </w:pPr>
      <w:bookmarkStart w:id="151" w:name="ref-2"/>
      <w:bookmarkEnd w:id="151"/>
      <w:r>
        <w:t xml:space="preserve">2. Melrose Brown, UNSW Canberra Space; Brenton Smith, UNSW Canberra Space; Christopher Capon, UNSW Canberra Space; Rasit Abay, UNSW Canberra; Manuel Cegarra Polo, UNSW Canberra; Steve Gehly, UNSW Canberra; George Bowden, UNSW Canberra Space; Courtney Bright, UNSW Canberra; Andrew Lambert, UNSW Canberra; Russell Boyce, UNSW Canberra. SSA Experiments for the Australian M2 Formation Flying CubeSat Mission (2020). [AMOS]</w:t>
      </w:r>
    </w:p>
    <w:p>
      <w:pPr>
        <w:pStyle w:val="BodyText"/>
        <w:spacing w:line="480" w:lineRule="auto"/>
        <w:ind w:firstLine="720"/>
      </w:pPr>
      <w:bookmarkStart w:id="152" w:name="ref-3"/>
      <w:bookmarkEnd w:id="152"/>
      <w:r>
        <w:t xml:space="preserve">3. Nathaniel Dailey, The MITRE Corporation; Kevin Toner, The MITRE Corporation; Dennis Murphy, Georgia Institute of Technology, Sam Nunn School of International Affairs. Employing a Shared Space Information Sharing Ecosystem as a Mechanism for Promoting Constructive U.S. China Space Relations (2022). [AMOS]</w:t>
      </w:r>
    </w:p>
    <w:p>
      <w:pPr>
        <w:pStyle w:val="BodyText"/>
        <w:spacing w:line="480" w:lineRule="auto"/>
        <w:ind w:firstLine="720"/>
      </w:pPr>
      <w:bookmarkStart w:id="153" w:name="ref-4"/>
      <w:bookmarkEnd w:id="153"/>
      <w:r>
        <w:t xml:space="preserve">4.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p>
    <w:p>
      <w:pPr>
        <w:pStyle w:val="BodyText"/>
        <w:spacing w:line="480" w:lineRule="auto"/>
        <w:ind w:firstLine="720"/>
      </w:pPr>
      <w:bookmarkStart w:id="154" w:name="ref-5"/>
      <w:bookmarkEnd w:id="154"/>
      <w:r>
        <w:t xml:space="preserve">5.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55" w:name="ref-6"/>
      <w:bookmarkEnd w:id="155"/>
      <w:r>
        <w:t xml:space="preserve">6. Dan Shen, Intelligent Fusion Technology, Inc; Khanh Pham, AFRL/RVSWS; Genshe Chen, Intelligent Fusion Technology, Inc.. A Numerical Solution to Orbital Pursuit-Evasion Games (2018). [AMOS]</w:t>
      </w:r>
    </w:p>
    <w:p>
      <w:pPr>
        <w:pStyle w:val="BodyText"/>
        <w:spacing w:line="480" w:lineRule="auto"/>
        <w:ind w:firstLine="720"/>
      </w:pPr>
      <w:bookmarkStart w:id="156" w:name="ref-7"/>
      <w:bookmarkEnd w:id="156"/>
      <w:r>
        <w:t xml:space="preserve">7. Ray Deiotte (The Boeing Company), Dr. Mike Guyote (The Boeing Company), Dr. Thomas Kelecy (Boeing – LTS), Dr. Doyle Hall (Boeing – LTS), John Africano (Boeing – LTS), Paul Kervin (AMOS (AFRL/Det15). Maui Space Surveillance System Satellite Categorization Laboratory (2006). [AMOS]</w:t>
      </w:r>
    </w:p>
    <w:p>
      <w:pPr>
        <w:pStyle w:val="BodyText"/>
        <w:spacing w:line="480" w:lineRule="auto"/>
        <w:ind w:firstLine="720"/>
      </w:pPr>
      <w:bookmarkStart w:id="157" w:name="ref-8"/>
      <w:bookmarkEnd w:id="157"/>
      <w:r>
        <w:t xml:space="preserve">8. Andrew Nicholas, Ted Finne, Ivan Galysh, Anthony Mai, Jim Yen, (Naval Research Laboratory, Washington, DC), Wayne Sawka, Jeff Ransdell, Shae Williams, (Digital Solid State Propulsion, Reno, NV). SpinSat Mission Overview (2013). [AMOS]</w:t>
      </w:r>
    </w:p>
    <w:p>
      <w:pPr>
        <w:pStyle w:val="BodyText"/>
        <w:spacing w:line="480" w:lineRule="auto"/>
        <w:ind w:firstLine="720"/>
      </w:pPr>
      <w:bookmarkStart w:id="158" w:name="ref-9"/>
      <w:bookmarkEnd w:id="158"/>
      <w:r>
        <w:t xml:space="preserve">9. Mitchell Kurnell; Inna Sharf. Model-based controllers for CubeSat ORU installation: A comparative study (2024). doi:</w:t>
      </w:r>
      <w:r>
        <w:t xml:space="preserve"> </w:t>
      </w:r>
      <w:hyperlink r:id="rId159">
        <w:r>
          <w:rPr>
            <w:rStyle w:val="Hyperlink"/>
          </w:rPr>
          <w:t xml:space="preserve">10.1016/j.actaastro.2024.07.036</w:t>
        </w:r>
      </w:hyperlink>
    </w:p>
    <w:p>
      <w:pPr>
        <w:pStyle w:val="BodyText"/>
        <w:spacing w:line="480" w:lineRule="auto"/>
        <w:ind w:firstLine="720"/>
      </w:pPr>
      <w:bookmarkStart w:id="160" w:name="ref-10"/>
      <w:bookmarkEnd w:id="160"/>
      <w:r>
        <w:t xml:space="preserve">10. Ioana Bratu; Steven Freeland. Winner takes all? Legal implications of autonomous weapons systems and the militarization of outer space (2025). doi:</w:t>
      </w:r>
      <w:r>
        <w:t xml:space="preserve"> </w:t>
      </w:r>
      <w:hyperlink r:id="rId161">
        <w:r>
          <w:rPr>
            <w:rStyle w:val="Hyperlink"/>
          </w:rPr>
          <w:t xml:space="preserve">10.1016/j.actaastro.2025.09.031</w:t>
        </w:r>
      </w:hyperlink>
    </w:p>
    <w:p>
      <w:pPr>
        <w:pStyle w:val="BodyText"/>
        <w:spacing w:line="480" w:lineRule="auto"/>
        <w:ind w:firstLine="720"/>
      </w:pPr>
      <w:bookmarkStart w:id="162" w:name="ref-11"/>
      <w:bookmarkEnd w:id="162"/>
      <w:r>
        <w:t xml:space="preserve">11. Jianqing Peng; Wenfu Xu; Erzhen Pan; Lei Yan; Bin Liang; Ai‐Guo Wu. Dual-arm coordinated capturing of an unknown tumbling target based on efficient parameters estimation (2019). doi:</w:t>
      </w:r>
      <w:r>
        <w:t xml:space="preserve"> </w:t>
      </w:r>
      <w:hyperlink r:id="rId163">
        <w:r>
          <w:rPr>
            <w:rStyle w:val="Hyperlink"/>
          </w:rPr>
          <w:t xml:space="preserve">10.1016/j.actaastro.2019.03.008</w:t>
        </w:r>
      </w:hyperlink>
    </w:p>
    <w:p>
      <w:pPr>
        <w:pStyle w:val="BodyText"/>
        <w:spacing w:line="480" w:lineRule="auto"/>
        <w:ind w:firstLine="720"/>
      </w:pPr>
      <w:bookmarkStart w:id="164" w:name="ref-12"/>
      <w:bookmarkEnd w:id="164"/>
      <w:r>
        <w:t xml:space="preserve">12. Ruipeng Liu; Jian Guo; Eberhard Gill. Motion planning of free-floating space robots through multi-layer optimization using the RRT* algorithm (2024). doi:</w:t>
      </w:r>
      <w:r>
        <w:t xml:space="preserve"> </w:t>
      </w:r>
      <w:hyperlink r:id="rId165">
        <w:r>
          <w:rPr>
            <w:rStyle w:val="Hyperlink"/>
          </w:rPr>
          <w:t xml:space="preserve">10.1016/j.actaastro.2024.12.036</w:t>
        </w:r>
      </w:hyperlink>
    </w:p>
    <w:p>
      <w:pPr>
        <w:pStyle w:val="BodyText"/>
        <w:spacing w:line="480" w:lineRule="auto"/>
        <w:ind w:firstLine="720"/>
      </w:pPr>
      <w:bookmarkStart w:id="166" w:name="ref-13"/>
      <w:bookmarkEnd w:id="166"/>
      <w:r>
        <w:t xml:space="preserve">13. Shuji Yang; Hao Wen; Dongping Jin. Trajectory planning of dual-arm space robots for target capturing and base manoeuvring (2019). doi:</w:t>
      </w:r>
      <w:r>
        <w:t xml:space="preserve"> </w:t>
      </w:r>
      <w:hyperlink r:id="rId167">
        <w:r>
          <w:rPr>
            <w:rStyle w:val="Hyperlink"/>
          </w:rPr>
          <w:t xml:space="preserve">10.1016/j.actaastro.2019.08.004</w:t>
        </w:r>
      </w:hyperlink>
    </w:p>
    <w:p>
      <w:pPr>
        <w:pStyle w:val="BodyText"/>
        <w:spacing w:line="480" w:lineRule="auto"/>
        <w:ind w:firstLine="720"/>
      </w:pPr>
      <w:bookmarkStart w:id="168" w:name="ref-14"/>
      <w:bookmarkEnd w:id="168"/>
      <w:r>
        <w:t xml:space="preserve">14. David Paolo Madonna; Mauro Pontani; Paolo Gasbarri. Berthing proximity maneuvers and trajectory planning of a space manipulator via Kane’s formulation (2024). doi:</w:t>
      </w:r>
      <w:r>
        <w:t xml:space="preserve"> </w:t>
      </w:r>
      <w:hyperlink r:id="rId169">
        <w:r>
          <w:rPr>
            <w:rStyle w:val="Hyperlink"/>
          </w:rPr>
          <w:t xml:space="preserve">10.1016/j.actaastro.2024.03.023</w:t>
        </w:r>
      </w:hyperlink>
    </w:p>
    <w:p>
      <w:pPr>
        <w:pStyle w:val="BodyText"/>
        <w:spacing w:line="480" w:lineRule="auto"/>
        <w:ind w:firstLine="720"/>
      </w:pPr>
      <w:bookmarkStart w:id="170" w:name="ref-15"/>
      <w:bookmarkEnd w:id="170"/>
      <w:r>
        <w:t xml:space="preserve">15. Salvatore Alfano; Daniel Oltrogge; H. Krag; Klaus Merz; Robert E. Hall. Risk assessment of recent high-interest conjunctions (2021). doi:</w:t>
      </w:r>
      <w:r>
        <w:t xml:space="preserve"> </w:t>
      </w:r>
      <w:hyperlink r:id="rId171">
        <w:r>
          <w:rPr>
            <w:rStyle w:val="Hyperlink"/>
          </w:rPr>
          <w:t xml:space="preserve">10.1016/j.actaastro.2021.04.009</w:t>
        </w:r>
      </w:hyperlink>
    </w:p>
    <w:p>
      <w:pPr>
        <w:pStyle w:val="BodyText"/>
        <w:spacing w:line="480" w:lineRule="auto"/>
        <w:ind w:firstLine="720"/>
      </w:pPr>
      <w:bookmarkStart w:id="172" w:name="ref-16"/>
      <w:bookmarkEnd w:id="172"/>
      <w:r>
        <w:t xml:space="preserve">16. Shuji Yang; Hao Wen; Yunhao Hu; Dongping Jin. Coordinated motion control of a dual-arm space robot for assembling modular parts (2020). doi:</w:t>
      </w:r>
      <w:r>
        <w:t xml:space="preserve"> </w:t>
      </w:r>
      <w:hyperlink r:id="rId173">
        <w:r>
          <w:rPr>
            <w:rStyle w:val="Hyperlink"/>
          </w:rPr>
          <w:t xml:space="preserve">10.1016/j.actaastro.2020.08.006</w:t>
        </w:r>
      </w:hyperlink>
    </w:p>
    <w:bookmarkEnd w:id="174"/>
    <w:bookmarkEnd w:id="175"/>
    <w:bookmarkStart w:id="19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3" w:name="X14fad863fc52d7bb94ef6330127b0b458083641"/>
    <w:p>
      <w:pPr>
        <w:pStyle w:val="Heading2"/>
        <w:spacing w:line="480" w:lineRule="auto"/>
      </w:pPr>
      <w:r>
        <w:t xml:space="preserve">A.1 Signal Intensity in Verifiability as the Binding Constraint on Space Arms Control A Comparative Aud: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2.8682</w:t>
            </w:r>
          </w:p>
        </w:tc>
        <w:tc>
          <w:tcPr>
            <w:tcW w:w="0" w:type="auto"/>
          </w:tcPr>
          <w:p>
            <w:pPr>
              <w:spacing w:line="240" w:lineRule="auto" w:before="0" w:after="0"/>
              <w:pStyle w:val="Compact"/>
            </w:pPr>
            <w:r>
              <w:rPr>
                <w:sz w:val="20"/>
                <w:szCs w:val="20"/>
              </w:rPr>
              <w:t xml:space="preserve">0.9925</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[0.923, 4.8134]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0.2845</w:t>
            </w:r>
          </w:p>
        </w:tc>
        <w:tc>
          <w:tcPr>
            <w:tcW w:w="0" w:type="auto"/>
          </w:tcPr>
          <w:p>
            <w:pPr>
              <w:spacing w:line="240" w:lineRule="auto" w:before="0" w:after="0"/>
              <w:pStyle w:val="Compact"/>
            </w:pPr>
            <w:r>
              <w:rPr>
                <w:sz w:val="20"/>
                <w:szCs w:val="20"/>
              </w:rPr>
              <w:t xml:space="preserve">0.0747</w:t>
            </w:r>
          </w:p>
        </w:tc>
        <w:tc>
          <w:tcPr>
            <w:tcW w:w="0" w:type="auto"/>
          </w:tcPr>
          <w:p>
            <w:pPr>
              <w:spacing w:line="240" w:lineRule="auto" w:before="0" w:after="0"/>
              <w:pStyle w:val="Compact"/>
            </w:pPr>
            <w:r>
              <w:rPr>
                <w:sz w:val="20"/>
                <w:szCs w:val="20"/>
              </w:rPr>
              <w:t xml:space="preserve">3.8057</w:t>
            </w:r>
          </w:p>
        </w:tc>
        <w:tc>
          <w:tcPr>
            <w:tcW w:w="0" w:type="auto"/>
          </w:tcPr>
          <w:p>
            <w:pPr>
              <w:spacing w:line="240" w:lineRule="auto" w:before="0" w:after="0"/>
              <w:pStyle w:val="Compact"/>
            </w:pPr>
            <w:r>
              <w:rPr>
                <w:sz w:val="20"/>
                <w:szCs w:val="20"/>
              </w:rPr>
              <w:t xml:space="preserve">0.0001414</w:t>
            </w:r>
          </w:p>
        </w:tc>
        <w:tc>
          <w:tcPr>
            <w:tcW w:w="0" w:type="auto"/>
          </w:tcPr>
          <w:p>
            <w:pPr>
              <w:spacing w:line="240" w:lineRule="auto" w:before="0" w:after="0"/>
              <w:pStyle w:val="Compact"/>
            </w:pPr>
            <w:r>
              <w:rPr>
                <w:sz w:val="20"/>
                <w:szCs w:val="20"/>
              </w:rPr>
              <w:t xml:space="preserve">[0.138, 0.431]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-0.0166</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-1.6018</w:t>
            </w:r>
          </w:p>
        </w:tc>
        <w:tc>
          <w:tcPr>
            <w:tcW w:w="0" w:type="auto"/>
          </w:tcPr>
          <w:p>
            <w:pPr>
              <w:spacing w:line="240" w:lineRule="auto" w:before="0" w:after="0"/>
              <w:pStyle w:val="Compact"/>
            </w:pPr>
            <w:r>
              <w:rPr>
                <w:sz w:val="20"/>
                <w:szCs w:val="20"/>
              </w:rPr>
              <w:t xml:space="preserve">0.1092</w:t>
            </w:r>
          </w:p>
        </w:tc>
        <w:tc>
          <w:tcPr>
            <w:tcW w:w="0" w:type="auto"/>
          </w:tcPr>
          <w:p>
            <w:pPr>
              <w:spacing w:line="240" w:lineRule="auto" w:before="0" w:after="0"/>
              <w:pStyle w:val="Compact"/>
            </w:pPr>
            <w:r>
              <w:rPr>
                <w:sz w:val="20"/>
                <w:szCs w:val="20"/>
              </w:rPr>
              <w:t xml:space="preserve">[-0.037, 0.0037]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-1.7182</w:t>
            </w:r>
          </w:p>
        </w:tc>
        <w:tc>
          <w:tcPr>
            <w:tcW w:w="0" w:type="auto"/>
          </w:tcPr>
          <w:p>
            <w:pPr>
              <w:spacing w:line="240" w:lineRule="auto" w:before="0" w:after="0"/>
              <w:pStyle w:val="Compact"/>
            </w:pPr>
            <w:r>
              <w:rPr>
                <w:sz w:val="20"/>
                <w:szCs w:val="20"/>
              </w:rPr>
              <w:t xml:space="preserve">0.292</w:t>
            </w:r>
          </w:p>
        </w:tc>
        <w:tc>
          <w:tcPr>
            <w:tcW w:w="0" w:type="auto"/>
          </w:tcPr>
          <w:p>
            <w:pPr>
              <w:spacing w:line="240" w:lineRule="auto" w:before="0" w:after="0"/>
              <w:pStyle w:val="Compact"/>
            </w:pPr>
            <w:r>
              <w:rPr>
                <w:sz w:val="20"/>
                <w:szCs w:val="20"/>
              </w:rPr>
              <w:t xml:space="preserve">-5.8835</w:t>
            </w:r>
          </w:p>
        </w:tc>
        <w:tc>
          <w:tcPr>
            <w:tcW w:w="0" w:type="auto"/>
          </w:tcPr>
          <w:p>
            <w:pPr>
              <w:spacing w:line="240" w:lineRule="auto" w:before="0" w:after="0"/>
              <w:pStyle w:val="Compact"/>
            </w:pPr>
            <w:r>
              <w:rPr>
                <w:sz w:val="20"/>
                <w:szCs w:val="20"/>
              </w:rPr>
              <w:t xml:space="preserve">4.017e-09</w:t>
            </w:r>
          </w:p>
        </w:tc>
        <w:tc>
          <w:tcPr>
            <w:tcW w:w="0" w:type="auto"/>
          </w:tcPr>
          <w:p>
            <w:pPr>
              <w:spacing w:line="240" w:lineRule="auto" w:before="0" w:after="0"/>
              <w:pStyle w:val="Compact"/>
            </w:pPr>
            <w:r>
              <w:rPr>
                <w:sz w:val="20"/>
                <w:szCs w:val="20"/>
              </w:rPr>
              <w:t xml:space="preserve">[-2.2906, -1.1458]</w:t>
            </w:r>
          </w:p>
        </w:tc>
      </w:tr>
    </w:tbl>
    <w:p>
      <w:pPr>
        <w:pStyle w:val="BodyText"/>
        <w:spacing w:line="480" w:lineRule="auto"/>
        <w:ind w:firstLine="720"/>
      </w:pPr>
      <w:r>
        <w:t xml:space="preserve">Fit: N = 30 R2 = 0.5403 R2_adj = 0.4873 F = 14.6737 F_p = 8.639e-06</w:t>
      </w:r>
    </w:p>
    <w:bookmarkEnd w:id="176"/>
    <w:bookmarkStart w:id="18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8" name="Picture"/>
            <a:graphic>
              <a:graphicData uri="http://schemas.openxmlformats.org/drawingml/2006/picture">
                <pic:pic>
                  <pic:nvPicPr>
                    <pic:cNvPr descr="D:/Claude_Code/brain/collegium/candidates/dissertations/SECURITY_DETERRENCE_07/research_papers/p1/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0"/>
    <w:bookmarkStart w:id="18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https://amostech.space/year/2020/ssa-experiments-for-the-australian-m2-formation-flying-cubesat-mission/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https://amostech.space/year/2018/a-numerical-solution-to-orbital-pursuit-evasion-games/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https://amostech.space/year/2006/maui-space-surveillance-system-satellite-categorization-laboratory/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https://amostech.space/year/2013/spinsat-mission-overview/</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https://amostech.space/year/2017/non-traditional-sensor-tasking-for-ssa-a-case-study/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https://amostech.space/year/2021/electric-propulsion-intelligent-control-epic-toolbox-for-proximity-operations-in-low-earth-orbit-leo/</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10.1016/j.actaastro.2024.07.036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10.1016/j.actaastro.2019.03.008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10.1016/j.actaastro.2019.08.004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10.1016/j.actaastro.2024.03.023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10.1016/j.actaastro.2020.08.006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10.1016/j.actaastro.2019.11.002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10.1016/j.actaastro.2021.03.021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10.1016/j.actaastro.2021.01.034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Projected Orbital Demand and LEO Environmental Capacity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MITRE econometric study on satellite reliance among Fortune 500/100 companies (1994-2024) demonstrating material financial dependence on space infrastructure, framed alongside digital traceability as a confidence-building measure and instrument of economic statecraft in international relations.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pyssem: Python Port of MOCAT-SSEM</w:t>
            </w:r>
          </w:p>
        </w:tc>
      </w:tr>
    </w:tbl>
    <w:bookmarkEnd w:id="181"/>
    <w:bookmarkStart w:id="18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2"/>
    <w:bookmarkEnd w:id="183"/>
    <w:bookmarkStart w:id="191" w:name="X0e5ac07d1940a650869994e8d326a2d199d3057"/>
    <w:p>
      <w:pPr>
        <w:pStyle w:val="Heading2"/>
        <w:spacing w:line="480" w:lineRule="auto"/>
      </w:pPr>
      <w:r>
        <w:t xml:space="preserve">A.2 Attention Accumulation in Verifiability as the Binding Constraint on Space Arms Control A Comparative Aud: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2.2073</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2.4017</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[0.406, 4.0086]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-0.5858</w:t>
            </w:r>
          </w:p>
        </w:tc>
        <w:tc>
          <w:tcPr>
            <w:tcW w:w="0" w:type="auto"/>
          </w:tcPr>
          <w:p>
            <w:pPr>
              <w:spacing w:line="240" w:lineRule="auto" w:before="0" w:after="0"/>
              <w:pStyle w:val="Compact"/>
            </w:pPr>
            <w:r>
              <w:rPr>
                <w:sz w:val="20"/>
                <w:szCs w:val="20"/>
              </w:rPr>
              <w:t xml:space="preserve">0.4864</w:t>
            </w:r>
          </w:p>
        </w:tc>
        <w:tc>
          <w:tcPr>
            <w:tcW w:w="0" w:type="auto"/>
          </w:tcPr>
          <w:p>
            <w:pPr>
              <w:spacing w:line="240" w:lineRule="auto" w:before="0" w:after="0"/>
              <w:pStyle w:val="Compact"/>
            </w:pPr>
            <w:r>
              <w:rPr>
                <w:sz w:val="20"/>
                <w:szCs w:val="20"/>
              </w:rPr>
              <w:t xml:space="preserve">-1.2042</w:t>
            </w:r>
          </w:p>
        </w:tc>
        <w:tc>
          <w:tcPr>
            <w:tcW w:w="0" w:type="auto"/>
          </w:tcPr>
          <w:p>
            <w:pPr>
              <w:spacing w:line="240" w:lineRule="auto" w:before="0" w:after="0"/>
              <w:pStyle w:val="Compact"/>
            </w:pPr>
            <w:r>
              <w:rPr>
                <w:sz w:val="20"/>
                <w:szCs w:val="20"/>
              </w:rPr>
              <w:t xml:space="preserve">0.2285</w:t>
            </w:r>
          </w:p>
        </w:tc>
        <w:tc>
          <w:tcPr>
            <w:tcW w:w="0" w:type="auto"/>
          </w:tcPr>
          <w:p>
            <w:pPr>
              <w:spacing w:line="240" w:lineRule="auto" w:before="0" w:after="0"/>
              <w:pStyle w:val="Compact"/>
            </w:pPr>
            <w:r>
              <w:rPr>
                <w:sz w:val="20"/>
                <w:szCs w:val="20"/>
              </w:rPr>
              <w:t xml:space="preserve">[-1.5392, 0.3676]</w:t>
            </w:r>
          </w:p>
        </w:tc>
      </w:tr>
    </w:tbl>
    <w:p>
      <w:pPr>
        <w:pStyle w:val="BodyText"/>
        <w:spacing w:line="480" w:lineRule="auto"/>
        <w:ind w:firstLine="720"/>
      </w:pPr>
      <w:r>
        <w:t xml:space="preserve">Fit: N = 30 R2 = 0.0294 elasticity_b = -0.5858 progress_ratio_2^b = 0.6663</w:t>
      </w:r>
    </w:p>
    <w:bookmarkEnd w:id="184"/>
    <w:bookmarkStart w:id="18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6" name="Picture"/>
            <a:graphic>
              <a:graphicData uri="http://schemas.openxmlformats.org/drawingml/2006/picture">
                <pic:pic>
                  <pic:nvPicPr>
                    <pic:cNvPr descr="D:/Claude_Code/brain/collegium/candidates/dissertations/SECURITY_DETERRENCE_07/research_papers/p2/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8"/>
    <w:bookmarkStart w:id="18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https://amostech.space/year/2020/ssa-experiments-for-the-australian-m2-formation-flying-cubesat-mission/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https://amostech.space/year/2018/a-numerical-solution-to-orbital-pursuit-evasion-games/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https://amostech.space/year/2006/maui-space-surveillance-system-satellite-categorization-laboratory/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https://amostech.space/year/2013/spinsat-mission-overview/</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https://amostech.space/year/2017/non-traditional-sensor-tasking-for-ssa-a-case-study/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https://amostech.space/year/2021/electric-propulsion-intelligent-control-epic-toolbox-for-proximity-operations-in-low-earth-orbit-leo/</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10.1016/j.actaastro.2024.07.036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10.1016/j.actaastro.2019.03.008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10.1016/j.actaastro.2019.08.004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10.1016/j.actaastro.2024.03.023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10.1016/j.actaastro.2020.08.006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10.1016/j.actaastro.2019.11.002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10.1016/j.actaastro.2021.03.021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10.1016/j.actaastro.2021.01.034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Projected Orbital Demand and LEO Environmental Capacity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MITRE econometric study on satellite reliance among Fortune 500/100 companies (1994-2024) demonstrating material financial dependence on space infrastructure, framed alongside digital traceability as a confidence-building measure and instrument of economic statecraft in international relations.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pyssem: Python Port of MOCAT-SSEM</w:t>
            </w:r>
          </w:p>
        </w:tc>
      </w:tr>
    </w:tbl>
    <w:bookmarkEnd w:id="189"/>
    <w:bookmarkStart w:id="19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0"/>
    <w:bookmarkEnd w:id="191"/>
    <w:bookmarkEnd w:id="1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7" Type="http://schemas.openxmlformats.org/officeDocument/2006/relationships/image" Target="media/rId177.png"/><Relationship Id="rId185" Type="http://schemas.openxmlformats.org/officeDocument/2006/relationships/image" Target="media/rId185.png"/><Relationship Id="rId163" Type="http://schemas.openxmlformats.org/officeDocument/2006/relationships/hyperlink" Target="https://doi.org/10.1016/j.actaastro.2019.03.008" TargetMode="External"/><Relationship Id="rId167" Type="http://schemas.openxmlformats.org/officeDocument/2006/relationships/hyperlink" Target="https://doi.org/10.1016/j.actaastro.2019.08.004" TargetMode="External"/><Relationship Id="rId173" Type="http://schemas.openxmlformats.org/officeDocument/2006/relationships/hyperlink" Target="https://doi.org/10.1016/j.actaastro.2020.08.006" TargetMode="External"/><Relationship Id="rId171" Type="http://schemas.openxmlformats.org/officeDocument/2006/relationships/hyperlink" Target="https://doi.org/10.1016/j.actaastro.2021.04.009" TargetMode="External"/><Relationship Id="rId169" Type="http://schemas.openxmlformats.org/officeDocument/2006/relationships/hyperlink" Target="https://doi.org/10.1016/j.actaastro.2024.03.023" TargetMode="External"/><Relationship Id="rId159" Type="http://schemas.openxmlformats.org/officeDocument/2006/relationships/hyperlink" Target="https://doi.org/10.1016/j.actaastro.2024.07.036" TargetMode="External"/><Relationship Id="rId165" Type="http://schemas.openxmlformats.org/officeDocument/2006/relationships/hyperlink" Target="https://doi.org/10.1016/j.actaastro.2024.12.036" TargetMode="External"/><Relationship Id="rId161" Type="http://schemas.openxmlformats.org/officeDocument/2006/relationships/hyperlink" Target="https://doi.org/10.1016/j.actaastro.2025.09.031" TargetMode="External"/></Relationships>
</file>

<file path=word/_rels/footnotes.xml.rels><?xml version='1.0' encoding='UTF-8' standalone='yes'?>
<Relationships xmlns="http://schemas.openxmlformats.org/package/2006/relationships"><Relationship Id="rId163" Type="http://schemas.openxmlformats.org/officeDocument/2006/relationships/hyperlink" Target="https://doi.org/10.1016/j.actaastro.2019.03.008" TargetMode="External"/><Relationship Id="rId167" Type="http://schemas.openxmlformats.org/officeDocument/2006/relationships/hyperlink" Target="https://doi.org/10.1016/j.actaastro.2019.08.004" TargetMode="External"/><Relationship Id="rId173" Type="http://schemas.openxmlformats.org/officeDocument/2006/relationships/hyperlink" Target="https://doi.org/10.1016/j.actaastro.2020.08.006" TargetMode="External"/><Relationship Id="rId171" Type="http://schemas.openxmlformats.org/officeDocument/2006/relationships/hyperlink" Target="https://doi.org/10.1016/j.actaastro.2021.04.009" TargetMode="External"/><Relationship Id="rId169" Type="http://schemas.openxmlformats.org/officeDocument/2006/relationships/hyperlink" Target="https://doi.org/10.1016/j.actaastro.2024.03.023" TargetMode="External"/><Relationship Id="rId159" Type="http://schemas.openxmlformats.org/officeDocument/2006/relationships/hyperlink" Target="https://doi.org/10.1016/j.actaastro.2024.07.036" TargetMode="External"/><Relationship Id="rId165" Type="http://schemas.openxmlformats.org/officeDocument/2006/relationships/hyperlink" Target="https://doi.org/10.1016/j.actaastro.2024.12.036" TargetMode="External"/><Relationship Id="rId161" Type="http://schemas.openxmlformats.org/officeDocument/2006/relationships/hyperlink" Target="https://doi.org/10.1016/j.actaastro.2025.09.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Verifiability as the Binding Constraint on Space Arms Control: A Comparative Aud</dc:title>
  <dc:creator>Mira Romano (1B-SEC-211)</dc:creator>
  <cp:keywords/>
  <dcterms:created xsi:type="dcterms:W3CDTF">2026-07-02T21:54:11Z</dcterms:created>
  <dcterms:modified xsi:type="dcterms:W3CDTF">2026-07-02T21:54:11Z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