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5e8f4b714b4868b094555c51783fd2a68a8852"/>
    <w:p>
      <w:pPr>
        <w:pStyle w:val="Heading1"/>
      </w:pPr>
      <w:r>
        <w:t xml:space="preserve">Attention Accumulation in Entanglement and Inadvertent Escalation Mapping Dual-Use Space Assets That Coup: A Learning-Curve Analysis of Citation Growth by Article Age</w:t>
      </w:r>
    </w:p>
    <w:bookmarkStart w:id="61" w:name="introduction"/>
    <w:p>
      <w:pPr>
        <w:pStyle w:val="Heading2"/>
      </w:pPr>
      <w:r>
        <w:t xml:space="preserve">1. Introduction</w:t>
      </w:r>
    </w:p>
    <w:p>
      <w:pPr>
        <w:pStyle w:val="FirstParagraph"/>
      </w:pPr>
      <w:r>
        <w:t xml:space="preserve">This empirical paper supports Lorenzo Cohen (1B-SEC-218) and the dissertation project</w:t>
      </w:r>
      <w:r>
        <w:t xml:space="preserve"> </w:t>
      </w:r>
      <w:r>
        <w:rPr>
          <w:i/>
          <w:iCs/>
        </w:rPr>
        <w:t xml:space="preserve">Entanglement and Inadvertent Escalation: Mapping Dual-Use Space Assets That Coup</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R2=0.0005015871517498605, elasticity_b=0.02541687120304334, progress_ratio_2^b=1.017773738493698. The exact term summary is: const coef=0.2979084624246928 p=0.08538254432310016; _ln_x coef=0.02541687120304334 p=0.8673991317801459.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70" w:name="ref-3"/>
      <w:bookmarkEnd w:id="70"/>
      <w:r>
        <w:t xml:space="preserve">3. Darin Koblick, Raytheon intelligence and space; Steven Wilkinson, Raytheon Space and Airborne Systems. Space-Based Spooky Radar Orbit Determination at the Earth-Moon Lagrange Points (2020). [AMOS]</w:t>
      </w:r>
      <w:r>
        <w:t xml:space="preserve"> </w:t>
      </w:r>
      <w:bookmarkStart w:id="71" w:name="ref-4"/>
      <w:bookmarkEnd w:id="71"/>
      <w:r>
        <w:t xml:space="preserve">4. Miguel Nunes, Hawaii Space Flight Laboratory; Piper Kline, Hawaii Space Flight Laboratory; Peter Englert, University of Hawaii at Manoa; Craig Hardgrove, Arizona State University; William Edmonson, University of Hawaii at Manoa; Scott Ginoza, Hawaii Space Flight Laboratory. Neutron-2: Advancing Space Weather Monitoring and Anomaly Detection with a Dual CubeSat System (2025). doi:</w:t>
      </w:r>
      <w:r>
        <w:t xml:space="preserve"> </w:t>
      </w:r>
      <w:hyperlink r:id="rId72">
        <w:r>
          <w:rPr>
            <w:rStyle w:val="Hyperlink"/>
          </w:rPr>
          <w:t xml:space="preserve">10.64861/TFPO6156</w:t>
        </w:r>
      </w:hyperlink>
      <w:r>
        <w:t xml:space="preserve"> </w:t>
      </w:r>
      <w:bookmarkStart w:id="73" w:name="ref-5"/>
      <w:bookmarkEnd w:id="73"/>
      <w:r>
        <w:t xml:space="preserve">5. Panna Felsen, The Aerospace Corporation; Ronald Scrofano, The Aerospace Corporation; Ruben Rosales, The Aerospace Corporation; John Subasavage, The Aerospace Corporation; Nehal Desai, The Aerospace Corporation; Timothy Smith, The Aerospace Corporation; Michael Dearborn, The Aerospace Corporation. Detecting Space Objects in Event Camera Data through 3D Point Cloud Processing (2022). [AMOS]</w:t>
      </w:r>
      <w:r>
        <w:t xml:space="preserve"> </w:t>
      </w:r>
      <w:bookmarkStart w:id="74" w:name="ref-6"/>
      <w:bookmarkEnd w:id="74"/>
      <w:r>
        <w:t xml:space="preserve">6.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5" w:name="ref-7"/>
      <w:bookmarkEnd w:id="75"/>
      <w:r>
        <w:t xml:space="preserve">7. Daniel Kline, Johns Hopkins University. Cybersecurity for Responsible AI/ML Usage in SDA Applications (2025). doi:</w:t>
      </w:r>
      <w:r>
        <w:t xml:space="preserve"> </w:t>
      </w:r>
      <w:hyperlink r:id="rId76">
        <w:r>
          <w:rPr>
            <w:rStyle w:val="Hyperlink"/>
          </w:rPr>
          <w:t xml:space="preserve">10.64861/VEWW9997</w:t>
        </w:r>
      </w:hyperlink>
      <w:r>
        <w:t xml:space="preserve"> </w:t>
      </w:r>
      <w:bookmarkStart w:id="77" w:name="ref-8"/>
      <w:bookmarkEnd w:id="77"/>
      <w:r>
        <w:t xml:space="preserve">8. Adam Archuleta, DigitalGlobe, Inc.; Michael Nicolls, LeoLabs. Space Debris Mapping Services for use by LEO Satellite Operators (2018).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0.2979</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1.7203</w:t>
            </w:r>
          </w:p>
        </w:tc>
        <w:tc>
          <w:tcPr>
            <w:tcW w:w="0" w:type="auto"/>
          </w:tcPr>
          <w:p>
            <w:pPr>
              <w:spacing w:line="240" w:lineRule="auto" w:before="0" w:after="0"/>
              <w:pStyle w:val="Compact"/>
            </w:pPr>
            <w:r>
              <w:rPr>
                <w:sz w:val="20"/>
                <w:szCs w:val="20"/>
              </w:rPr>
              <w:t xml:space="preserve">0.0854</w:t>
            </w:r>
          </w:p>
        </w:tc>
        <w:tc>
          <w:tcPr>
            <w:tcW w:w="0" w:type="auto"/>
          </w:tcPr>
          <w:p>
            <w:pPr>
              <w:spacing w:line="240" w:lineRule="auto" w:before="0" w:after="0"/>
              <w:pStyle w:val="Compact"/>
            </w:pPr>
            <w:r>
              <w:rPr>
                <w:sz w:val="20"/>
                <w:szCs w:val="20"/>
              </w:rPr>
              <w:t xml:space="preserve">[-0.0415, 0.6373]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0.8674</w:t>
            </w:r>
          </w:p>
        </w:tc>
        <w:tc>
          <w:tcPr>
            <w:tcW w:w="0" w:type="auto"/>
          </w:tcPr>
          <w:p>
            <w:pPr>
              <w:spacing w:line="240" w:lineRule="auto" w:before="0" w:after="0"/>
              <w:pStyle w:val="Compact"/>
            </w:pPr>
            <w:r>
              <w:rPr>
                <w:sz w:val="20"/>
                <w:szCs w:val="20"/>
              </w:rPr>
              <w:t xml:space="preserve">[-0.2729, 0.3238]</w:t>
            </w:r>
          </w:p>
        </w:tc>
      </w:tr>
    </w:tbl>
    <w:p>
      <w:pPr>
        <w:pStyle w:val="BodyText"/>
      </w:pPr>
      <w:r>
        <w:t xml:space="preserve">Fit: N = 30 R2 = 0.0005016 elasticity_b = 0.0254 progress_ratio_2^b = 1.0178</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ECURITY_DETERRENCE_06\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https://amostech.space/year/2020/space-based-spooky-radar-orbit-determination-at-the-earth-moon-lagrange-points/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10.64861/TFPO6156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https://amostech.space/year/2022/detecting-space-objects-in-event-camera-data-through-3d-point-cloud-processing/</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10.64861/VEWW9997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https://amostech.space/year/2018/space-debris-mapping-services-for-use-by-leo-satellite-operators/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10.64861/TPIM7458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https://amostech.space/year/2022/formation-flying-and-change-detection-for-the-unsw-canberra-space-m2-low-earth-orbit-formation-flying-cubesat-mission/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working paper arguing the space economy serves as both instrument and beneficiary of integrated deterrence, with UK-anchored investment data illustrating the sector’s strategic and economic weight.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0.2979</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1.7203</w:t>
            </w:r>
          </w:p>
        </w:tc>
        <w:tc>
          <w:tcPr>
            <w:tcW w:w="0" w:type="auto"/>
          </w:tcPr>
          <w:p>
            <w:pPr>
              <w:spacing w:line="240" w:lineRule="auto" w:before="0" w:after="0"/>
              <w:pStyle w:val="Compact"/>
            </w:pPr>
            <w:r>
              <w:rPr>
                <w:sz w:val="20"/>
                <w:szCs w:val="20"/>
              </w:rPr>
              <w:t xml:space="preserve">0.0854</w:t>
            </w:r>
          </w:p>
        </w:tc>
        <w:tc>
          <w:tcPr>
            <w:tcW w:w="0" w:type="auto"/>
          </w:tcPr>
          <w:p>
            <w:pPr>
              <w:spacing w:line="240" w:lineRule="auto" w:before="0" w:after="0"/>
              <w:pStyle w:val="Compact"/>
            </w:pPr>
            <w:r>
              <w:rPr>
                <w:sz w:val="20"/>
                <w:szCs w:val="20"/>
              </w:rPr>
              <w:t xml:space="preserve">[-0.0415, 0.6373]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0.8674</w:t>
            </w:r>
          </w:p>
        </w:tc>
        <w:tc>
          <w:tcPr>
            <w:tcW w:w="0" w:type="auto"/>
          </w:tcPr>
          <w:p>
            <w:pPr>
              <w:spacing w:line="240" w:lineRule="auto" w:before="0" w:after="0"/>
              <w:pStyle w:val="Compact"/>
            </w:pPr>
            <w:r>
              <w:rPr>
                <w:sz w:val="20"/>
                <w:szCs w:val="20"/>
              </w:rPr>
              <w:t xml:space="preserve">[-0.2729, 0.3238]</w:t>
            </w:r>
          </w:p>
        </w:tc>
      </w:tr>
    </w:tbl>
    <w:p>
      <w:pPr>
        <w:pStyle w:val="BodyText"/>
      </w:pPr>
      <w:r>
        <w:t xml:space="preserve">Fit: N = 30 R2 = 0.0005016 elasticity_b = 0.0254 progress_ratio_2^b = 1.0178</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68" Target="https://doi.org/10.64861/EIBC5616" TargetMode="External" /><Relationship Type="http://schemas.openxmlformats.org/officeDocument/2006/relationships/hyperlink" Id="rId72" Target="https://doi.org/10.64861/TFPO6156" TargetMode="External" /><Relationship Type="http://schemas.openxmlformats.org/officeDocument/2006/relationships/hyperlink" Id="rId76" Target="https://doi.org/10.64861/VEWW999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 Type="http://schemas.openxmlformats.org/officeDocument/2006/relationships/hyperlink" Id="rId72" Target="https://doi.org/10.64861/TFPO6156" TargetMode="External" /><Relationship Type="http://schemas.openxmlformats.org/officeDocument/2006/relationships/hyperlink" Id="rId76" Target="https://doi.org/10.64861/VEWW999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2026-06-29T09:43:05Z</dcterms:created>
  <dcterms:modified xsi:type="dcterms:W3CDTF">2026-06-29T09:43:05Z</dcterms:modified>
</cp:coreProperties>
</file>

<file path=docProps/custom.xml><?xml version="1.0" encoding="utf-8"?>
<Properties xmlns="http://schemas.openxmlformats.org/officeDocument/2006/custom-properties" xmlns:vt="http://schemas.openxmlformats.org/officeDocument/2006/docPropsVTypes"/>
</file>