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ee0f2d6b6c5a1e56063d71137df5e710375dbcb"/>
    <w:p>
      <w:pPr>
        <w:pStyle w:val="Heading1"/>
      </w:pPr>
      <w:r>
        <w:t xml:space="preserve">Signal Intensity in Entanglement and Inadvertent Escalation Mapping Dual-Use Space Assets That Coup: An Ordinary Least Squares Test of Recency, Citation Attention, and Venue</w:t>
      </w:r>
    </w:p>
    <w:bookmarkStart w:id="61" w:name="introduction"/>
    <w:p>
      <w:pPr>
        <w:pStyle w:val="Heading2"/>
      </w:pPr>
      <w:r>
        <w:t xml:space="preserve">1. Introduction</w:t>
      </w:r>
    </w:p>
    <w:p>
      <w:pPr>
        <w:pStyle w:val="FirstParagraph"/>
      </w:pPr>
      <w:r>
        <w:t xml:space="preserve">This empirical paper supports Lorenzo Cohen (1B-SEC-218) and the dissertation project</w:t>
      </w:r>
      <w:r>
        <w:t xml:space="preserve"> </w:t>
      </w:r>
      <w:r>
        <w:rPr>
          <w:i/>
          <w:iCs/>
        </w:rPr>
        <w:t xml:space="preserve">Entanglement and Inadvertent Escalation: Mapping Dual-Use Space Assets That Coup</w:t>
      </w:r>
      <w:r>
        <w:t xml:space="preserve">. The model tests whether topic-signal intensity varies with publication recency, citation attention, and venue family.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ordinary least squares with robust HC1 standard errors. The exact fit summary is: N=30, R2=0.031864010349406335, R2_adj=-0.07984398845643148, F=0.831876879288355, F_p=0.4884867637929132. The exact term summary is: const coef=3.3758090169143666 p=0.01732518076980005; recency_index coef=0.09403684275549393 p=0.42753191033759297; cites_num coef=0.02581730881601626 p=0.629783951435058; venue_score coef=-0.4189146624194333 p=0.3397385415386406.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Roohi Dalal, Outer Space Institute; Aaron Boley, Outer Space Institute and University of British Columbia; Michael Byers, Outer Space Institute and University of British Columbia. Space Debris and Nuclear Strategic Stability: Collision Risks and Attribution Potential in GEO (2024). doi:</w:t>
      </w:r>
      <w:r>
        <w:t xml:space="preserve"> </w:t>
      </w:r>
      <w:hyperlink r:id="rId68">
        <w:r>
          <w:rPr>
            <w:rStyle w:val="Hyperlink"/>
          </w:rPr>
          <w:t xml:space="preserve">10.64861/EIBC5616</w:t>
        </w:r>
      </w:hyperlink>
      <w:r>
        <w:t xml:space="preserve"> </w:t>
      </w:r>
      <w:bookmarkStart w:id="69" w:name="ref-2"/>
      <w:bookmarkEnd w:id="69"/>
      <w:r>
        <w:t xml:space="preserve">2. Nancy Hayden, Sandia National Laboratories; Kelsey Abel, Sandia National Laboratories; Marie Arrieta, Sandia National Laboratories; Mallory Stewart, Sandia National Laboratories. Artificial Intelligence and Autonomy in Space: Balancing Risks and Benefits for Deterrence and Escalation Control (2020). [AMOS]</w:t>
      </w:r>
      <w:r>
        <w:t xml:space="preserve"> </w:t>
      </w:r>
      <w:bookmarkStart w:id="70" w:name="ref-3"/>
      <w:bookmarkEnd w:id="70"/>
      <w:r>
        <w:t xml:space="preserve">3. Darin Koblick, Raytheon intelligence and space; Steven Wilkinson, Raytheon Space and Airborne Systems. Space-Based Spooky Radar Orbit Determination at the Earth-Moon Lagrange Points (2020). [AMOS]</w:t>
      </w:r>
      <w:r>
        <w:t xml:space="preserve"> </w:t>
      </w:r>
      <w:bookmarkStart w:id="71" w:name="ref-4"/>
      <w:bookmarkEnd w:id="71"/>
      <w:r>
        <w:t xml:space="preserve">4. Miguel Nunes, Hawaii Space Flight Laboratory; Piper Kline, Hawaii Space Flight Laboratory; Peter Englert, University of Hawaii at Manoa; Craig Hardgrove, Arizona State University; William Edmonson, University of Hawaii at Manoa; Scott Ginoza, Hawaii Space Flight Laboratory. Neutron-2: Advancing Space Weather Monitoring and Anomaly Detection with a Dual CubeSat System (2025). doi:</w:t>
      </w:r>
      <w:r>
        <w:t xml:space="preserve"> </w:t>
      </w:r>
      <w:hyperlink r:id="rId72">
        <w:r>
          <w:rPr>
            <w:rStyle w:val="Hyperlink"/>
          </w:rPr>
          <w:t xml:space="preserve">10.64861/TFPO6156</w:t>
        </w:r>
      </w:hyperlink>
      <w:r>
        <w:t xml:space="preserve"> </w:t>
      </w:r>
      <w:bookmarkStart w:id="73" w:name="ref-5"/>
      <w:bookmarkEnd w:id="73"/>
      <w:r>
        <w:t xml:space="preserve">5. Panna Felsen, The Aerospace Corporation; Ronald Scrofano, The Aerospace Corporation; Ruben Rosales, The Aerospace Corporation; John Subasavage, The Aerospace Corporation; Nehal Desai, The Aerospace Corporation; Timothy Smith, The Aerospace Corporation; Michael Dearborn, The Aerospace Corporation. Detecting Space Objects in Event Camera Data through 3D Point Cloud Processing (2022). [AMOS]</w:t>
      </w:r>
      <w:r>
        <w:t xml:space="preserve"> </w:t>
      </w:r>
      <w:bookmarkStart w:id="74" w:name="ref-6"/>
      <w:bookmarkEnd w:id="74"/>
      <w:r>
        <w:t xml:space="preserve">6.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75" w:name="ref-7"/>
      <w:bookmarkEnd w:id="75"/>
      <w:r>
        <w:t xml:space="preserve">7. Daniel Kline, Johns Hopkins University. Cybersecurity for Responsible AI/ML Usage in SDA Applications (2025). doi:</w:t>
      </w:r>
      <w:r>
        <w:t xml:space="preserve"> </w:t>
      </w:r>
      <w:hyperlink r:id="rId76">
        <w:r>
          <w:rPr>
            <w:rStyle w:val="Hyperlink"/>
          </w:rPr>
          <w:t xml:space="preserve">10.64861/VEWW9997</w:t>
        </w:r>
      </w:hyperlink>
      <w:r>
        <w:t xml:space="preserve"> </w:t>
      </w:r>
      <w:bookmarkStart w:id="77" w:name="ref-8"/>
      <w:bookmarkEnd w:id="77"/>
      <w:r>
        <w:t xml:space="preserve">8. Adam Archuleta, DigitalGlobe, Inc.; Michael Nicolls, LeoLabs. Space Debris Mapping Services for use by LEO Satellite Operators (2018). [AMOS]</w:t>
      </w:r>
    </w:p>
    <w:bookmarkEnd w:id="78"/>
    <w:bookmarkStart w:id="79" w:name="specification"/>
    <w:p>
      <w:pPr>
        <w:pStyle w:val="Heading2"/>
      </w:pPr>
      <w:r>
        <w:t xml:space="preserve">Specification</w:t>
      </w:r>
    </w:p>
    <w:p>
      <w:pPr>
        <w:pStyle w:val="FirstParagraph"/>
      </w:pPr>
      <m:oMathPara>
        <m:oMathParaPr>
          <m:jc m:val="center"/>
        </m:oMathParaPr>
        <m:oMath>
          <m:sSub>
            <m:e>
              <m:r>
                <m:rPr>
                  <m:nor/>
                  <m:sty m:val="p"/>
                </m:rPr>
                <m:t>SignalScore</m:t>
              </m:r>
            </m:e>
            <m:sub>
              <m:r>
                <m:t>i</m:t>
              </m:r>
            </m:sub>
          </m:sSub>
          <m:r>
            <m:rPr>
              <m:sty m:val="p"/>
            </m:rPr>
            <m:t>=</m:t>
          </m:r>
          <m:r>
            <m:t>α</m:t>
          </m:r>
          <m:r>
            <m:rPr>
              <m:sty m:val="p"/>
            </m:rPr>
            <m:t>+</m:t>
          </m:r>
          <m:sSub>
            <m:e>
              <m:r>
                <m:t>β</m:t>
              </m:r>
            </m:e>
            <m:sub>
              <m:r>
                <m:t>1</m:t>
              </m:r>
            </m:sub>
          </m:sSub>
          <m:sSub>
            <m:e>
              <m:r>
                <m:rPr>
                  <m:nor/>
                  <m:sty m:val="p"/>
                </m:rPr>
                <m:t>RecencyIndex</m:t>
              </m:r>
            </m:e>
            <m:sub>
              <m:r>
                <m:t>i</m:t>
              </m:r>
            </m:sub>
          </m:sSub>
          <m:r>
            <m:rPr>
              <m:sty m:val="p"/>
            </m:rPr>
            <m:t>+</m:t>
          </m:r>
          <m:sSub>
            <m:e>
              <m:r>
                <m:t>β</m:t>
              </m:r>
            </m:e>
            <m:sub>
              <m:r>
                <m:t>2</m:t>
              </m:r>
            </m:sub>
          </m:sSub>
          <m:sSub>
            <m:e>
              <m:r>
                <m:rPr>
                  <m:nor/>
                  <m:sty m:val="p"/>
                </m:rPr>
                <m:t>Cites</m:t>
              </m:r>
            </m:e>
            <m:sub>
              <m:r>
                <m:t>i</m:t>
              </m:r>
            </m:sub>
          </m:sSub>
          <m:r>
            <m:rPr>
              <m:sty m:val="p"/>
            </m:rPr>
            <m:t>+</m:t>
          </m:r>
          <m:sSub>
            <m:e>
              <m:r>
                <m:t>β</m:t>
              </m:r>
            </m:e>
            <m:sub>
              <m:r>
                <m:t>3</m:t>
              </m:r>
            </m:sub>
          </m:sSub>
          <m:sSub>
            <m:e>
              <m:r>
                <m:rPr>
                  <m:nor/>
                  <m:sty m:val="p"/>
                </m:rPr>
                <m:t>VenueScore</m:t>
              </m:r>
            </m:e>
            <m:sub>
              <m:r>
                <m:t>i</m:t>
              </m:r>
            </m:sub>
          </m:sSub>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3.3758</w:t>
            </w:r>
          </w:p>
        </w:tc>
        <w:tc>
          <w:tcPr>
            <w:tcW w:w="0" w:type="auto"/>
          </w:tcPr>
          <w:p>
            <w:pPr>
              <w:spacing w:line="240" w:lineRule="auto" w:before="0" w:after="0"/>
              <w:pStyle w:val="Compact"/>
            </w:pPr>
            <w:r>
              <w:rPr>
                <w:sz w:val="20"/>
                <w:szCs w:val="20"/>
              </w:rPr>
              <w:t xml:space="preserve">1.4186</w:t>
            </w:r>
          </w:p>
        </w:tc>
        <w:tc>
          <w:tcPr>
            <w:tcW w:w="0" w:type="auto"/>
          </w:tcPr>
          <w:p>
            <w:pPr>
              <w:spacing w:line="240" w:lineRule="auto" w:before="0" w:after="0"/>
              <w:pStyle w:val="Compact"/>
            </w:pPr>
            <w:r>
              <w:rPr>
                <w:sz w:val="20"/>
                <w:szCs w:val="20"/>
              </w:rPr>
              <w:t xml:space="preserve">2.3797</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[0.5955, 6.1561]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[-0.1383, 0.3263]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0.0258</w:t>
            </w:r>
          </w:p>
        </w:tc>
        <w:tc>
          <w:tcPr>
            <w:tcW w:w="0" w:type="auto"/>
          </w:tcPr>
          <w:p>
            <w:pPr>
              <w:spacing w:line="240" w:lineRule="auto" w:before="0" w:after="0"/>
              <w:pStyle w:val="Compact"/>
            </w:pPr>
            <w:r>
              <w:rPr>
                <w:sz w:val="20"/>
                <w:szCs w:val="20"/>
              </w:rPr>
              <w:t xml:space="preserve">0.0536</w:t>
            </w:r>
          </w:p>
        </w:tc>
        <w:tc>
          <w:tcPr>
            <w:tcW w:w="0" w:type="auto"/>
          </w:tcPr>
          <w:p>
            <w:pPr>
              <w:spacing w:line="240" w:lineRule="auto" w:before="0" w:after="0"/>
              <w:pStyle w:val="Compact"/>
            </w:pPr>
            <w:r>
              <w:rPr>
                <w:sz w:val="20"/>
                <w:szCs w:val="20"/>
              </w:rPr>
              <w:t xml:space="preserve">0.482</w:t>
            </w:r>
          </w:p>
        </w:tc>
        <w:tc>
          <w:tcPr>
            <w:tcW w:w="0" w:type="auto"/>
          </w:tcPr>
          <w:p>
            <w:pPr>
              <w:spacing w:line="240" w:lineRule="auto" w:before="0" w:after="0"/>
              <w:pStyle w:val="Compact"/>
            </w:pPr>
            <w:r>
              <w:rPr>
                <w:sz w:val="20"/>
                <w:szCs w:val="20"/>
              </w:rPr>
              <w:t xml:space="preserve">0.6298</w:t>
            </w:r>
          </w:p>
        </w:tc>
        <w:tc>
          <w:tcPr>
            <w:tcW w:w="0" w:type="auto"/>
          </w:tcPr>
          <w:p>
            <w:pPr>
              <w:spacing w:line="240" w:lineRule="auto" w:before="0" w:after="0"/>
              <w:pStyle w:val="Compact"/>
            </w:pPr>
            <w:r>
              <w:rPr>
                <w:sz w:val="20"/>
                <w:szCs w:val="20"/>
              </w:rPr>
              <w:t xml:space="preserve">[-0.0792, 0.1308]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-0.4189</w:t>
            </w:r>
          </w:p>
        </w:tc>
        <w:tc>
          <w:tcPr>
            <w:tcW w:w="0" w:type="auto"/>
          </w:tcPr>
          <w:p>
            <w:pPr>
              <w:spacing w:line="240" w:lineRule="auto" w:before="0" w:after="0"/>
              <w:pStyle w:val="Compact"/>
            </w:pPr>
            <w:r>
              <w:rPr>
                <w:sz w:val="20"/>
                <w:szCs w:val="20"/>
              </w:rPr>
              <w:t xml:space="preserve">0.4388</w:t>
            </w:r>
          </w:p>
        </w:tc>
        <w:tc>
          <w:tcPr>
            <w:tcW w:w="0" w:type="auto"/>
          </w:tcPr>
          <w:p>
            <w:pPr>
              <w:spacing w:line="240" w:lineRule="auto" w:before="0" w:after="0"/>
              <w:pStyle w:val="Compact"/>
            </w:pPr>
            <w:r>
              <w:rPr>
                <w:sz w:val="20"/>
                <w:szCs w:val="20"/>
              </w:rPr>
              <w:t xml:space="preserve">-0.9547</w:t>
            </w:r>
          </w:p>
        </w:tc>
        <w:tc>
          <w:tcPr>
            <w:tcW w:w="0" w:type="auto"/>
          </w:tcPr>
          <w:p>
            <w:pPr>
              <w:spacing w:line="240" w:lineRule="auto" w:before="0" w:after="0"/>
              <w:pStyle w:val="Compact"/>
            </w:pPr>
            <w:r>
              <w:rPr>
                <w:sz w:val="20"/>
                <w:szCs w:val="20"/>
              </w:rPr>
              <w:t xml:space="preserve">0.3397</w:t>
            </w:r>
          </w:p>
        </w:tc>
        <w:tc>
          <w:tcPr>
            <w:tcW w:w="0" w:type="auto"/>
          </w:tcPr>
          <w:p>
            <w:pPr>
              <w:spacing w:line="240" w:lineRule="auto" w:before="0" w:after="0"/>
              <w:pStyle w:val="Compact"/>
            </w:pPr>
            <w:r>
              <w:rPr>
                <w:sz w:val="20"/>
                <w:szCs w:val="20"/>
              </w:rPr>
              <w:t xml:space="preserve">[-1.2789, 0.4411]</w:t>
            </w:r>
          </w:p>
        </w:tc>
      </w:tr>
    </w:tbl>
    <w:p>
      <w:pPr>
        <w:pStyle w:val="BodyText"/>
      </w:pPr>
      <w:r>
        <w:t xml:space="preserve">Fit: N = 30 R2 = 0.0319 R2_adj = -0.0798 F = 0.8319 F_p = 0.4885</w:t>
      </w:r>
    </w:p>
    <w:p>
      <w:pPr>
        <w:pStyle w:val="CaptionedFigure"/>
      </w:pPr>
      <w:r>
        <w:drawing>
          <wp:inline>
            <wp:extent cx="5669280" cy="3657600"/>
            <wp:effectExtent b="0" l="0" r="0" t="0"/>
            <wp:docPr descr="Figure 1. Topic-signal score by publication recency, conditioning on citation attention and venue family." title="" id="81" name="Picture"/>
            <a:graphic>
              <a:graphicData uri="http://schemas.openxmlformats.org/drawingml/2006/picture">
                <pic:pic>
                  <pic:nvPicPr>
                    <pic:cNvPr descr="D:\Claude_Code\brain\collegium\candidates\dissertations\SECURITY_DETERRENCE_06\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Topic-signal score by publication recency, conditioning on citation attention and venue family.</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title_words</w:t>
            </w:r>
          </w:p>
        </w:tc>
        <w:tc>
          <w:tcPr>
            <w:tcW w:w="0" w:type="auto"/>
          </w:tcPr>
          <w:p>
            <w:pPr>
              <w:spacing w:line="240" w:lineRule="auto" w:before="0" w:after="0"/>
              <w:pStyle w:val="Compact"/>
            </w:pPr>
            <w:r>
              <w:rPr>
                <w:sz w:val="20"/>
                <w:szCs w:val="20"/>
              </w:rPr>
              <w:t xml:space="preserve">snippet_words</w:t>
            </w:r>
          </w:p>
        </w:tc>
        <w:tc>
          <w:tcPr>
            <w:tcW w:w="0" w:type="auto"/>
          </w:tcPr>
          <w:p>
            <w:pPr>
              <w:spacing w:line="240" w:lineRule="auto" w:before="0" w:after="0"/>
              <w:pStyle w:val="Compact"/>
            </w:pPr>
            <w:r>
              <w:rPr>
                <w:sz w:val="20"/>
                <w:szCs w:val="20"/>
              </w:rPr>
              <w:t xml:space="preserve">keyword_count</w:t>
            </w:r>
          </w:p>
        </w:tc>
        <w:tc>
          <w:tcPr>
            <w:tcW w:w="0" w:type="auto"/>
          </w:tcPr>
          <w:p>
            <w:pPr>
              <w:spacing w:line="240" w:lineRule="auto" w:before="0" w:after="0"/>
              <w:pStyle w:val="Compact"/>
            </w:pPr>
            <w:r>
              <w:rPr>
                <w:sz w:val="20"/>
                <w:szCs w:val="20"/>
              </w:rPr>
              <w:t xml:space="preserve">theme_hits</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10.64861/EIBC5616</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https://amostech.space/year/2020/artificial-intelligence-and-autonomy-in-space-balancing-risks-and-benefits-for-deterrence-and-escalation-control/</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https://amostech.space/year/2020/space-based-spooky-radar-orbit-determination-at-the-earth-moon-lagrange-points/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10.64861/TFPO6156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https://amostech.space/year/2022/detecting-space-objects-in-event-camera-data-through-3d-point-cloud-processing/</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10.64861/VEWW9997</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https://amostech.space/year/2018/space-debris-mapping-services-for-use-by-leo-satellite-operators/</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10.64861/TPIM7458</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https://amostech.space/year/2022/formation-flying-and-change-detection-for-the-unsw-canberra-space-m2-low-earth-orbit-formation-flying-cubesat-mission/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10.1016/j.actaastro.2026.05.023</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10.1016/j.actaastro.2024.09.003</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10.1016/j.actaastro.2025.01.061</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10.1016/j.actaastro.2021.03.021</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10.1016/j.actaastro.2026.01.060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10.1016/j.actaastro.2025.09.031</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10.1016/j.actaastro.2025.08.048</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10.1016/j.actaastro.2026.05.054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10.1016/j.actaastro.2025.06.067</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Space Economy and Integrated Deterrence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SFA working paper arguing the space economy serves as both instrument and beneficiary of integrated deterrence, with UK-anchored investment data illustrating the sector’s strategic and economic weight.</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Abstract-only document presenting</w:t>
            </w:r>
            <w:r>
              <w:rPr>
                <w:sz w:val="20"/>
                <w:szCs w:val="20"/>
              </w:rPr>
              <w:t xml:space="preserve"> </w:t>
            </w:r>
            <w:r>
              <w:rPr>
                <w:sz w:val="20"/>
                <w:szCs w:val="20"/>
              </w:rPr>
              <w:t xml:space="preserve">“Astro-Economics”</w:t>
            </w:r>
            <w:r>
              <w:rPr>
                <w:sz w:val="20"/>
                <w:szCs w:val="20"/>
              </w:rPr>
              <w:t xml:space="preserve"> </w:t>
            </w:r>
            <w:r>
              <w:rPr>
                <w:sz w:val="20"/>
                <w:szCs w:val="20"/>
              </w:rPr>
              <w:t xml:space="preserve">as a framework for integrating the space economy into national deterrence strategy, with attention to the UK space sector, resource competition, and international norms. The source file contains only the abstract/summary (12 lines); no body text is available.</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Stilwell et al. (ASCEND 2025) propose a policy-based orbital classification framework for LEO that draws on aviation airspace classification to establish performance-based entry requirements tied to congestion and collision risk, supported by econometric analysis of satellite-dependent Fortune 500/100 company financial impacts.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Composite topic-signal score for each retrieved source record</w:t>
            </w:r>
          </w:p>
        </w:tc>
        <w:tc>
          <w:tcPr>
            <w:tcW w:w="0" w:type="auto"/>
          </w:tcPr>
          <w:p>
            <w:pPr>
              <w:spacing w:line="240" w:lineRule="auto" w:before="0" w:after="0"/>
              <w:pStyle w:val="Compact"/>
            </w:pPr>
            <w:r>
              <w:rPr>
                <w:sz w:val="20"/>
                <w:szCs w:val="20"/>
              </w:rPr>
              <w:t xml:space="preserve">Deterministic count built from candidate-theme term hits in the source title, snippet, keyword field, and author metadata; each row cites the retrieved source in the source column</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Publication recency index</w:t>
            </w:r>
          </w:p>
        </w:tc>
        <w:tc>
          <w:tcPr>
            <w:tcW w:w="0" w:type="auto"/>
          </w:tcPr>
          <w:p>
            <w:pPr>
              <w:spacing w:line="240" w:lineRule="auto" w:before="0" w:after="0"/>
              <w:pStyle w:val="Compact"/>
            </w:pPr>
            <w:r>
              <w:rPr>
                <w:sz w:val="20"/>
                <w:szCs w:val="20"/>
              </w:rPr>
              <w:t xml:space="preserve">Computed as publication year minus the minimum publication year in the paper sample plus one</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Reported citation count in the local brain index</w:t>
            </w:r>
          </w:p>
        </w:tc>
        <w:tc>
          <w:tcPr>
            <w:tcW w:w="0" w:type="auto"/>
          </w:tcPr>
          <w:p>
            <w:pPr>
              <w:spacing w:line="240" w:lineRule="auto" w:before="0" w:after="0"/>
              <w:pStyle w:val="Compact"/>
            </w:pPr>
            <w:r>
              <w:rPr>
                <w:sz w:val="20"/>
                <w:szCs w:val="20"/>
              </w:rPr>
              <w:t xml:space="preserve">Parsed from the local brain search cites field; zero when the index reported no citation count</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Ordinal venue-family score</w:t>
            </w:r>
          </w:p>
        </w:tc>
        <w:tc>
          <w:tcPr>
            <w:tcW w:w="0" w:type="auto"/>
          </w:tcPr>
          <w:p>
            <w:pPr>
              <w:spacing w:line="240" w:lineRule="auto" w:before="0" w:after="0"/>
              <w:pStyle w:val="Compact"/>
            </w:pPr>
            <w:r>
              <w:rPr>
                <w:sz w:val="20"/>
                <w:szCs w:val="20"/>
              </w:rPr>
              <w:t xml:space="preserve">AMOS = 1, Acta Astronautica = 2, Space Economy = 3</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3.3758</w:t>
            </w:r>
          </w:p>
        </w:tc>
        <w:tc>
          <w:tcPr>
            <w:tcW w:w="0" w:type="auto"/>
          </w:tcPr>
          <w:p>
            <w:pPr>
              <w:spacing w:line="240" w:lineRule="auto" w:before="0" w:after="0"/>
              <w:pStyle w:val="Compact"/>
            </w:pPr>
            <w:r>
              <w:rPr>
                <w:sz w:val="20"/>
                <w:szCs w:val="20"/>
              </w:rPr>
              <w:t xml:space="preserve">1.4186</w:t>
            </w:r>
          </w:p>
        </w:tc>
        <w:tc>
          <w:tcPr>
            <w:tcW w:w="0" w:type="auto"/>
          </w:tcPr>
          <w:p>
            <w:pPr>
              <w:spacing w:line="240" w:lineRule="auto" w:before="0" w:after="0"/>
              <w:pStyle w:val="Compact"/>
            </w:pPr>
            <w:r>
              <w:rPr>
                <w:sz w:val="20"/>
                <w:szCs w:val="20"/>
              </w:rPr>
              <w:t xml:space="preserve">2.3797</w:t>
            </w:r>
          </w:p>
        </w:tc>
        <w:tc>
          <w:tcPr>
            <w:tcW w:w="0" w:type="auto"/>
          </w:tcPr>
          <w:p>
            <w:pPr>
              <w:spacing w:line="240" w:lineRule="auto" w:before="0" w:after="0"/>
              <w:pStyle w:val="Compact"/>
            </w:pPr>
            <w:r>
              <w:rPr>
                <w:sz w:val="20"/>
                <w:szCs w:val="20"/>
              </w:rPr>
              <w:t xml:space="preserve">0.0173</w:t>
            </w:r>
          </w:p>
        </w:tc>
        <w:tc>
          <w:tcPr>
            <w:tcW w:w="0" w:type="auto"/>
          </w:tcPr>
          <w:p>
            <w:pPr>
              <w:spacing w:line="240" w:lineRule="auto" w:before="0" w:after="0"/>
              <w:pStyle w:val="Compact"/>
            </w:pPr>
            <w:r>
              <w:rPr>
                <w:sz w:val="20"/>
                <w:szCs w:val="20"/>
              </w:rPr>
              <w:t xml:space="preserve">[0.5955, 6.1561]</w:t>
            </w:r>
          </w:p>
        </w:tc>
      </w:tr>
      <w:tr>
        <w:tc>
          <w:tcPr>
            <w:tcW w:w="0" w:type="auto"/>
          </w:tcPr>
          <w:p>
            <w:pPr>
              <w:spacing w:line="240" w:lineRule="auto" w:before="0" w:after="0"/>
              <w:pStyle w:val="Compact"/>
            </w:pPr>
            <w:r>
              <w:rPr>
                <w:sz w:val="20"/>
                <w:szCs w:val="20"/>
              </w:rPr>
              <w:t xml:space="preserve">recency_index</w:t>
            </w:r>
          </w:p>
        </w:tc>
        <w:tc>
          <w:tcPr>
            <w:tcW w:w="0" w:type="auto"/>
          </w:tcPr>
          <w:p>
            <w:pPr>
              <w:spacing w:line="240" w:lineRule="auto" w:before="0" w:after="0"/>
              <w:pStyle w:val="Compact"/>
            </w:pPr>
            <w:r>
              <w:rPr>
                <w:sz w:val="20"/>
                <w:szCs w:val="20"/>
              </w:rPr>
              <w:t xml:space="preserve">0.094</w:t>
            </w:r>
          </w:p>
        </w:tc>
        <w:tc>
          <w:tcPr>
            <w:tcW w:w="0" w:type="auto"/>
          </w:tcPr>
          <w:p>
            <w:pPr>
              <w:spacing w:line="240" w:lineRule="auto" w:before="0" w:after="0"/>
              <w:pStyle w:val="Compact"/>
            </w:pPr>
            <w:r>
              <w:rPr>
                <w:sz w:val="20"/>
                <w:szCs w:val="20"/>
              </w:rPr>
              <w:t xml:space="preserve">0.1185</w:t>
            </w:r>
          </w:p>
        </w:tc>
        <w:tc>
          <w:tcPr>
            <w:tcW w:w="0" w:type="auto"/>
          </w:tcPr>
          <w:p>
            <w:pPr>
              <w:spacing w:line="240" w:lineRule="auto" w:before="0" w:after="0"/>
              <w:pStyle w:val="Compact"/>
            </w:pPr>
            <w:r>
              <w:rPr>
                <w:sz w:val="20"/>
                <w:szCs w:val="20"/>
              </w:rPr>
              <w:t xml:space="preserve">0.7934</w:t>
            </w:r>
          </w:p>
        </w:tc>
        <w:tc>
          <w:tcPr>
            <w:tcW w:w="0" w:type="auto"/>
          </w:tcPr>
          <w:p>
            <w:pPr>
              <w:spacing w:line="240" w:lineRule="auto" w:before="0" w:after="0"/>
              <w:pStyle w:val="Compact"/>
            </w:pPr>
            <w:r>
              <w:rPr>
                <w:sz w:val="20"/>
                <w:szCs w:val="20"/>
              </w:rPr>
              <w:t xml:space="preserve">0.4275</w:t>
            </w:r>
          </w:p>
        </w:tc>
        <w:tc>
          <w:tcPr>
            <w:tcW w:w="0" w:type="auto"/>
          </w:tcPr>
          <w:p>
            <w:pPr>
              <w:spacing w:line="240" w:lineRule="auto" w:before="0" w:after="0"/>
              <w:pStyle w:val="Compact"/>
            </w:pPr>
            <w:r>
              <w:rPr>
                <w:sz w:val="20"/>
                <w:szCs w:val="20"/>
              </w:rPr>
              <w:t xml:space="preserve">[-0.1383, 0.3263]</w:t>
            </w:r>
          </w:p>
        </w:tc>
      </w:tr>
      <w:tr>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0.0258</w:t>
            </w:r>
          </w:p>
        </w:tc>
        <w:tc>
          <w:tcPr>
            <w:tcW w:w="0" w:type="auto"/>
          </w:tcPr>
          <w:p>
            <w:pPr>
              <w:spacing w:line="240" w:lineRule="auto" w:before="0" w:after="0"/>
              <w:pStyle w:val="Compact"/>
            </w:pPr>
            <w:r>
              <w:rPr>
                <w:sz w:val="20"/>
                <w:szCs w:val="20"/>
              </w:rPr>
              <w:t xml:space="preserve">0.0536</w:t>
            </w:r>
          </w:p>
        </w:tc>
        <w:tc>
          <w:tcPr>
            <w:tcW w:w="0" w:type="auto"/>
          </w:tcPr>
          <w:p>
            <w:pPr>
              <w:spacing w:line="240" w:lineRule="auto" w:before="0" w:after="0"/>
              <w:pStyle w:val="Compact"/>
            </w:pPr>
            <w:r>
              <w:rPr>
                <w:sz w:val="20"/>
                <w:szCs w:val="20"/>
              </w:rPr>
              <w:t xml:space="preserve">0.482</w:t>
            </w:r>
          </w:p>
        </w:tc>
        <w:tc>
          <w:tcPr>
            <w:tcW w:w="0" w:type="auto"/>
          </w:tcPr>
          <w:p>
            <w:pPr>
              <w:spacing w:line="240" w:lineRule="auto" w:before="0" w:after="0"/>
              <w:pStyle w:val="Compact"/>
            </w:pPr>
            <w:r>
              <w:rPr>
                <w:sz w:val="20"/>
                <w:szCs w:val="20"/>
              </w:rPr>
              <w:t xml:space="preserve">0.6298</w:t>
            </w:r>
          </w:p>
        </w:tc>
        <w:tc>
          <w:tcPr>
            <w:tcW w:w="0" w:type="auto"/>
          </w:tcPr>
          <w:p>
            <w:pPr>
              <w:spacing w:line="240" w:lineRule="auto" w:before="0" w:after="0"/>
              <w:pStyle w:val="Compact"/>
            </w:pPr>
            <w:r>
              <w:rPr>
                <w:sz w:val="20"/>
                <w:szCs w:val="20"/>
              </w:rPr>
              <w:t xml:space="preserve">[-0.0792, 0.1308]</w:t>
            </w:r>
          </w:p>
        </w:tc>
      </w:tr>
      <w:tr>
        <w:tc>
          <w:tcPr>
            <w:tcW w:w="0" w:type="auto"/>
          </w:tcPr>
          <w:p>
            <w:pPr>
              <w:spacing w:line="240" w:lineRule="auto" w:before="0" w:after="0"/>
              <w:pStyle w:val="Compact"/>
            </w:pPr>
            <w:r>
              <w:rPr>
                <w:sz w:val="20"/>
                <w:szCs w:val="20"/>
              </w:rPr>
              <w:t xml:space="preserve">venue_score</w:t>
            </w:r>
          </w:p>
        </w:tc>
        <w:tc>
          <w:tcPr>
            <w:tcW w:w="0" w:type="auto"/>
          </w:tcPr>
          <w:p>
            <w:pPr>
              <w:spacing w:line="240" w:lineRule="auto" w:before="0" w:after="0"/>
              <w:pStyle w:val="Compact"/>
            </w:pPr>
            <w:r>
              <w:rPr>
                <w:sz w:val="20"/>
                <w:szCs w:val="20"/>
              </w:rPr>
              <w:t xml:space="preserve">-0.4189</w:t>
            </w:r>
          </w:p>
        </w:tc>
        <w:tc>
          <w:tcPr>
            <w:tcW w:w="0" w:type="auto"/>
          </w:tcPr>
          <w:p>
            <w:pPr>
              <w:spacing w:line="240" w:lineRule="auto" w:before="0" w:after="0"/>
              <w:pStyle w:val="Compact"/>
            </w:pPr>
            <w:r>
              <w:rPr>
                <w:sz w:val="20"/>
                <w:szCs w:val="20"/>
              </w:rPr>
              <w:t xml:space="preserve">0.4388</w:t>
            </w:r>
          </w:p>
        </w:tc>
        <w:tc>
          <w:tcPr>
            <w:tcW w:w="0" w:type="auto"/>
          </w:tcPr>
          <w:p>
            <w:pPr>
              <w:spacing w:line="240" w:lineRule="auto" w:before="0" w:after="0"/>
              <w:pStyle w:val="Compact"/>
            </w:pPr>
            <w:r>
              <w:rPr>
                <w:sz w:val="20"/>
                <w:szCs w:val="20"/>
              </w:rPr>
              <w:t xml:space="preserve">-0.9547</w:t>
            </w:r>
          </w:p>
        </w:tc>
        <w:tc>
          <w:tcPr>
            <w:tcW w:w="0" w:type="auto"/>
          </w:tcPr>
          <w:p>
            <w:pPr>
              <w:spacing w:line="240" w:lineRule="auto" w:before="0" w:after="0"/>
              <w:pStyle w:val="Compact"/>
            </w:pPr>
            <w:r>
              <w:rPr>
                <w:sz w:val="20"/>
                <w:szCs w:val="20"/>
              </w:rPr>
              <w:t xml:space="preserve">0.3397</w:t>
            </w:r>
          </w:p>
        </w:tc>
        <w:tc>
          <w:tcPr>
            <w:tcW w:w="0" w:type="auto"/>
          </w:tcPr>
          <w:p>
            <w:pPr>
              <w:spacing w:line="240" w:lineRule="auto" w:before="0" w:after="0"/>
              <w:pStyle w:val="Compact"/>
            </w:pPr>
            <w:r>
              <w:rPr>
                <w:sz w:val="20"/>
                <w:szCs w:val="20"/>
              </w:rPr>
              <w:t xml:space="preserve">[-1.2789, 0.4411]</w:t>
            </w:r>
          </w:p>
        </w:tc>
      </w:tr>
    </w:tbl>
    <w:p>
      <w:pPr>
        <w:pStyle w:val="BodyText"/>
      </w:pPr>
      <w:r>
        <w:t xml:space="preserve">Fit: N = 30 R2 = 0.0319 R2_adj = -0.0798 F = 0.8319 F_p = 0.4885</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68" Target="https://doi.org/10.64861/EIBC5616" TargetMode="External" /><Relationship Type="http://schemas.openxmlformats.org/officeDocument/2006/relationships/hyperlink" Id="rId72" Target="https://doi.org/10.64861/TFPO6156" TargetMode="External" /><Relationship Type="http://schemas.openxmlformats.org/officeDocument/2006/relationships/hyperlink" Id="rId76" Target="https://doi.org/10.64861/VEWW9997"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64861/EIBC5616" TargetMode="External" /><Relationship Type="http://schemas.openxmlformats.org/officeDocument/2006/relationships/hyperlink" Id="rId72" Target="https://doi.org/10.64861/TFPO6156" TargetMode="External" /><Relationship Type="http://schemas.openxmlformats.org/officeDocument/2006/relationships/hyperlink" Id="rId76" Target="https://doi.org/10.64861/VEWW999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2026-06-29T09:43:04Z</dcterms:created>
  <dcterms:modified xsi:type="dcterms:W3CDTF">2026-06-29T09:43:04Z</dcterms:modified>
</cp:coreProperties>
</file>

<file path=docProps/custom.xml><?xml version="1.0" encoding="utf-8"?>
<Properties xmlns="http://schemas.openxmlformats.org/officeDocument/2006/custom-properties" xmlns:vt="http://schemas.openxmlformats.org/officeDocument/2006/docPropsVTypes"/>
</file>