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ENTANGLEMENT AND INADVERTENT ESCALATION: MAPPING DUAL-USE SPACE ASSETS THAT COUP</w:t>
      </w:r>
    </w:p>
    <w:p>
      <w:pPr>
        <w:jc w:val="center"/>
      </w:pPr>
    </w:p>
    <w:p>
      <w:pPr>
        <w:jc w:val="center"/>
      </w:pPr>
      <w:r>
        <w:rPr>
          <w:rFonts w:ascii="Times New Roman" w:hAnsi="Times New Roman"/>
          <w:sz w:val="24"/>
        </w:rPr>
        <w:t>by</w:t>
      </w:r>
    </w:p>
    <w:p>
      <w:pPr>
        <w:jc w:val="center"/>
      </w:pPr>
      <w:r>
        <w:rPr>
          <w:rFonts w:ascii="Times New Roman" w:hAnsi="Times New Roman"/>
          <w:b/>
          <w:sz w:val="28"/>
        </w:rPr>
        <w:t>Lorenzo Cohen</w:t>
      </w:r>
    </w:p>
    <w:p>
      <w:pPr>
        <w:jc w:val="center"/>
      </w:pPr>
      <w:r>
        <w:rPr>
          <w:rFonts w:ascii="Times New Roman" w:hAnsi="Times New Roman"/>
          <w:sz w:val="24"/>
        </w:rPr>
        <w:t>1B-SEC-218</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1" w:name="introduction"/>
    <w:p>
      <w:pPr>
        <w:pStyle w:val="Heading1"/>
        <w:spacing w:line="480" w:lineRule="auto"/>
      </w:pPr>
      <w:r>
        <w:t xml:space="preserve">Introduction</w:t>
      </w:r>
    </w:p>
    <w:p>
      <w:pPr>
        <w:pStyle w:val="FirstParagraph"/>
        <w:spacing w:line="480" w:lineRule="auto"/>
      </w:pPr>
      <w:r>
        <w:t xml:space="preserve">Space governance keeps arriving late. A capability appears, an operator fields it, and only afterward do institutions argue about whether the thing is a sensor, a weapon, a debris hazard, or all three at once. This dissertation takes that lag seriously and treats it as something that can be measured rather than merely lamented. The topic is entanglement and inadvertent escalation, and the specific worry is dual-use space assets: systems whose peaceful and coercive functions share the same hardware, the same orbit, and often the same operator. When a single satellite performs both a benign civil task and a militarily consequential one, the line an adversary is asked to respect becomes blurry. Blurry lines invite miscalculation. Orbit forgives nothing. Miscalculation, in an environment as unforgiving as orbit, can escalate before anyone intended it to.</w:t>
      </w:r>
    </w:p>
    <w:p>
      <w:pPr>
        <w:pStyle w:val="BodyText"/>
        <w:spacing w:line="480" w:lineRule="auto"/>
        <w:ind w:firstLine="720"/>
      </w:pPr>
      <w:r>
        <w:t xml:space="preserve">The problem is not new to strategists. What is new here is the insistence that the argument leave a traceable path from evidence to conclusion. Much writing on space escalation begins with a compelling intuition and ends with a policy recommendation, without ever showing the reader how the intermediate steps were built. Dalal, Boley, and Byers demonstrate the alternative when they tie collision risk and attribution difficulty in geostationary orbit directly to strategic stability, rather than gesturing at the connection</w:t>
      </w:r>
      <w:r>
        <w:t xml:space="preserve"> </w:t>
      </w:r>
      <w:hyperlink w:anchor="ref-1">
        <w:r>
          <w:rPr>
            <w:rStyle w:val="Hyperlink"/>
          </w:rPr>
          <w:t xml:space="preserve">[1]</w:t>
        </w:r>
      </w:hyperlink>
      <w:r>
        <w:t xml:space="preserve">. Hayden and colleagues do something similar when they examine how artificial intelligence and autonomy alter the calculus of deterrence and escalation control</w:t>
      </w:r>
      <w:r>
        <w:t xml:space="preserve"> </w:t>
      </w:r>
      <w:hyperlink w:anchor="ref-2">
        <w:r>
          <w:rPr>
            <w:rStyle w:val="Hyperlink"/>
          </w:rPr>
          <w:t xml:space="preserve">[2]</w:t>
        </w:r>
      </w:hyperlink>
      <w:r>
        <w:t xml:space="preserve">. This work borrows that discipline and applies it one level earlier, at the point where a researcher decides which sources count as evidence at all.</w:t>
      </w:r>
    </w:p>
    <w:bookmarkStart w:id="61" w:name="the-problem-and-why-it-matters"/>
    <w:p>
      <w:pPr>
        <w:pStyle w:val="Heading2"/>
        <w:spacing w:line="480" w:lineRule="auto"/>
      </w:pPr>
      <w:r>
        <w:t xml:space="preserve">The problem and why it matters</w:t>
      </w:r>
    </w:p>
    <w:p>
      <w:pPr>
        <w:pStyle w:val="FirstParagraph"/>
        <w:spacing w:line="480" w:lineRule="auto"/>
      </w:pPr>
      <w:r>
        <w:t xml:space="preserve">Consider what a dual-use asset does to a deterrence relationship. Deterrence rests on the target’s ability to read a signal and infer intent. If a spacecraft can plausibly be interpreted three different ways, the signal it sends is degraded before it ever reaches the adversary’s analysts. That degradation is the mechanism of inadvertent escalation. No one has to intend harm. The spiral needs no author. Each side reads the ambiguous asset in the way that best fits its prior fears, and the interaction ratchets upward through a series of individually defensible moves.</w:t>
      </w:r>
    </w:p>
    <w:p>
      <w:pPr>
        <w:pStyle w:val="BodyText"/>
        <w:spacing w:line="480" w:lineRule="auto"/>
        <w:ind w:firstLine="720"/>
      </w:pPr>
      <w:r>
        <w:t xml:space="preserve">The stakes ride on physical facts that space does not let anyone ignore. Orbits are shared and crowded. A collision in geostationary orbit produces debris that threatens assets belonging to states that had nothing to do with the original event</w:t>
      </w:r>
      <w:r>
        <w:t xml:space="preserve"> </w:t>
      </w:r>
      <w:hyperlink w:anchor="ref-1">
        <w:r>
          <w:rPr>
            <w:rStyle w:val="Hyperlink"/>
          </w:rPr>
          <w:t xml:space="preserve">[1]</w:t>
        </w:r>
      </w:hyperlink>
      <w:r>
        <w:t xml:space="preserve">. Attribution is slow and contested, which means a state harmed by a maneuver may not know for days or weeks who did it, or whether the maneuver was hostile at all. Debris mapping services exist precisely because operators cannot assume their environment is legible without dedicated effort</w:t>
      </w:r>
      <w:r>
        <w:t xml:space="preserve"> </w:t>
      </w:r>
      <w:hyperlink w:anchor="ref-8">
        <w:r>
          <w:rPr>
            <w:rStyle w:val="Hyperlink"/>
          </w:rPr>
          <w:t xml:space="preserve">[8]</w:t>
        </w:r>
      </w:hyperlink>
      <w:r>
        <w:t xml:space="preserve">. Into this environment we are now inserting autonomous decision aids, laser systems whose institutional status remains unsettled, and robotic manipulators capable of grasping other spacecraft</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Each of these is dual-use almost by construction.</w:t>
      </w:r>
    </w:p>
    <w:p>
      <w:pPr>
        <w:pStyle w:val="BodyText"/>
        <w:spacing w:line="480" w:lineRule="auto"/>
        <w:ind w:firstLine="720"/>
      </w:pPr>
      <w:r>
        <w:t xml:space="preserve">The governance response has lagged the technology at every turn. Poirier documents how space commands and cyber commands are still working out who governs cyber operations that touch orbital systems</w:t>
      </w:r>
      <w:r>
        <w:t xml:space="preserve"> </w:t>
      </w:r>
      <w:hyperlink w:anchor="ref-15">
        <w:r>
          <w:rPr>
            <w:rStyle w:val="Hyperlink"/>
          </w:rPr>
          <w:t xml:space="preserve">[15]</w:t>
        </w:r>
      </w:hyperlink>
      <w:r>
        <w:t xml:space="preserve">. Bratu and Freeland show that the legal status of autonomous weapons in space remains genuinely unresolved, not merely underspecified</w:t>
      </w:r>
      <w:r>
        <w:t xml:space="preserve"> </w:t>
      </w:r>
      <w:hyperlink w:anchor="ref-14">
        <w:r>
          <w:rPr>
            <w:rStyle w:val="Hyperlink"/>
          </w:rPr>
          <w:t xml:space="preserve">[14]</w:t>
        </w:r>
      </w:hyperlink>
      <w:r>
        <w:t xml:space="preserve">. When the rules are this far behind the hardware, the danger is not that someone breaks a rule. The danger is that there is no shared rule to break, and two rational actors escalate through the resulting vacuum.</w:t>
      </w:r>
    </w:p>
    <w:bookmarkEnd w:id="61"/>
    <w:bookmarkStart w:id="62" w:name="the-single-falsifiable-contribution"/>
    <w:p>
      <w:pPr>
        <w:pStyle w:val="Heading2"/>
        <w:spacing w:line="480" w:lineRule="auto"/>
      </w:pPr>
      <w:r>
        <w:t xml:space="preserve">The single falsifiable contribution</w:t>
      </w:r>
    </w:p>
    <w:p>
      <w:pPr>
        <w:pStyle w:val="FirstParagraph"/>
        <w:spacing w:line="480" w:lineRule="auto"/>
      </w:pPr>
      <w:r>
        <w:t xml:space="preserve">A dissertation of this kind is tempted to promise more than it can deliver. This one promises less. It promises it precisely. The contribution is a single document-level test, stated as a null hypothesis that the analysis could in principle reject or fail to reject.</w:t>
      </w:r>
    </w:p>
    <w:p>
      <w:pPr>
        <w:pStyle w:val="BodyText"/>
        <w:spacing w:line="480" w:lineRule="auto"/>
        <w:ind w:firstLine="720"/>
      </w:pPr>
      <w:r>
        <w:t xml:space="preserve">H0: the candidate topic signal is unrelated to publication recency, citation attention, and venue family in the retrieved source corpus.</w:t>
      </w:r>
    </w:p>
    <w:p>
      <w:pPr>
        <w:pStyle w:val="BodyText"/>
        <w:spacing w:line="480" w:lineRule="auto"/>
        <w:ind w:firstLine="720"/>
      </w:pPr>
      <w:r>
        <w:t xml:space="preserve">H1: the candidate topic signal is systematically related to publication recency, citation attention, and venue family in the retrieved source corpus.</w:t>
      </w:r>
    </w:p>
    <w:p>
      <w:pPr>
        <w:pStyle w:val="BodyText"/>
        <w:spacing w:line="480" w:lineRule="auto"/>
        <w:ind w:firstLine="720"/>
      </w:pPr>
      <w:r>
        <w:t xml:space="preserve">Two features of this framing deserve emphasis. First, the unit of analysis is the source record, not the geopolitical event. The dissertation does not claim to measure escalation itself. It measures how the topic of dual-use entanglement is distributed across a retrieved body of literature, using publication timing, citation counts, and venue type as observable proxies for attention and salience. Second, the test is deliberately modest in what a positive result would license. Finding structure in the corpus would show that the topic has an empirical footprint worth a more direct coding design. Finding no structure would be evidence against treating the topic as a settled, well-attended research front, and would itself be informative.</w:t>
      </w:r>
    </w:p>
    <w:p>
      <w:pPr>
        <w:pStyle w:val="BodyText"/>
        <w:spacing w:line="480" w:lineRule="auto"/>
        <w:ind w:firstLine="720"/>
      </w:pPr>
      <w:r>
        <w:t xml:space="preserve">This is a design-stage claim, and the honesty of that label is load-bearing. The workbooks that anchor the analysis are deterministic. Given the same source corpus, they return the same numbers every time. That reproducibility is the point. A reader who doubts the interpretation can re-run the estimator and inspect each row back to the source it came from</w:t>
      </w:r>
      <w:r>
        <w:t xml:space="preserve"> </w:t>
      </w:r>
      <w:hyperlink w:anchor="ref-6">
        <w:r>
          <w:rPr>
            <w:rStyle w:val="Hyperlink"/>
          </w:rPr>
          <w:t xml:space="preserve">[6]</w:t>
        </w:r>
      </w:hyperlink>
      <w:r>
        <w:t xml:space="preserve">.</w:t>
      </w:r>
    </w:p>
    <w:bookmarkEnd w:id="62"/>
    <w:bookmarkStart w:id="63" w:name="X9cd5e42b80597af8e5856d4134614fbfbf83f4e"/>
    <w:p>
      <w:pPr>
        <w:pStyle w:val="Heading2"/>
        <w:spacing w:line="480" w:lineRule="auto"/>
      </w:pPr>
      <w:r>
        <w:t xml:space="preserve">Why the topic resists ordinary measurement</w:t>
      </w:r>
    </w:p>
    <w:p>
      <w:pPr>
        <w:pStyle w:val="FirstParagraph"/>
        <w:spacing w:line="480" w:lineRule="auto"/>
      </w:pPr>
      <w:r>
        <w:t xml:space="preserve">Dual-use entanglement is hard to measure for reasons worth naming at the outset, because they shape every later methodological choice. The first difficulty is definitional. A satellite that images the Earth for agriculture also images military installations; the dual use is not a design flaw but the ordinary condition of remote sensing. Reis makes the parallel point about hybrid threats, where the boundary between civil infrastructure and security asset is precisely what an adversary exploits</w:t>
      </w:r>
      <w:r>
        <w:t xml:space="preserve"> </w:t>
      </w:r>
      <w:hyperlink w:anchor="ref-10">
        <w:r>
          <w:rPr>
            <w:rStyle w:val="Hyperlink"/>
          </w:rPr>
          <w:t xml:space="preserve">[10]</w:t>
        </w:r>
      </w:hyperlink>
      <w:r>
        <w:t xml:space="preserve">. If the category itself is fuzzy, any measurement inherits that fuzziness.</w:t>
      </w:r>
    </w:p>
    <w:p>
      <w:pPr>
        <w:pStyle w:val="BodyText"/>
        <w:spacing w:line="480" w:lineRule="auto"/>
        <w:ind w:firstLine="720"/>
      </w:pPr>
      <w:r>
        <w:t xml:space="preserve">The second difficulty is attribution and provenance. Citation counts, which analysts routinely use as a salience proxy, behave strangely in this domain. Conference proceedings and recent journal articles often carry zero recorded citations in a local index simply because the citing literature has not caught up, not because the work is unimportant. A learning-curve view of citation growth, of the sort estimated in the second paper of this project, is one way to take that age dependence seriously rather than pretending it away.</w:t>
      </w:r>
    </w:p>
    <w:p>
      <w:pPr>
        <w:pStyle w:val="BodyText"/>
        <w:spacing w:line="480" w:lineRule="auto"/>
        <w:ind w:firstLine="720"/>
      </w:pPr>
      <w:r>
        <w:t xml:space="preserve">The third difficulty is venue heterogeneity. The relevant literature spans conference proceedings, archival journals, and grey-literature policy papers, and these venues differ in citation norms, review rigor, and audience. Treating them as interchangeable would smuggle in a hidden assumption; treating them as an ordinal scale, as the analysis does, makes that assumption explicit and testable</w:t>
      </w:r>
      <w:r>
        <w:t xml:space="preserve"> </w:t>
      </w:r>
      <w:hyperlink w:anchor="ref-6">
        <w:r>
          <w:rPr>
            <w:rStyle w:val="Hyperlink"/>
          </w:rPr>
          <w:t xml:space="preserve">[6]</w:t>
        </w:r>
      </w:hyperlink>
      <w:r>
        <w:t xml:space="preserve">. Tricco and colleagues underscore how much a data-driven governance perspective depends on being clear about where the data came from, since the protection of artificial-intelligence-based space systems turns on provenance as much as on capability</w:t>
      </w:r>
      <w:r>
        <w:t xml:space="preserve"> </w:t>
      </w:r>
      <w:hyperlink w:anchor="ref-16">
        <w:r>
          <w:rPr>
            <w:rStyle w:val="Hyperlink"/>
          </w:rPr>
          <w:t xml:space="preserve">[16]</w:t>
        </w:r>
      </w:hyperlink>
      <w:r>
        <w:t xml:space="preserve">.</w:t>
      </w:r>
    </w:p>
    <w:bookmarkEnd w:id="63"/>
    <w:bookmarkStart w:id="64" w:name="what-a-screen-can-and-cannot-do"/>
    <w:p>
      <w:pPr>
        <w:pStyle w:val="Heading2"/>
        <w:spacing w:line="480" w:lineRule="auto"/>
      </w:pPr>
      <w:r>
        <w:t xml:space="preserve">What a screen can and cannot do</w:t>
      </w:r>
    </w:p>
    <w:p>
      <w:pPr>
        <w:pStyle w:val="FirstParagraph"/>
        <w:spacing w:line="480" w:lineRule="auto"/>
      </w:pPr>
      <w:r>
        <w:t xml:space="preserve">It helps to be blunt about the epistemic status of this exercise. A corpus screen is not a substitute for reading the documents closely. It is a triage step. It tells the analyst whether the topic has enough of a structured footprint to justify the expensive work of hand-coding intent, capability, and governance language across dozens of sources. If the screen returns strong structure, the coding design has a target. If it returns noise, the analyst has learned that the topic is either too diffuse or too new for metadata to characterize, and that lesson redirects effort rather than wasting it.</w:t>
      </w:r>
    </w:p>
    <w:p>
      <w:pPr>
        <w:pStyle w:val="BodyText"/>
        <w:spacing w:line="480" w:lineRule="auto"/>
        <w:ind w:firstLine="720"/>
      </w:pPr>
      <w:r>
        <w:t xml:space="preserve">There is a second reason to run the screen first. Space-security debates are prone to motivated selection, where an author retrieves the sources that support a prior and calls the result a literature review. A deterministic screen over a fixed source corpus constrains that temptation. The pack is set before the estimator runs, the variables are defined in configuration files, and the output is whatever the data produce. That does not make the design neutral. It makes the design auditable, which is a weaker but more honest virtue.</w:t>
      </w:r>
    </w:p>
    <w:bookmarkEnd w:id="64"/>
    <w:bookmarkStart w:id="65" w:name="roadmap"/>
    <w:p>
      <w:pPr>
        <w:pStyle w:val="Heading2"/>
        <w:spacing w:line="480" w:lineRule="auto"/>
      </w:pPr>
      <w:r>
        <w:t xml:space="preserve">Roadmap</w:t>
      </w:r>
    </w:p>
    <w:p>
      <w:pPr>
        <w:pStyle w:val="FirstParagraph"/>
        <w:spacing w:line="480" w:lineRule="auto"/>
      </w:pPr>
      <w:r>
        <w:t xml:space="preserve">The remainder of the dissertation proceeds in seven further chapters. Chapter two situates the argument against prior work on space debris and stability, autonomy and deterrence, and the governance of dual-use and autonomous systems, drawing the boundaries of what has and has not been established. Chapter three develops the theoretical mechanism linking asset ambiguity to inadvertent escalation and states the testable predictions that follow from it. Chapter four sets out the two estimators, an ordinary least squares model of topic-signal intensity and a log-log learning-curve model of citation growth, and explains what each can and cannot identify. Chapter five describes the dataset in detail: the source corpus, the construction of every variable, and the sample of thirty records. Chapter six reports the estimator output exactly as the workbooks produce it and interprets the signs and magnitudes without inflating them. Chapter seven discusses what the findings mean, catalogs the threats to validity, and marks clearly the questions the data cannot answer. Chapter eight draws the contribution together, connects it to governance and program decisions, and lays out the more direct coding design that this screen was built to justify.</w:t>
      </w:r>
    </w:p>
    <w:p>
      <w:pPr>
        <w:pStyle w:val="BodyText"/>
        <w:spacing w:line="480" w:lineRule="auto"/>
        <w:ind w:firstLine="720"/>
      </w:pPr>
      <w:r>
        <w:t xml:space="preserve">The through-line is a commitment to inspectability. Every claim in the empirical chapters can be checked against a source column, a variable definition, or an estimator summary. That is a modest ambition for a topic as large as escalation in space, and the modesty is intentional. A small claim that a reader can verify is worth more, in this pipeline, than a large claim they must take on faith</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65"/>
    <w:bookmarkStart w:id="66" w:name="X7987b0b2963429b5a9576b7555073f4b8590d2c"/>
    <w:p>
      <w:pPr>
        <w:pStyle w:val="Heading2"/>
        <w:spacing w:line="480" w:lineRule="auto"/>
      </w:pPr>
      <w:r>
        <w:t xml:space="preserve">Situating the inquiry in a broader security debate</w:t>
      </w:r>
    </w:p>
    <w:p>
      <w:pPr>
        <w:pStyle w:val="FirstParagraph"/>
        <w:spacing w:line="480" w:lineRule="auto"/>
      </w:pPr>
      <w:r>
        <w:t xml:space="preserve">It helps to place this project within the argument space it enters. There is a long-running dispute about whether outer space is best understood as a sanctuary, a commons, or a warfighting domain, and dual-use assets sit uncomfortably across all three framings. A sanctuary view wants a clean line between peaceful and military use, which dual-use hardware refuses to provide. A commons view emphasizes shared benefit and shared stewardship, which the security incentives around dual-use systems constantly undercut. A warfighting view treats the domain as already contested, which risks becoming self-fulfilling when every ambiguous asset is read as a potential weapon. This dissertation does not adjudicate that dispute. It observes that all three framings depend on being able to characterize what a given asset is and does, and that dual-use ambiguity is precisely what makes such characterization hard.</w:t>
      </w:r>
    </w:p>
    <w:p>
      <w:pPr>
        <w:pStyle w:val="BodyText"/>
        <w:spacing w:line="480" w:lineRule="auto"/>
        <w:ind w:firstLine="720"/>
      </w:pPr>
      <w:r>
        <w:t xml:space="preserve">The escalation literature that this project borrows from was largely built for terrestrial and nuclear contexts, and its transfer to orbit is not automatic. Concepts like the security dilemma, the offense-defense balance, and crisis instability all assume that actors can, at least roughly, tell offensive postures from defensive ones. Space strains that assumption harder than most domains, because so many capabilities are physically identical across the offense-defense line. A maneuvering inspector satellite that can approach and photograph another spacecraft is, in its mechanics, the same object whether its operator intends reconnaissance or interference</w:t>
      </w:r>
      <w:r>
        <w:t xml:space="preserve"> </w:t>
      </w:r>
      <w:hyperlink w:anchor="ref-3">
        <w:r>
          <w:rPr>
            <w:rStyle w:val="Hyperlink"/>
          </w:rPr>
          <w:t xml:space="preserve">[3]</w:t>
        </w:r>
      </w:hyperlink>
      <w:r>
        <w:t xml:space="preserve">. The dissertation treats this identity as the central analytic fact, and it treats the research record as the observable surface on which the topic’s growing salience, if it exists, ought to appear.</w:t>
      </w:r>
    </w:p>
    <w:bookmarkEnd w:id="66"/>
    <w:bookmarkStart w:id="67" w:name="the-audience-and-the-standard-of-proof"/>
    <w:p>
      <w:pPr>
        <w:pStyle w:val="Heading2"/>
        <w:spacing w:line="480" w:lineRule="auto"/>
      </w:pPr>
      <w:r>
        <w:t xml:space="preserve">The audience and the standard of proof</w:t>
      </w:r>
    </w:p>
    <w:p>
      <w:pPr>
        <w:pStyle w:val="FirstParagraph"/>
        <w:spacing w:line="480" w:lineRule="auto"/>
      </w:pPr>
      <w:r>
        <w:t xml:space="preserve">Because this is a design-stage document produced inside a research pipeline, it is worth being explicit about who the intended reader is and what they should expect. The reader is an analyst or reviewer who needs to know whether the topic warrants a heavier, more expensive study, and who is entitled to distrust any claim they cannot check. That reader is not served by rhetorical confidence. They are served by a chain of reasoning that runs from a fixed source corpus, through explicitly defined variables, to estimator output that can be regenerated on demand. The standard of proof this dissertation holds itself to is therefore reproducibility rather than persuasion. A persuasive but unreproducible argument would fail the standard even if its conclusion happened to be right.</w:t>
      </w:r>
    </w:p>
    <w:p>
      <w:pPr>
        <w:pStyle w:val="BodyText"/>
        <w:spacing w:line="480" w:lineRule="auto"/>
        <w:ind w:firstLine="720"/>
      </w:pPr>
      <w:r>
        <w:t xml:space="preserve">That standard also shapes what counts as success. Success is not a statistically significant coefficient. Success is a test that was specified in advance, executed faithfully, and reported completely, whatever it returned. A null result, faithfully reported, advances the pipeline by ruling a measurement approach out and by pointing the next stage toward a design that can do better. This introduction therefore makes no promise about the direction of the findings. It promises only that the findings, whatever their sign and significance, will be stated exactly as the workbooks produced them and interpreted within the bounds the data can support</w:t>
      </w:r>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bookmarkEnd w:id="67"/>
    <w:bookmarkStart w:id="68" w:name="a-note-on-scope-and-humility"/>
    <w:p>
      <w:pPr>
        <w:pStyle w:val="Heading2"/>
        <w:spacing w:line="480" w:lineRule="auto"/>
      </w:pPr>
      <w:r>
        <w:t xml:space="preserve">A note on scope and humility</w:t>
      </w:r>
    </w:p>
    <w:p>
      <w:pPr>
        <w:pStyle w:val="FirstParagraph"/>
        <w:spacing w:line="480" w:lineRule="auto"/>
      </w:pPr>
      <w:r>
        <w:t xml:space="preserve">One more boundary belongs in the opening. The dissertation studies a proxy, and proxies can mislead. Attention in a retrieved literature is related to strategic importance, but the relationship is loose, lagged, and mediated by publication norms that have nothing to do with orbit. A topic can matter enormously and be underrepresented in open sources because the consequential work is classified or operational rather than published</w:t>
      </w:r>
      <w:r>
        <w:t xml:space="preserve"> </w:t>
      </w:r>
      <w:hyperlink w:anchor="ref-15">
        <w:r>
          <w:rPr>
            <w:rStyle w:val="Hyperlink"/>
          </w:rPr>
          <w:t xml:space="preserve">[15]</w:t>
        </w:r>
      </w:hyperlink>
      <w:r>
        <w:t xml:space="preserve">. The introduction flags this now so that no later chapter can be read as claiming more reach than the proxy allows. The screen sees what the open, indexed record shows. That is a real and useful thing to see, and it is also a narrow slice of a much larger reality, and holding both of those truths at once is the disposition the rest of the dissertation tries to maintain</w:t>
      </w:r>
      <w:r>
        <w:t xml:space="preserve"> </w:t>
      </w:r>
      <w:hyperlink w:anchor="ref-1">
        <w:r>
          <w:rPr>
            <w:rStyle w:val="Hyperlink"/>
          </w:rPr>
          <w:t xml:space="preserve">[1]</w:t>
        </w:r>
      </w:hyperlink>
      <w:r>
        <w:t xml:space="preserve"> </w:t>
      </w:r>
      <w:hyperlink w:anchor="ref-16">
        <w:r>
          <w:rPr>
            <w:rStyle w:val="Hyperlink"/>
          </w:rPr>
          <w:t xml:space="preserve">[16]</w:t>
        </w:r>
      </w:hyperlink>
      <w:r>
        <w:t xml:space="preserve">.</w:t>
      </w:r>
    </w:p>
    <w:bookmarkEnd w:id="68"/>
    <w:bookmarkStart w:id="69" w:name="Xd8b5b1b3e585f9b3c940f7fc347470b9a15fc0f"/>
    <w:p>
      <w:pPr>
        <w:pStyle w:val="Heading2"/>
        <w:spacing w:line="480" w:lineRule="auto"/>
      </w:pPr>
      <w:r>
        <w:t xml:space="preserve">Why the topic was chosen for this treatment</w:t>
      </w:r>
    </w:p>
    <w:p>
      <w:pPr>
        <w:pStyle w:val="FirstParagraph"/>
        <w:spacing w:line="480" w:lineRule="auto"/>
      </w:pPr>
      <w:r>
        <w:t xml:space="preserve">A fair question is why a topic this large and this hard was selected for a screen this modest, and the answer clarifies the whole enterprise. Precisely because the topic is large and hard, it is prone to confident assertion outrunning evidence, and a discipline that forces the argument through a checkable test is most valuable where the temptation to hand-wave is greatest. Dual-use entanglement invites sweeping claims: that the domain is weaponizing, that escalation is inevitable, that governance has failed. Some of those claims may be true. Assertion is not evidence. None of them is served by being asserted rather than examined. The screen is a way of insisting that even a sweeping topic submit, at least in part, to a test that could have come out otherwise.</w:t>
      </w:r>
    </w:p>
    <w:p>
      <w:pPr>
        <w:pStyle w:val="BodyText"/>
        <w:spacing w:line="480" w:lineRule="auto"/>
        <w:ind w:firstLine="720"/>
      </w:pPr>
      <w:r>
        <w:t xml:space="preserve">There is also a pipeline rationale. This dissertation is one of a series, and the series is trying to establish a standard for how design-stage claims get made and checked before heavier work is commissioned. A topic that stresses the standard, by being hard to measure and easy to over-claim, is a good test of whether the standard holds. If a reproducible screen can say something honest and bounded even about dual-use escalation, then the standard is robust; if it can only say something honest about easy topics, the standard is weak. Choosing a hard topic is therefore a feature, not a mismatch, because the value of the exercise is partly the demonstration that the discipline survives contact with a genuinely difficult subject.</w:t>
      </w:r>
    </w:p>
    <w:bookmarkEnd w:id="69"/>
    <w:bookmarkStart w:id="70" w:name="how-to-read-what-follows"/>
    <w:p>
      <w:pPr>
        <w:pStyle w:val="Heading2"/>
        <w:spacing w:line="480" w:lineRule="auto"/>
      </w:pPr>
      <w:r>
        <w:t xml:space="preserve">How to read what follows</w:t>
      </w:r>
    </w:p>
    <w:p>
      <w:pPr>
        <w:pStyle w:val="FirstParagraph"/>
        <w:spacing w:line="480" w:lineRule="auto"/>
      </w:pPr>
      <w:r>
        <w:t xml:space="preserve">A final orienting note for the reader. The empirical chapters will report a quiet result, and the reader should not skip ahead to that result and conclude the topic is unimportant or the exercise fruitless. The interpretation of a null is where most of the intellectual work of this dissertation lives, because a null over a fixed corpus with defined measures is a precise statement about the fit between an instrument and a phenomenon, not a shrug. The reader who follows the argument through the theory, the method, and the data will arrive at the results equipped to see the null for what it is: a diagnosis of why vocabulary-based measurement fails for a capability-based phenomenon, and a specification for the study that should come next. Read in that order and with that expectation, the dissertation delivers a bounded, checkable, and genuinely useful contribution to a problem that badly needs disciplined evidence</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70"/>
    <w:bookmarkEnd w:id="71"/>
    <w:bookmarkStart w:id="82" w:name="literature-review"/>
    <w:p>
      <w:pPr>
        <w:pStyle w:val="Heading1"/>
        <w:spacing w:line="480" w:lineRule="auto"/>
      </w:pPr>
      <w:r>
        <w:t xml:space="preserve">Literature Review</w:t>
      </w:r>
    </w:p>
    <w:p>
      <w:pPr>
        <w:pStyle w:val="FirstParagraph"/>
        <w:spacing w:line="480" w:lineRule="auto"/>
      </w:pPr>
      <w:r>
        <w:t xml:space="preserve">The scholarship this dissertation draws on divides into two conversations that rarely acknowledge each other. One conversation is substantive: it describes what dual-use space systems do, how they entangle civil and military functions, and why that entanglement complicates deterrence. The other is methodological, though it is scattered and often implicit: it concerns how one turns a body of documents into evidence, using publication timing, citation attention, and venue as observable signals. Prior work is strong within each conversation and weak at the seam between them. The seam is the point. That seam is where this project sits.</w:t>
      </w:r>
    </w:p>
    <w:bookmarkStart w:id="72" w:name="X3d6eb72b031f796f347be76b8b82c4d4576c2d2"/>
    <w:p>
      <w:pPr>
        <w:pStyle w:val="Heading2"/>
        <w:spacing w:line="480" w:lineRule="auto"/>
      </w:pPr>
      <w:r>
        <w:t xml:space="preserve">Debris, attribution, and strategic stability</w:t>
      </w:r>
    </w:p>
    <w:p>
      <w:pPr>
        <w:pStyle w:val="FirstParagraph"/>
        <w:spacing w:line="480" w:lineRule="auto"/>
      </w:pPr>
      <w:r>
        <w:t xml:space="preserve">The most direct statement of the physical problem comes from Dalal, Boley, and Byers, who argue that debris and collision risk in geostationary orbit bear on nuclear strategic stability because the same orbital belt hosts assets whose loss or damage carries strategic meaning</w:t>
      </w:r>
      <w:r>
        <w:t xml:space="preserve"> </w:t>
      </w:r>
      <w:hyperlink w:anchor="ref-1">
        <w:r>
          <w:rPr>
            <w:rStyle w:val="Hyperlink"/>
          </w:rPr>
          <w:t xml:space="preserve">[1]</w:t>
        </w:r>
      </w:hyperlink>
      <w:r>
        <w:t xml:space="preserve">. Their contribution matters for two reasons. It establishes that the escalation concern is not abstract; it is anchored in collision physics and in the difficulty of attributing a debris-generating event to a responsible party. And it models the analytic move this dissertation adopts, connecting a measurable operational fact to a strategic consequence without collapsing the two into a single undifferentiated claim.</w:t>
      </w:r>
    </w:p>
    <w:p>
      <w:pPr>
        <w:pStyle w:val="BodyText"/>
        <w:spacing w:line="480" w:lineRule="auto"/>
        <w:ind w:firstLine="720"/>
      </w:pPr>
      <w:r>
        <w:t xml:space="preserve">Attribution is the hinge. Everything turns on it. If a state could instantly and credibly identify who caused a harmful event in orbit, ambiguity would collapse and inadvertent escalation would lose much of its force. The literature on debris mapping and space situational awareness exists precisely because that instant credibility does not obtain. Archuleta and Nicolls describe commercial debris mapping services built for low Earth orbit operators, which is itself evidence that the environment is not self-describing and must be actively rendered legible</w:t>
      </w:r>
      <w:r>
        <w:t xml:space="preserve"> </w:t>
      </w:r>
      <w:hyperlink w:anchor="ref-8">
        <w:r>
          <w:rPr>
            <w:rStyle w:val="Hyperlink"/>
          </w:rPr>
          <w:t xml:space="preserve">[8]</w:t>
        </w:r>
      </w:hyperlink>
      <w:r>
        <w:t xml:space="preserve">. Felsen and colleagues push in the same direction from the sensing side, applying event-camera data and three-dimensional point-cloud processing to the detection of space objects, a reminder that even seeing what is in orbit is an unsolved engineering problem rather than a given</w:t>
      </w:r>
      <w:r>
        <w:t xml:space="preserve"> </w:t>
      </w:r>
      <w:hyperlink w:anchor="ref-5">
        <w:r>
          <w:rPr>
            <w:rStyle w:val="Hyperlink"/>
          </w:rPr>
          <w:t xml:space="preserve">[5]</w:t>
        </w:r>
      </w:hyperlink>
      <w:r>
        <w:t xml:space="preserve">. When detection and attribution are this effortful, the informational preconditions for stable deterrence are shakier than deterrence theory usually assumes.</w:t>
      </w:r>
    </w:p>
    <w:p>
      <w:pPr>
        <w:pStyle w:val="BodyText"/>
        <w:spacing w:line="480" w:lineRule="auto"/>
        <w:ind w:firstLine="720"/>
      </w:pPr>
      <w:r>
        <w:t xml:space="preserve">Koblick and Wilkinson extend the sensing frontier outward, to orbit determination for objects near the Earth-Moon Lagrange points using space-based radar techniques</w:t>
      </w:r>
      <w:r>
        <w:t xml:space="preserve"> </w:t>
      </w:r>
      <w:hyperlink w:anchor="ref-3">
        <w:r>
          <w:rPr>
            <w:rStyle w:val="Hyperlink"/>
          </w:rPr>
          <w:t xml:space="preserve">[3]</w:t>
        </w:r>
      </w:hyperlink>
      <w:r>
        <w:t xml:space="preserve">. Cislunar space is precisely where dual-use ambiguity is likely to sharpen, because the region has few established norms, sparse coverage, and a mix of civil, scientific, and security interests. Their work belongs in this review because the escalation risks this dissertation studies do not stay in the crowded belts; they migrate to wherever sensing is thin and intentions are hard to read.</w:t>
      </w:r>
    </w:p>
    <w:bookmarkEnd w:id="72"/>
    <w:bookmarkStart w:id="73" w:name="X9b1a18106ecaa80e39bd321b07273c3c5863b24"/>
    <w:p>
      <w:pPr>
        <w:pStyle w:val="Heading2"/>
        <w:spacing w:line="480" w:lineRule="auto"/>
      </w:pPr>
      <w:r>
        <w:t xml:space="preserve">Autonomy, artificial intelligence, and the calculus of escalation</w:t>
      </w:r>
    </w:p>
    <w:p>
      <w:pPr>
        <w:pStyle w:val="FirstParagraph"/>
        <w:spacing w:line="480" w:lineRule="auto"/>
      </w:pPr>
      <w:r>
        <w:t xml:space="preserve">A second body of work asks what happens to deterrence when machines make or shape decisions faster than humans can supervise them. Hayden and colleagues provide the anchor, weighing the risks and benefits of artificial intelligence and autonomy in space for deterrence and escalation control</w:t>
      </w:r>
      <w:r>
        <w:t xml:space="preserve"> </w:t>
      </w:r>
      <w:hyperlink w:anchor="ref-2">
        <w:r>
          <w:rPr>
            <w:rStyle w:val="Hyperlink"/>
          </w:rPr>
          <w:t xml:space="preserve">[2]</w:t>
        </w:r>
      </w:hyperlink>
      <w:r>
        <w:t xml:space="preserve">. Their framing is careful. It cuts both ways. Autonomy can stabilize by removing human error and speeding de-escalatory responses, and it can destabilize by compressing decision timelines and by making intent even harder to read from the outside. That two-sidedness is exactly what makes autonomous systems paradigmatically dual-use.</w:t>
      </w:r>
    </w:p>
    <w:p>
      <w:pPr>
        <w:pStyle w:val="BodyText"/>
        <w:spacing w:line="480" w:lineRule="auto"/>
        <w:ind w:firstLine="720"/>
      </w:pPr>
      <w:r>
        <w:t xml:space="preserve">The governance literature has begun to catch up to these systems, though unevenly. Tricco and colleagues argue for protecting artificial-intelligence-based space systems through a data-driven governance perspective, treating the provenance and integrity of training and operational data as a security concern in its own right</w:t>
      </w:r>
      <w:r>
        <w:t xml:space="preserve"> </w:t>
      </w:r>
      <w:hyperlink w:anchor="ref-16">
        <w:r>
          <w:rPr>
            <w:rStyle w:val="Hyperlink"/>
          </w:rPr>
          <w:t xml:space="preserve">[16]</w:t>
        </w:r>
      </w:hyperlink>
      <w:r>
        <w:t xml:space="preserve">. Kline approaches the same cluster from the cybersecurity angle, examining what responsible use of artificial intelligence and machine learning requires in space domain awareness applications, where a compromised model does not merely fail but can actively mislead</w:t>
      </w:r>
      <w:r>
        <w:t xml:space="preserve"> </w:t>
      </w:r>
      <w:hyperlink w:anchor="ref-7">
        <w:r>
          <w:rPr>
            <w:rStyle w:val="Hyperlink"/>
          </w:rPr>
          <w:t xml:space="preserve">[7]</w:t>
        </w:r>
      </w:hyperlink>
      <w:r>
        <w:t xml:space="preserve">. These works matter to the present design because they identify the dual-use character not in the platform alone but in the software and data layers, which are harder to observe and therefore harder to govern.</w:t>
      </w:r>
    </w:p>
    <w:p>
      <w:pPr>
        <w:pStyle w:val="BodyText"/>
        <w:spacing w:line="480" w:lineRule="auto"/>
        <w:ind w:firstLine="720"/>
      </w:pPr>
      <w:r>
        <w:t xml:space="preserve">Bratu and Freeland raise the sharpest version of the legal question, asking whether autonomous weapons systems and the militarization of outer space can be reconciled with existing law, and answering that the reconciliation is far from settled</w:t>
      </w:r>
      <w:r>
        <w:t xml:space="preserve"> </w:t>
      </w:r>
      <w:hyperlink w:anchor="ref-14">
        <w:r>
          <w:rPr>
            <w:rStyle w:val="Hyperlink"/>
          </w:rPr>
          <w:t xml:space="preserve">[14]</w:t>
        </w:r>
      </w:hyperlink>
      <w:r>
        <w:t xml:space="preserve">. Their analysis is a caution against any research design that assumes the normative environment is stable. It is not stable. The categories themselves are being contested while the hardware is being fielded, which is one reason a metadata screen of the topic’s footprint is a reasonable first step rather than a premature one.</w:t>
      </w:r>
    </w:p>
    <w:bookmarkEnd w:id="73"/>
    <w:bookmarkStart w:id="74" w:name="Xd1f78a283516e41d7b7c06a45c182991ab03e99"/>
    <w:p>
      <w:pPr>
        <w:pStyle w:val="Heading2"/>
        <w:spacing w:line="480" w:lineRule="auto"/>
      </w:pPr>
      <w:r>
        <w:t xml:space="preserve">Hybrid threats, cyber operations, and the diffusion of the boundary</w:t>
      </w:r>
    </w:p>
    <w:p>
      <w:pPr>
        <w:pStyle w:val="FirstParagraph"/>
        <w:spacing w:line="480" w:lineRule="auto"/>
      </w:pPr>
      <w:r>
        <w:t xml:space="preserve">A third strand widens the lens from discrete weapons to the erosion of the civil-military boundary itself. Reis analyzes European Union defense and security strategy for space and ground-based systems against hybrid threats, and the value of that work here is its insistence that hybrid threats exploit ambiguity as a deliberate strategy rather than an accident</w:t>
      </w:r>
      <w:r>
        <w:t xml:space="preserve"> </w:t>
      </w:r>
      <w:hyperlink w:anchor="ref-10">
        <w:r>
          <w:rPr>
            <w:rStyle w:val="Hyperlink"/>
          </w:rPr>
          <w:t xml:space="preserve">[10]</w:t>
        </w:r>
      </w:hyperlink>
      <w:r>
        <w:t xml:space="preserve">. If an adversary benefits from being hard to read, then the dual-use ambiguity this dissertation measures is not just an analytic inconvenience; it is, for some actors, a feature they cultivate.</w:t>
      </w:r>
    </w:p>
    <w:p>
      <w:pPr>
        <w:pStyle w:val="BodyText"/>
        <w:spacing w:line="480" w:lineRule="auto"/>
        <w:ind w:firstLine="720"/>
      </w:pPr>
      <w:r>
        <w:t xml:space="preserve">Poirier examines the establishment of governance for cyber operations in outer space and the specific challenges that space commands and cyber commands face in dividing responsibility</w:t>
      </w:r>
      <w:r>
        <w:t xml:space="preserve"> </w:t>
      </w:r>
      <w:hyperlink w:anchor="ref-15">
        <w:r>
          <w:rPr>
            <w:rStyle w:val="Hyperlink"/>
          </w:rPr>
          <w:t xml:space="preserve">[15]</w:t>
        </w:r>
      </w:hyperlink>
      <w:r>
        <w:t xml:space="preserve">. The relevance is direct. A cyber operation against a dual-use satellite may be invisible, deniable, and slow to attribute, which stacks a second layer of ambiguity on top of the physical dual-use problem. When both the effect and the actor are obscured, the conditions for inadvertent escalation are at their most acute.</w:t>
      </w:r>
    </w:p>
    <w:p>
      <w:pPr>
        <w:pStyle w:val="BodyText"/>
        <w:spacing w:line="480" w:lineRule="auto"/>
        <w:ind w:firstLine="720"/>
      </w:pPr>
      <w:r>
        <w:t xml:space="preserve">Long and Chen contribute a study of laser utilization in outer space, framed around institutional bottlenecks and prospects, which is a useful case of a technology whose peaceful and coercive uses are separated by intent and power level rather than by any clean physical boundary</w:t>
      </w:r>
      <w:r>
        <w:t xml:space="preserve"> </w:t>
      </w:r>
      <w:hyperlink w:anchor="ref-11">
        <w:r>
          <w:rPr>
            <w:rStyle w:val="Hyperlink"/>
          </w:rPr>
          <w:t xml:space="preserve">[11]</w:t>
        </w:r>
      </w:hyperlink>
      <w:r>
        <w:t xml:space="preserve">. A laser for communication or debris nudging and a laser for dazzling or damaging a sensor are not always different machines. That is dual use in its purest form. Intent draws the only line. The institutional bottleneck the authors describe is precisely the governance lag this dissertation is concerned with.</w:t>
      </w:r>
    </w:p>
    <w:bookmarkEnd w:id="74"/>
    <w:bookmarkStart w:id="75" w:name="X3e189378ad70f8a63f08331638a475c59c1d146"/>
    <w:p>
      <w:pPr>
        <w:pStyle w:val="Heading2"/>
        <w:spacing w:line="480" w:lineRule="auto"/>
      </w:pPr>
      <w:r>
        <w:t xml:space="preserve">Robotic manipulation, capture, and the offense-defense puzzle</w:t>
      </w:r>
    </w:p>
    <w:p>
      <w:pPr>
        <w:pStyle w:val="FirstParagraph"/>
        <w:spacing w:line="480" w:lineRule="auto"/>
      </w:pPr>
      <w:r>
        <w:t xml:space="preserve">Physical proximity operations deserve their own place in this review because they collapse the distance between a servicing mission and an attack. Xu, Luo, and Wang study optimal grasping poses for dual-arm space robots performing cooperative manipulation, optimizing global manipulability for tasks such as capturing a target</w:t>
      </w:r>
      <w:r>
        <w:t xml:space="preserve"> </w:t>
      </w:r>
      <w:hyperlink w:anchor="ref-12">
        <w:r>
          <w:rPr>
            <w:rStyle w:val="Hyperlink"/>
          </w:rPr>
          <w:t xml:space="preserve">[12]</w:t>
        </w:r>
      </w:hyperlink>
      <w:r>
        <w:t xml:space="preserve">. The same capability that services a failing satellite can, in principle, disable a functioning one. Du and colleagues model tether-net entanglement capture for debris removal, analyzing the dynamics and the multiple parameters that govern a successful capture</w:t>
      </w:r>
      <w:r>
        <w:t xml:space="preserve"> </w:t>
      </w:r>
      <w:hyperlink w:anchor="ref-9">
        <w:r>
          <w:rPr>
            <w:rStyle w:val="Hyperlink"/>
          </w:rPr>
          <w:t xml:space="preserve">[9]</w:t>
        </w:r>
      </w:hyperlink>
      <w:r>
        <w:t xml:space="preserve">. Debris removal is unambiguously beneficial, yet a system that can entangle and de-orbit a defunct object is not obviously distinguishable, from an adversary’s vantage, from a system that could do the same to an active one.</w:t>
      </w:r>
    </w:p>
    <w:p>
      <w:pPr>
        <w:pStyle w:val="BodyText"/>
        <w:spacing w:line="480" w:lineRule="auto"/>
        <w:ind w:firstLine="720"/>
      </w:pPr>
      <w:r>
        <w:t xml:space="preserve">This is the offense-defense puzzle in its space-specific form, and the literature has not resolved it because it may not be resolvable at the level of hardware. The resolution, if there is one, lives in transparency, provenance, and shared information, which is why the information-sharing literature matters to a study of escalation.</w:t>
      </w:r>
    </w:p>
    <w:bookmarkEnd w:id="75"/>
    <w:bookmarkStart w:id="76" w:name="X7ab7bc9b922c0af98c03932bc525f80556dabbd"/>
    <w:p>
      <w:pPr>
        <w:pStyle w:val="Heading2"/>
        <w:spacing w:line="480" w:lineRule="auto"/>
      </w:pPr>
      <w:r>
        <w:t xml:space="preserve">Information sharing, trust, and the measurement seam</w:t>
      </w:r>
    </w:p>
    <w:p>
      <w:pPr>
        <w:pStyle w:val="FirstParagraph"/>
        <w:spacing w:line="480" w:lineRule="auto"/>
      </w:pPr>
      <w:r>
        <w:t xml:space="preserve">Reed, Dailey, Stilwell, and Weeden argue that decentralized space information sharing is a key enabler of trust and of the preservation of the space environment</w:t>
      </w:r>
      <w:r>
        <w:t xml:space="preserve"> </w:t>
      </w:r>
      <w:hyperlink w:anchor="ref-6">
        <w:r>
          <w:rPr>
            <w:rStyle w:val="Hyperlink"/>
          </w:rPr>
          <w:t xml:space="preserve">[6]</w:t>
        </w:r>
      </w:hyperlink>
      <w:r>
        <w:t xml:space="preserve">. Their contribution closes a loop in this review. If ambiguity drives inadvertent escalation, and if attribution and detection are effortful, then shared, credible information is the most plausible countermeasure. The authors treat information sharing not as a technical afterthought but as a trust-building institution, which reframes the escalation problem as partly an information-design problem.</w:t>
      </w:r>
    </w:p>
    <w:p>
      <w:pPr>
        <w:pStyle w:val="BodyText"/>
        <w:spacing w:line="480" w:lineRule="auto"/>
        <w:ind w:firstLine="720"/>
      </w:pPr>
      <w:r>
        <w:t xml:space="preserve">Here the two conversations finally touch, and the gap becomes visible. The substantive literature establishes that dual-use entanglement is real, physically grounded, and governance-lagging</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14">
        <w:r>
          <w:rPr>
            <w:rStyle w:val="Hyperlink"/>
          </w:rPr>
          <w:t xml:space="preserve">[14]</w:t>
        </w:r>
      </w:hyperlink>
      <w:r>
        <w:t xml:space="preserve">. It does not, as a rule, ask how one would know whether the topic itself is gaining or losing salience in the research record, or whether attention to it is structured by time, citation, or venue. The measurement question is left implicit. This dissertation makes it explicit by treating the source record as data and testing whether the topic signal has an observable structure. The learning-curve view of citation growth, which the project’s second paper estimates, is one response to a recurring problem in this literature: recent and conference-based work carries little recorded citation weight, and any honest salience measure has to account for that age dependence rather than mistaking newness for unimportance</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synthesis this chapter has assembled is therefore not merely a summary of prior findings. It is an argument that the field has a measurement seam, and that a disciplined, auditable screen over the source corpus is a legitimate and useful way to work at it</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bookmarkEnd w:id="76"/>
    <w:bookmarkStart w:id="77" w:name="the-economic-framing-of-dual-use-assets"/>
    <w:p>
      <w:pPr>
        <w:pStyle w:val="Heading2"/>
        <w:spacing w:line="480" w:lineRule="auto"/>
      </w:pPr>
      <w:r>
        <w:t xml:space="preserve">The economic framing of dual-use assets</w:t>
      </w:r>
    </w:p>
    <w:p>
      <w:pPr>
        <w:pStyle w:val="FirstParagraph"/>
        <w:spacing w:line="480" w:lineRule="auto"/>
      </w:pPr>
      <w:r>
        <w:t xml:space="preserve">A strand of the literature that is easy to overlook treats space capability as an economic as well as a military variable, and it matters here because the dual-use problem is partly a problem of who bears the cost of ambiguity. The space-economy grey literature in this project’s source corpus argues that the commercial space sector is simultaneously an instrument and a beneficiary of integrated deterrence, with investment data used to illustrate the sector’s strategic weight. That framing changes the escalation calculus in a specific way. When the entangled asset is commercial, an adversary contemplating interference must weigh not only a military response but the economic and reputational consequences of harming a system with civilian stakeholders. Ambiguity cuts both ways: it degrades deterrent signals, and it also raises the cost of acting on a pessimistic reading, because the target of a strike might turn out to be a hospital’s communications link rather than a military sensor.</w:t>
      </w:r>
    </w:p>
    <w:p>
      <w:pPr>
        <w:pStyle w:val="BodyText"/>
        <w:spacing w:line="480" w:lineRule="auto"/>
        <w:ind w:firstLine="720"/>
      </w:pPr>
      <w:r>
        <w:t xml:space="preserve">This economic layer connects to the sustainability literature, which frames the orbital environment as a shared resource vulnerable to congestion and degradation. A circular-economy view of space sustainability treats debris and end-of-life management as economic design problems rather than purely technical ones. The relevance to escalation is indirect but real. Systems built for sustainability functions, such as debris removal and on-orbit servicing, are exactly the systems whose capabilities are hardest to distinguish from weapons</w:t>
      </w:r>
      <w:r>
        <w:t xml:space="preserve"> </w:t>
      </w:r>
      <w:hyperlink w:anchor="ref-9">
        <w:r>
          <w:rPr>
            <w:rStyle w:val="Hyperlink"/>
          </w:rPr>
          <w:t xml:space="preserve">[9]</w:t>
        </w:r>
      </w:hyperlink>
      <w:r>
        <w:t xml:space="preserve">. The economics that justifies building them collides with the security anxiety that their capabilities provoke, and the literature has not reconciled the two.</w:t>
      </w:r>
    </w:p>
    <w:bookmarkEnd w:id="77"/>
    <w:bookmarkStart w:id="78" w:name="X2f6d76a260e0446e246fc63bb716411a544f47e"/>
    <w:p>
      <w:pPr>
        <w:pStyle w:val="Heading2"/>
        <w:spacing w:line="480" w:lineRule="auto"/>
      </w:pPr>
      <w:r>
        <w:t xml:space="preserve">Classification frameworks and the airspace analogy</w:t>
      </w:r>
    </w:p>
    <w:p>
      <w:pPr>
        <w:pStyle w:val="FirstParagraph"/>
        <w:spacing w:line="480" w:lineRule="auto"/>
      </w:pPr>
      <w:r>
        <w:t xml:space="preserve">A promising line of policy work borrows from aviation to impose structure on the orbital environment. Proposals for a policy-based orbital classification of low Earth orbit draw on the way airspace is classified into performance-based zones, tying entry requirements to congestion and collision risk and supporting the argument with financial-impact analysis of satellite-dependent firms. The analogy is instructive for this dissertation because classification is fundamentally a legibility project. Airspace classification works because aircraft can be characterized, tracked, and held to zone-specific rules. The orbital analogue is harder precisely because dual-use assets resist characterization, which is the same obstacle that limits a metadata screen. If the sources cannot be cleanly typed, neither can the assets they describe, and the classification project inherits the measurement seam this chapter has been describing.</w:t>
      </w:r>
    </w:p>
    <w:p>
      <w:pPr>
        <w:pStyle w:val="BodyText"/>
        <w:spacing w:line="480" w:lineRule="auto"/>
        <w:ind w:firstLine="720"/>
      </w:pPr>
      <w:r>
        <w:t xml:space="preserve">The aviation analogy also carries a caution. Aviation achieved legibility through decades of institution-building, shared standards, and mandatory transponders, none of which yet exist at comparable maturity in orbit. Reed and colleagues argue that decentralized information sharing could supply some of that missing legibility, treating shared data as the trust infrastructure the domain lacks</w:t>
      </w:r>
      <w:r>
        <w:t xml:space="preserve"> </w:t>
      </w:r>
      <w:hyperlink w:anchor="ref-6">
        <w:r>
          <w:rPr>
            <w:rStyle w:val="Hyperlink"/>
          </w:rPr>
          <w:t xml:space="preserve">[6]</w:t>
        </w:r>
      </w:hyperlink>
      <w:r>
        <w:t xml:space="preserve">. The classification proposals and the information-sharing proposals are therefore addressing the same underlying deficit from different angles, and both presume a capacity to characterize assets that the dual-use problem denies.</w:t>
      </w:r>
    </w:p>
    <w:bookmarkEnd w:id="78"/>
    <w:bookmarkStart w:id="79" w:name="what-prior-work-leaves-unaddressed"/>
    <w:p>
      <w:pPr>
        <w:pStyle w:val="Heading2"/>
        <w:spacing w:line="480" w:lineRule="auto"/>
      </w:pPr>
      <w:r>
        <w:t xml:space="preserve">What prior work leaves unaddressed</w:t>
      </w:r>
    </w:p>
    <w:p>
      <w:pPr>
        <w:pStyle w:val="FirstParagraph"/>
        <w:spacing w:line="480" w:lineRule="auto"/>
      </w:pPr>
      <w:r>
        <w:t xml:space="preserve">Pulling these strands together exposes a specific hole. The substantive literature establishes the reality and the physical grounding of dual-use entanglement, from debris and attribution in the crowded belts</w:t>
      </w:r>
      <w:r>
        <w:t xml:space="preserve"> </w:t>
      </w:r>
      <w:hyperlink w:anchor="ref-1">
        <w:r>
          <w:rPr>
            <w:rStyle w:val="Hyperlink"/>
          </w:rPr>
          <w:t xml:space="preserve">[1]</w:t>
        </w:r>
      </w:hyperlink>
      <w:r>
        <w:t xml:space="preserve">, through autonomy and its effect on escalation control</w:t>
      </w:r>
      <w:r>
        <w:t xml:space="preserve"> </w:t>
      </w:r>
      <w:hyperlink w:anchor="ref-2">
        <w:r>
          <w:rPr>
            <w:rStyle w:val="Hyperlink"/>
          </w:rPr>
          <w:t xml:space="preserve">[2]</w:t>
        </w:r>
      </w:hyperlink>
      <w:r>
        <w:t xml:space="preserve">, to the contested legal status of autonomous weapons</w:t>
      </w:r>
      <w:r>
        <w:t xml:space="preserve"> </w:t>
      </w:r>
      <w:hyperlink w:anchor="ref-14">
        <w:r>
          <w:rPr>
            <w:rStyle w:val="Hyperlink"/>
          </w:rPr>
          <w:t xml:space="preserve">[14]</w:t>
        </w:r>
      </w:hyperlink>
      <w:r>
        <w:t xml:space="preserve"> </w:t>
      </w:r>
      <w:r>
        <w:t xml:space="preserve">and the governance gap around cyber operations in space</w:t>
      </w:r>
      <w:r>
        <w:t xml:space="preserve"> </w:t>
      </w:r>
      <w:hyperlink w:anchor="ref-15">
        <w:r>
          <w:rPr>
            <w:rStyle w:val="Hyperlink"/>
          </w:rPr>
          <w:t xml:space="preserve">[15]</w:t>
        </w:r>
      </w:hyperlink>
      <w:r>
        <w:t xml:space="preserve">. The economic and classification strands establish that legibility is the binding constraint on nearly every proposed remedy. Yet almost none of this work asks a prior, humbler question: is the topic of dual-use entanglement itself gaining a structured, observable presence in the research record, and can that presence be detected with reproducible measures?</w:t>
      </w:r>
    </w:p>
    <w:p>
      <w:pPr>
        <w:pStyle w:val="BodyText"/>
        <w:spacing w:line="480" w:lineRule="auto"/>
        <w:ind w:firstLine="720"/>
      </w:pPr>
      <w:r>
        <w:t xml:space="preserve">That question is not idle. If the topic’s footprint is structured, a metadata screen can serve as an efficient triage tool that points analysts toward the sources and venues where dual-use concern is concentrating. If the footprint is not structured, that failure is itself a finding about the topic’s maturity and about the limits of open-source metadata as a security-analytic instrument</w:t>
      </w:r>
      <w:r>
        <w:t xml:space="preserve"> </w:t>
      </w:r>
      <w:hyperlink w:anchor="ref-4">
        <w:r>
          <w:rPr>
            <w:rStyle w:val="Hyperlink"/>
          </w:rPr>
          <w:t xml:space="preserve">[4]</w:t>
        </w:r>
      </w:hyperlink>
      <w:r>
        <w:t xml:space="preserve"> </w:t>
      </w:r>
      <w:hyperlink w:anchor="ref-7">
        <w:r>
          <w:rPr>
            <w:rStyle w:val="Hyperlink"/>
          </w:rPr>
          <w:t xml:space="preserve">[7]</w:t>
        </w:r>
      </w:hyperlink>
      <w:r>
        <w:t xml:space="preserve">. Either way, the field currently lacks a clean test of the proposition, and supplying one, with full provenance and reproducibility, is the seam-level contribution this dissertation offers. The chapters that follow build that test, run it, and read its result against the substantive expectations the literature reviewed here has established</w:t>
      </w:r>
      <w:r>
        <w:t xml:space="preserve"> </w:t>
      </w:r>
      <w:hyperlink w:anchor="ref-5">
        <w:r>
          <w:rPr>
            <w:rStyle w:val="Hyperlink"/>
          </w:rPr>
          <w:t xml:space="preserve">[5]</w:t>
        </w:r>
      </w:hyperlink>
      <w:r>
        <w:t xml:space="preserve"> </w:t>
      </w:r>
      <w:hyperlink w:anchor="ref-16">
        <w:r>
          <w:rPr>
            <w:rStyle w:val="Hyperlink"/>
          </w:rPr>
          <w:t xml:space="preserve">[16]</w:t>
        </w:r>
      </w:hyperlink>
      <w:r>
        <w:t xml:space="preserve">.</w:t>
      </w:r>
    </w:p>
    <w:bookmarkEnd w:id="79"/>
    <w:bookmarkStart w:id="80" w:name="X670b47872969f6a255e1c006929894fc6d45024"/>
    <w:p>
      <w:pPr>
        <w:pStyle w:val="Heading2"/>
        <w:spacing w:line="480" w:lineRule="auto"/>
      </w:pPr>
      <w:r>
        <w:t xml:space="preserve">Bibliometric measurement and its known failure modes</w:t>
      </w:r>
    </w:p>
    <w:p>
      <w:pPr>
        <w:pStyle w:val="FirstParagraph"/>
        <w:spacing w:line="480" w:lineRule="auto"/>
      </w:pPr>
      <w:r>
        <w:t xml:space="preserve">Because this dissertation treats the research record itself as data, it must engage the literature on bibliometric measurement, which is where the measurement conversation becomes explicit rather than implicit. That literature has documented several failure modes that bear directly on the design. Citation counts are lagged, so recent work is systematically undercounted relative to its eventual influence, a problem acute in a topic whose open literature is heavily recent</w:t>
      </w:r>
      <w:r>
        <w:t xml:space="preserve"> </w:t>
      </w:r>
      <w:hyperlink w:anchor="ref-4">
        <w:r>
          <w:rPr>
            <w:rStyle w:val="Hyperlink"/>
          </w:rPr>
          <w:t xml:space="preserve">[4]</w:t>
        </w:r>
      </w:hyperlink>
      <w:r>
        <w:t xml:space="preserve">. Citation practices vary by field and venue, so counts are not comparable across the conference, journal, and grey-literature families that populate this corpus</w:t>
      </w:r>
      <w:r>
        <w:t xml:space="preserve"> </w:t>
      </w:r>
      <w:hyperlink w:anchor="ref-6">
        <w:r>
          <w:rPr>
            <w:rStyle w:val="Hyperlink"/>
          </w:rPr>
          <w:t xml:space="preserve">[6]</w:t>
        </w:r>
      </w:hyperlink>
      <w:r>
        <w:t xml:space="preserve">. And keyword or vocabulary measures capture the language authors use rather than the substance they address, which decouples the measure from the phenomenon exactly when authors write in a technical register.</w:t>
      </w:r>
    </w:p>
    <w:p>
      <w:pPr>
        <w:pStyle w:val="BodyText"/>
        <w:spacing w:line="480" w:lineRule="auto"/>
        <w:ind w:firstLine="720"/>
      </w:pPr>
      <w:r>
        <w:t xml:space="preserve">These failure modes are not reasons to abandon bibliometric screening. They are reasons to design it carefully and to interpret it modestly. The learning-curve model in this project is a direct response to the lag problem, treating age as an object of study rather than a nuisance. The ordinal venue coding is an acknowledgment, rather than a solution, of the cross-venue comparability problem. And the anticipated divergence between vocabulary and substance is precisely the interpretive lens the later chapters apply to the results. The measurement literature thus does double duty in this dissertation: it justifies the screen as a legitimate method and it predicts, in advance, several of the ways the screen might return a null on a substantively active topic.</w:t>
      </w:r>
    </w:p>
    <w:bookmarkEnd w:id="80"/>
    <w:bookmarkStart w:id="81" w:name="positioning-the-contribution"/>
    <w:p>
      <w:pPr>
        <w:pStyle w:val="Heading2"/>
        <w:spacing w:line="480" w:lineRule="auto"/>
      </w:pPr>
      <w:r>
        <w:t xml:space="preserve">Positioning the contribution</w:t>
      </w:r>
    </w:p>
    <w:p>
      <w:pPr>
        <w:pStyle w:val="FirstParagraph"/>
        <w:spacing w:line="480" w:lineRule="auto"/>
      </w:pPr>
      <w:r>
        <w:t xml:space="preserve">Set against both conversations, the contribution can now be stated with precision. From the substantive literature, the dissertation inherits a well-established claim that dual-use entanglement is real, physically grounded, and governance-lagging, along with a rich account of the mechanisms through which ambiguity drives inadvertent escalation</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From the measurement literature, it inherits a set of tools for turning documents into evidence and a candid catalog of how those tools fail. The contribution sits at the join: it asks whether the substantively important topic has a measurable footprint in the research record, and it answers with a reproducible test whose result, whatever its direction, is informative about both the topic and the tools.</w:t>
      </w:r>
    </w:p>
    <w:p>
      <w:pPr>
        <w:pStyle w:val="BodyText"/>
        <w:spacing w:line="480" w:lineRule="auto"/>
        <w:ind w:firstLine="720"/>
      </w:pPr>
      <w:r>
        <w:t xml:space="preserve">No prior work in this pack performs that specific join. The technical papers characterize capabilities without asking about their bibliometric footprint</w:t>
      </w:r>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8">
        <w:r>
          <w:rPr>
            <w:rStyle w:val="Hyperlink"/>
          </w:rPr>
          <w:t xml:space="preserve">[8]</w:t>
        </w:r>
      </w:hyperlink>
      <w:r>
        <w:t xml:space="preserve"> </w:t>
      </w:r>
      <w:hyperlink w:anchor="ref-12">
        <w:r>
          <w:rPr>
            <w:rStyle w:val="Hyperlink"/>
          </w:rPr>
          <w:t xml:space="preserve">[12]</w:t>
        </w:r>
      </w:hyperlink>
      <w:r>
        <w:t xml:space="preserve">. The governance papers characterize institutional gaps without treating the literature as data</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6">
        <w:r>
          <w:rPr>
            <w:rStyle w:val="Hyperlink"/>
          </w:rPr>
          <w:t xml:space="preserve">[16]</w:t>
        </w:r>
      </w:hyperlink>
      <w:r>
        <w:t xml:space="preserve">. The information-sharing work characterizes trust infrastructure without a measurement design</w:t>
      </w:r>
      <w:r>
        <w:t xml:space="preserve"> </w:t>
      </w:r>
      <w:hyperlink w:anchor="ref-6">
        <w:r>
          <w:rPr>
            <w:rStyle w:val="Hyperlink"/>
          </w:rPr>
          <w:t xml:space="preserve">[6]</w:t>
        </w:r>
      </w:hyperlink>
      <w:r>
        <w:t xml:space="preserve">. The dissertation’s place is therefore not to displace any of these but to add the missing empirical layer beneath them, a layer that tells the next researcher whether and how the topic can be measured before they commit to the expensive work of measuring it directly. That is the seam, and building on it is what the remaining chapters do.</w:t>
      </w:r>
    </w:p>
    <w:bookmarkEnd w:id="81"/>
    <w:bookmarkEnd w:id="82"/>
    <w:bookmarkStart w:id="94" w:name="theory-and-hypotheses"/>
    <w:p>
      <w:pPr>
        <w:pStyle w:val="Heading1"/>
        <w:spacing w:line="480" w:lineRule="auto"/>
      </w:pPr>
      <w:r>
        <w:t xml:space="preserve">Theory and Hypotheses</w:t>
      </w:r>
    </w:p>
    <w:p>
      <w:pPr>
        <w:pStyle w:val="FirstParagraph"/>
        <w:spacing w:line="480" w:lineRule="auto"/>
      </w:pPr>
      <w:r>
        <w:t xml:space="preserve">Theory earns its place in an empirical dissertation by doing one job well: it tells the reader what each observable pattern would mean before the pattern is seen. Without that prior interpretation, a coefficient is just a number, and the researcher is free to read any number as confirmation. This chapter builds the mechanism that links dual-use ambiguity to inadvertent escalation, then derives from it the specific, falsifiable predictions that the two empirical models are designed to test. The mechanism is intuitive. The predictions are narrow. That narrowness is the discipline. The narrowness is deliberate, because a theory that predicts everything constrains nothing.</w:t>
      </w:r>
    </w:p>
    <w:bookmarkStart w:id="83" w:name="X60ee474ea99d2f135c7699f4e2335f2863f62b6"/>
    <w:p>
      <w:pPr>
        <w:pStyle w:val="Heading2"/>
        <w:spacing w:line="480" w:lineRule="auto"/>
      </w:pPr>
      <w:r>
        <w:t xml:space="preserve">The core mechanism: ambiguity degrades the signal</w:t>
      </w:r>
    </w:p>
    <w:p>
      <w:pPr>
        <w:pStyle w:val="FirstParagraph"/>
        <w:spacing w:line="480" w:lineRule="auto"/>
      </w:pPr>
      <w:r>
        <w:t xml:space="preserve">Start with a stripped-down account of deterrence. One actor holds a capability. A second actor observes some fraction of that capability and forms a belief about the first actor’s intent. Deterrence works when the observed signal supports a belief accurate enough that both sides avoid the moves that would trigger conflict. The whole apparatus depends on the signal carrying information about intent.</w:t>
      </w:r>
    </w:p>
    <w:p>
      <w:pPr>
        <w:pStyle w:val="BodyText"/>
        <w:spacing w:line="480" w:lineRule="auto"/>
        <w:ind w:firstLine="720"/>
      </w:pPr>
      <w:r>
        <w:t xml:space="preserve">Dual-use assets attack this dependence at its root. A spacecraft that can service satellites can also disable them; a robotic arm optimized for cooperative capture is, from the outside, indistinguishable from one optimized for hostile capture</w:t>
      </w:r>
      <w:r>
        <w:t xml:space="preserve"> </w:t>
      </w:r>
      <w:hyperlink w:anchor="ref-12">
        <w:r>
          <w:rPr>
            <w:rStyle w:val="Hyperlink"/>
          </w:rPr>
          <w:t xml:space="preserve">[12]</w:t>
        </w:r>
      </w:hyperlink>
      <w:r>
        <w:t xml:space="preserve">. A tether-net system built to entangle and remove debris embodies the same duality, since the physics of capturing a defunct object and capturing an active one differ in target selection, not in capability</w:t>
      </w:r>
      <w:r>
        <w:t xml:space="preserve"> </w:t>
      </w:r>
      <w:hyperlink w:anchor="ref-9">
        <w:r>
          <w:rPr>
            <w:rStyle w:val="Hyperlink"/>
          </w:rPr>
          <w:t xml:space="preserve">[9]</w:t>
        </w:r>
      </w:hyperlink>
      <w:r>
        <w:t xml:space="preserve">. The observing actor therefore cannot infer intent from capability, because the capability is consistent with both benign and hostile purposes. The signal is degraded at the source. Capability alone cannot speak.</w:t>
      </w:r>
    </w:p>
    <w:p>
      <w:pPr>
        <w:pStyle w:val="BodyText"/>
        <w:spacing w:line="480" w:lineRule="auto"/>
        <w:ind w:firstLine="720"/>
      </w:pPr>
      <w:r>
        <w:t xml:space="preserve">Degradation matters because of how the observing actor fills the gap. When the signal underdetermines intent, the observer substitutes prior beliefs, and in a security setting those priors tend toward the pessimistic. Each side reads the ambiguous asset as more threatening than the other intended, responds to that reading, and the response is itself observed and read pessimistically in turn. The escalation is inadvertent in the precise sense that no actor chose it as a goal. It emerged from a sequence of individually reasonable interpretations of individually ambiguous signals. Hayden and colleagues describe how autonomy sharpens exactly this dynamic by compressing the time available for the observer to seek clarification before responding</w:t>
      </w:r>
      <w:r>
        <w:t xml:space="preserve"> </w:t>
      </w:r>
      <w:hyperlink w:anchor="ref-2">
        <w:r>
          <w:rPr>
            <w:rStyle w:val="Hyperlink"/>
          </w:rPr>
          <w:t xml:space="preserve">[2]</w:t>
        </w:r>
      </w:hyperlink>
      <w:r>
        <w:t xml:space="preserve">.</w:t>
      </w:r>
    </w:p>
    <w:bookmarkEnd w:id="83"/>
    <w:bookmarkStart w:id="84" w:name="three-amplifiers-of-the-mechanism"/>
    <w:p>
      <w:pPr>
        <w:pStyle w:val="Heading2"/>
        <w:spacing w:line="480" w:lineRule="auto"/>
      </w:pPr>
      <w:r>
        <w:t xml:space="preserve">Three amplifiers of the mechanism</w:t>
      </w:r>
    </w:p>
    <w:p>
      <w:pPr>
        <w:pStyle w:val="FirstParagraph"/>
        <w:spacing w:line="480" w:lineRule="auto"/>
      </w:pPr>
      <w:r>
        <w:t xml:space="preserve">The bare mechanism is amplified by three features of the space environment, each documented in the prior literature and each with implications for measurement.</w:t>
      </w:r>
    </w:p>
    <w:p>
      <w:pPr>
        <w:pStyle w:val="BodyText"/>
        <w:spacing w:line="480" w:lineRule="auto"/>
        <w:ind w:firstLine="720"/>
      </w:pPr>
      <w:r>
        <w:t xml:space="preserve">The first amplifier is attribution difficulty. If the harmed party cannot quickly and credibly identify the responsible actor, it cannot calibrate a proportionate response, and its uncertainty pushes it toward worst-case assumptions. Dalal, Boley, and Byers make attribution central to their account of why debris and collision risk in geostationary orbit threaten strategic stability</w:t>
      </w:r>
      <w:r>
        <w:t xml:space="preserve"> </w:t>
      </w:r>
      <w:hyperlink w:anchor="ref-1">
        <w:r>
          <w:rPr>
            <w:rStyle w:val="Hyperlink"/>
          </w:rPr>
          <w:t xml:space="preserve">[1]</w:t>
        </w:r>
      </w:hyperlink>
      <w:r>
        <w:t xml:space="preserve">. The effort that operators expend on debris mapping and object detection is direct evidence that attribution is not free</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second amplifier is the thinness of sensing in contested regions. Where coverage is sparse, ambiguity is higher, because the observer sees less and infers more. Cislunar space, where orbit determination is still a research problem, is the clearest example</w:t>
      </w:r>
      <w:r>
        <w:t xml:space="preserve"> </w:t>
      </w:r>
      <w:hyperlink w:anchor="ref-3">
        <w:r>
          <w:rPr>
            <w:rStyle w:val="Hyperlink"/>
          </w:rPr>
          <w:t xml:space="preserve">[3]</w:t>
        </w:r>
      </w:hyperlink>
      <w:r>
        <w:t xml:space="preserve">. The mechanism predicts that escalation risk concentrates where sensing is weakest, not merely where capability is greatest.</w:t>
      </w:r>
    </w:p>
    <w:p>
      <w:pPr>
        <w:pStyle w:val="BodyText"/>
        <w:spacing w:line="480" w:lineRule="auto"/>
        <w:ind w:firstLine="720"/>
      </w:pPr>
      <w:r>
        <w:t xml:space="preserve">The third amplifier is the diffusion of the offensive vector into software and data. A cyber operation against a dual-use satellite can be deniable and slow to attribute, adding a second ambiguity on top of the physical one</w:t>
      </w:r>
      <w:r>
        <w:t xml:space="preserve"> </w:t>
      </w:r>
      <w:hyperlink w:anchor="ref-15">
        <w:r>
          <w:rPr>
            <w:rStyle w:val="Hyperlink"/>
          </w:rPr>
          <w:t xml:space="preserve">[15]</w:t>
        </w:r>
      </w:hyperlink>
      <w:r>
        <w:t xml:space="preserve">. When the integrity of a system’s data and models is itself a security variable, the observer must reason about a threat that leaves few visible traces</w:t>
      </w:r>
      <w:r>
        <w:t xml:space="preserve"> </w:t>
      </w:r>
      <w:hyperlink w:anchor="ref-7">
        <w:r>
          <w:rPr>
            <w:rStyle w:val="Hyperlink"/>
          </w:rPr>
          <w:t xml:space="preserve">[7]</w:t>
        </w:r>
      </w:hyperlink>
      <w:r>
        <w:t xml:space="preserve"> </w:t>
      </w:r>
      <w:hyperlink w:anchor="ref-16">
        <w:r>
          <w:rPr>
            <w:rStyle w:val="Hyperlink"/>
          </w:rPr>
          <w:t xml:space="preserve">[16]</w:t>
        </w:r>
      </w:hyperlink>
      <w:r>
        <w:t xml:space="preserve">. Reis frames this as the defining move of hybrid threats, where an adversary cultivates ambiguity rather than merely tolerating it</w:t>
      </w:r>
      <w:r>
        <w:t xml:space="preserve"> </w:t>
      </w:r>
      <w:hyperlink w:anchor="ref-10">
        <w:r>
          <w:rPr>
            <w:rStyle w:val="Hyperlink"/>
          </w:rPr>
          <w:t xml:space="preserve">[10]</w:t>
        </w:r>
      </w:hyperlink>
      <w:r>
        <w:t xml:space="preserve">.</w:t>
      </w:r>
    </w:p>
    <w:bookmarkEnd w:id="84"/>
    <w:bookmarkStart w:id="85" w:name="Xd3ed8463393d694cae6068ab8f1edebab53914e"/>
    <w:p>
      <w:pPr>
        <w:pStyle w:val="Heading2"/>
        <w:spacing w:line="480" w:lineRule="auto"/>
      </w:pPr>
      <w:r>
        <w:t xml:space="preserve">From mechanism to an observable footprint</w:t>
      </w:r>
    </w:p>
    <w:p>
      <w:pPr>
        <w:pStyle w:val="FirstParagraph"/>
        <w:spacing w:line="480" w:lineRule="auto"/>
      </w:pPr>
      <w:r>
        <w:t xml:space="preserve">The mechanism concerns behavior in orbit, which this dissertation cannot observe directly. What it can observe is the research record. The theoretical bridge is a salience argument: if dual-use entanglement is becoming strategically consequential, then researchers, operators, and policy analysts should be attending to it, and that attention should leave observable traces in when work is published, how much it is cited, and where it appears.</w:t>
      </w:r>
    </w:p>
    <w:p>
      <w:pPr>
        <w:pStyle w:val="BodyText"/>
        <w:spacing w:line="480" w:lineRule="auto"/>
        <w:ind w:firstLine="720"/>
      </w:pPr>
      <w:r>
        <w:t xml:space="preserve">This is a proxy, and it should be labeled as one. Attention in the literature is not the same as risk in orbit. A topic can be dangerous and underattended, or safe and overattended. But attention is not arbitrary either. A topic that is genuinely rising in strategic importance tends to accumulate recent work, to draw citations as the citing literature matures, and to consolidate in particular venues. The theory therefore predicts that the topic signal, if the topic is consequential, will show structure along the dimensions of recency, citation attention, and venue family rather than being distributed at random across them.</w:t>
      </w:r>
    </w:p>
    <w:p>
      <w:pPr>
        <w:pStyle w:val="BodyText"/>
        <w:spacing w:line="480" w:lineRule="auto"/>
        <w:ind w:firstLine="720"/>
      </w:pPr>
      <w:r>
        <w:t xml:space="preserve">Bratu and Freeland’s observation that the legal categories are still contested strengthens rather than weakens this expectation</w:t>
      </w:r>
      <w:r>
        <w:t xml:space="preserve"> </w:t>
      </w:r>
      <w:hyperlink w:anchor="ref-14">
        <w:r>
          <w:rPr>
            <w:rStyle w:val="Hyperlink"/>
          </w:rPr>
          <w:t xml:space="preserve">[14]</w:t>
        </w:r>
      </w:hyperlink>
      <w:r>
        <w:t xml:space="preserve">. Contested, fast-moving topics generate bursts of recent publication and shifting venue patterns, which is itself a structured signal. A settled, quiet topic would generate a flatter, less structured record.</w:t>
      </w:r>
    </w:p>
    <w:bookmarkEnd w:id="85"/>
    <w:bookmarkStart w:id="86" w:name="the-hypotheses"/>
    <w:p>
      <w:pPr>
        <w:pStyle w:val="Heading2"/>
        <w:spacing w:line="480" w:lineRule="auto"/>
      </w:pPr>
      <w:r>
        <w:t xml:space="preserve">The hypotheses</w:t>
      </w:r>
    </w:p>
    <w:p>
      <w:pPr>
        <w:pStyle w:val="FirstParagraph"/>
        <w:spacing w:line="480" w:lineRule="auto"/>
      </w:pPr>
      <w:r>
        <w:t xml:space="preserve">Two paired hypotheses follow, each mapping to one of the empirical models.</w:t>
      </w:r>
    </w:p>
    <w:p>
      <w:pPr>
        <w:pStyle w:val="BodyText"/>
        <w:spacing w:line="480" w:lineRule="auto"/>
        <w:ind w:firstLine="720"/>
      </w:pPr>
      <w:r>
        <w:t xml:space="preserve">The first concerns cross-sectional structure in topic-signal intensity. If the mechanism holds and the topic is consequential, the composite topic-signal score for a source should be systematically related to how recent the source is, how much attention it has drawn, and which venue family it belongs to.</w:t>
      </w:r>
    </w:p>
    <w:p>
      <w:pPr>
        <w:pStyle w:val="BodyText"/>
        <w:spacing w:line="480" w:lineRule="auto"/>
        <w:ind w:firstLine="720"/>
      </w:pPr>
      <w:r>
        <w:t xml:space="preserve">H0 (signal): the topic-signal score is unrelated to publication recency, citation attention, and venue family.</w:t>
      </w:r>
    </w:p>
    <w:p>
      <w:pPr>
        <w:pStyle w:val="BodyText"/>
        <w:spacing w:line="480" w:lineRule="auto"/>
        <w:ind w:firstLine="720"/>
      </w:pPr>
      <w:r>
        <w:t xml:space="preserve">H1 (signal): the topic-signal score is systematically related to publication recency, citation attention, and venue family, rising with recency and with citation attention.</w:t>
      </w:r>
    </w:p>
    <w:p>
      <w:pPr>
        <w:pStyle w:val="BodyText"/>
        <w:spacing w:line="480" w:lineRule="auto"/>
        <w:ind w:firstLine="720"/>
      </w:pPr>
      <w:r>
        <w:t xml:space="preserve">The directional part of H1 deserves a word. The theory predicts that recency raises the signal, because a rising topic concentrates in newer work, and that citation attention raises it, because consequential work draws citations as it ages. Venue family is included without a strong directional prior, since the mapping from venue type to signal intensity depends on discipline-specific citation and coverage norms that the theory does not fix in advance</w:t>
      </w:r>
      <w:r>
        <w:t xml:space="preserve"> </w:t>
      </w:r>
      <w:hyperlink w:anchor="ref-6">
        <w:r>
          <w:rPr>
            <w:rStyle w:val="Hyperlink"/>
          </w:rPr>
          <w:t xml:space="preserve">[6]</w:t>
        </w:r>
      </w:hyperlink>
      <w:r>
        <w:t xml:space="preserve">.</w:t>
      </w:r>
    </w:p>
    <w:p>
      <w:pPr>
        <w:pStyle w:val="BodyText"/>
        <w:spacing w:line="480" w:lineRule="auto"/>
        <w:ind w:firstLine="720"/>
      </w:pPr>
      <w:r>
        <w:t xml:space="preserve">The second hypothesis concerns the temporal structure of attention itself, and it exists precisely because raw citation counts are treacherous in a literature this young. Recent and conference-based work carries little recorded citation weight not because it is unimportant but because the citing literature has not caught up</w:t>
      </w:r>
      <w:r>
        <w:t xml:space="preserve"> </w:t>
      </w:r>
      <w:hyperlink w:anchor="ref-4">
        <w:r>
          <w:rPr>
            <w:rStyle w:val="Hyperlink"/>
          </w:rPr>
          <w:t xml:space="preserve">[4]</w:t>
        </w:r>
      </w:hyperlink>
      <w:r>
        <w:t xml:space="preserve">. A learning-curve framing takes that age dependence seriously by asking whether citation accumulation follows a measurable curve as documents age.</w:t>
      </w:r>
    </w:p>
    <w:p>
      <w:pPr>
        <w:pStyle w:val="BodyText"/>
        <w:spacing w:line="480" w:lineRule="auto"/>
        <w:ind w:firstLine="720"/>
      </w:pPr>
      <w:r>
        <w:t xml:space="preserve">H0 (attention): citation accumulation is unrelated to article age in the retrieved topic literature.</w:t>
      </w:r>
    </w:p>
    <w:p>
      <w:pPr>
        <w:pStyle w:val="BodyText"/>
        <w:spacing w:line="480" w:lineRule="auto"/>
        <w:ind w:firstLine="720"/>
      </w:pPr>
      <w:r>
        <w:t xml:space="preserve">H1 (attention): citation accumulation follows a measurable age-based attention curve.</w:t>
      </w:r>
    </w:p>
    <w:p>
      <w:pPr>
        <w:pStyle w:val="BodyText"/>
        <w:spacing w:line="480" w:lineRule="auto"/>
        <w:ind w:firstLine="720"/>
      </w:pPr>
      <w:r>
        <w:t xml:space="preserve">These two hypotheses are complementary. The first asks whether the topic’s footprint is structured across sources at a point in time. The second asks whether the attention component of that footprint is structured across time as documents age. Together they operationalize the single falsifiable contribution stated in the introduction. A reader can check both against the estimator output row by row</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bookmarkEnd w:id="86"/>
    <w:bookmarkStart w:id="87" w:name="what-would-count-as-disconfirmation"/>
    <w:p>
      <w:pPr>
        <w:pStyle w:val="Heading2"/>
        <w:spacing w:line="480" w:lineRule="auto"/>
      </w:pPr>
      <w:r>
        <w:t xml:space="preserve">What would count as disconfirmation</w:t>
      </w:r>
    </w:p>
    <w:p>
      <w:pPr>
        <w:pStyle w:val="FirstParagraph"/>
        <w:spacing w:line="480" w:lineRule="auto"/>
      </w:pPr>
      <w:r>
        <w:t xml:space="preserve">A theory that cannot be embarrassed by data is not doing empirical work, so it is worth stating plainly what disconfirmation looks like. If the signal model returns coefficients that are small and imprecise across recency, citation attention, and venue, the reasonable reading is that the topic does not have a structured metadata footprint in this corpus, and H0 (signal) is not rejected. If the learning-curve model returns an elasticity near zero with a large p-value, the reasonable reading is that citation accumulation in this corpus is not organized by age in any detectable way, and H0 (attention) is not rejected.</w:t>
      </w:r>
    </w:p>
    <w:p>
      <w:pPr>
        <w:pStyle w:val="BodyText"/>
        <w:spacing w:line="480" w:lineRule="auto"/>
        <w:ind w:firstLine="720"/>
      </w:pPr>
      <w:r>
        <w:t xml:space="preserve">Neither outcome would be a failure of the dissertation. Both would be informative about the topic’s empirical maturity and about the limits of metadata as a measurement instrument for a young, contested subject. The theory is honest because it commits, in advance, to reading weak and imprecise results as evidence against the strong version of its own claim rather than explaining them away</w:t>
      </w:r>
      <w:r>
        <w:t xml:space="preserve"> </w:t>
      </w:r>
      <w:hyperlink w:anchor="ref-2">
        <w:r>
          <w:rPr>
            <w:rStyle w:val="Hyperlink"/>
          </w:rPr>
          <w:t xml:space="preserve">[2]</w:t>
        </w:r>
      </w:hyperlink>
      <w:r>
        <w:t xml:space="preserve"> </w:t>
      </w:r>
      <w:hyperlink w:anchor="ref-10">
        <w:r>
          <w:rPr>
            <w:rStyle w:val="Hyperlink"/>
          </w:rPr>
          <w:t xml:space="preserve">[10]</w:t>
        </w:r>
      </w:hyperlink>
      <w:r>
        <w:t xml:space="preserve">.</w:t>
      </w:r>
    </w:p>
    <w:bookmarkEnd w:id="87"/>
    <w:bookmarkStart w:id="88" w:name="the-security-dilemma-logic-in-orbit"/>
    <w:p>
      <w:pPr>
        <w:pStyle w:val="Heading2"/>
        <w:spacing w:line="480" w:lineRule="auto"/>
      </w:pPr>
      <w:r>
        <w:t xml:space="preserve">The security-dilemma logic in orbit</w:t>
      </w:r>
    </w:p>
    <w:p>
      <w:pPr>
        <w:pStyle w:val="FirstParagraph"/>
        <w:spacing w:line="480" w:lineRule="auto"/>
      </w:pPr>
      <w:r>
        <w:t xml:space="preserve">It is worth spelling out how the classic security dilemma operates once dual-use ambiguity is introduced, because the dilemma is the engine that turns individual misreadings into a spiral. In the standard formulation, one state’s measures to increase its own security decrease the security of others, who respond in kind, leaving everyone less secure despite no one seeking that outcome. The dilemma is mild when offensive and defensive postures are distinguishable, because a state can build defensively without alarming its rivals. It is severe when they are indistinguishable, because every defensive investment reads as a potential offensive one.</w:t>
      </w:r>
    </w:p>
    <w:p>
      <w:pPr>
        <w:pStyle w:val="BodyText"/>
        <w:spacing w:line="480" w:lineRule="auto"/>
        <w:ind w:firstLine="720"/>
      </w:pPr>
      <w:r>
        <w:t xml:space="preserve">Space pushes the dilemma toward its severe pole. A rendezvous-and-proximity capability built to inspect one’s own failing satellites is mechanically the same as one built to shadow and threaten an adversary’s</w:t>
      </w:r>
      <w:r>
        <w:t xml:space="preserve"> </w:t>
      </w:r>
      <w:hyperlink w:anchor="ref-12">
        <w:r>
          <w:rPr>
            <w:rStyle w:val="Hyperlink"/>
          </w:rPr>
          <w:t xml:space="preserve">[12]</w:t>
        </w:r>
      </w:hyperlink>
      <w:r>
        <w:t xml:space="preserve">. A laser system for communication or debris nudging shares physics with one for dazzling a sensor</w:t>
      </w:r>
      <w:r>
        <w:t xml:space="preserve"> </w:t>
      </w:r>
      <w:hyperlink w:anchor="ref-11">
        <w:r>
          <w:rPr>
            <w:rStyle w:val="Hyperlink"/>
          </w:rPr>
          <w:t xml:space="preserve">[11]</w:t>
        </w:r>
      </w:hyperlink>
      <w:r>
        <w:t xml:space="preserve">. Because the defensive and offensive versions are not separable at the level of hardware, an adversary cannot take reassurance from the claim that a system is defensive. The theory therefore predicts that dual-use domains generate more acute security dilemmas than domains where posture is legible, and that the acuteness rises with the sensing and attribution difficulty that prevents an observer from resolving the ambiguity through observation alone</w:t>
      </w:r>
      <w:r>
        <w:t xml:space="preserve"> </w:t>
      </w:r>
      <w:hyperlink w:anchor="ref-1">
        <w:r>
          <w:rPr>
            <w:rStyle w:val="Hyperlink"/>
          </w:rPr>
          <w:t xml:space="preserve">[1]</w:t>
        </w:r>
      </w:hyperlink>
      <w:r>
        <w:t xml:space="preserve">.</w:t>
      </w:r>
    </w:p>
    <w:p>
      <w:pPr>
        <w:pStyle w:val="BodyText"/>
        <w:spacing w:line="480" w:lineRule="auto"/>
        <w:ind w:firstLine="720"/>
      </w:pPr>
      <w:r>
        <w:t xml:space="preserve">This is why information sharing appears in the mechanism as the natural countermeasure rather than as an afterthought. If ambiguity is the disease, then anything that lets an observer resolve intent without relying on capability alone is a partial cure. Credible, shared information about operations and intentions can substitute for the reassurance that indistinguishable hardware cannot provide</w:t>
      </w:r>
      <w:r>
        <w:t xml:space="preserve"> </w:t>
      </w:r>
      <w:hyperlink w:anchor="ref-6">
        <w:r>
          <w:rPr>
            <w:rStyle w:val="Hyperlink"/>
          </w:rPr>
          <w:t xml:space="preserve">[6]</w:t>
        </w:r>
      </w:hyperlink>
      <w:r>
        <w:t xml:space="preserve">. The theory does not assume such sharing exists; it identifies its absence as one reason the dilemma stays severe, and it treats the growth of interest in information-sharing solutions as one of the traces the topic’s salience might leave in the record.</w:t>
      </w:r>
    </w:p>
    <w:bookmarkEnd w:id="88"/>
    <w:bookmarkStart w:id="89" w:name="X3093cce7b1e96c4c4755d05df832442bb79f787"/>
    <w:p>
      <w:pPr>
        <w:pStyle w:val="Heading2"/>
        <w:spacing w:line="480" w:lineRule="auto"/>
      </w:pPr>
      <w:r>
        <w:t xml:space="preserve">Time compression and the autonomy multiplier</w:t>
      </w:r>
    </w:p>
    <w:p>
      <w:pPr>
        <w:pStyle w:val="FirstParagraph"/>
        <w:spacing w:line="480" w:lineRule="auto"/>
      </w:pPr>
      <w:r>
        <w:t xml:space="preserve">A second theoretical refinement concerns speed. Speed is the enemy here. The escalation spiral described above assumes the observer has time to seek clarification before responding. Autonomy attacks that assumption directly. When decisions are delegated to automated systems that act on machine timescales, the window in which a human could pause, ask, and reconsider collapses</w:t>
      </w:r>
      <w:r>
        <w:t xml:space="preserve"> </w:t>
      </w:r>
      <w:hyperlink w:anchor="ref-2">
        <w:r>
          <w:rPr>
            <w:rStyle w:val="Hyperlink"/>
          </w:rPr>
          <w:t xml:space="preserve">[2]</w:t>
        </w:r>
      </w:hyperlink>
      <w:r>
        <w:t xml:space="preserve">. The mechanism predicts that autonomy is not merely one more dual-use technology among others but a multiplier on the whole spiral, because it shortens the interval during which ambiguity could be resolved and lengthens the reach of any single misreading.</w:t>
      </w:r>
    </w:p>
    <w:p>
      <w:pPr>
        <w:pStyle w:val="BodyText"/>
        <w:spacing w:line="480" w:lineRule="auto"/>
        <w:ind w:firstLine="720"/>
      </w:pPr>
      <w:r>
        <w:t xml:space="preserve">The autonomy multiplier has a data dimension that the governance literature has begun to stress. If an autonomous system’s behavior depends on the integrity of its training and operational data, then corrupting that data becomes a way to induce escalatory behavior without any overt kinetic act</w:t>
      </w:r>
      <w:r>
        <w:t xml:space="preserve"> </w:t>
      </w:r>
      <w:hyperlink w:anchor="ref-7">
        <w:r>
          <w:rPr>
            <w:rStyle w:val="Hyperlink"/>
          </w:rPr>
          <w:t xml:space="preserve">[7]</w:t>
        </w:r>
      </w:hyperlink>
      <w:r>
        <w:t xml:space="preserve"> </w:t>
      </w:r>
      <w:hyperlink w:anchor="ref-16">
        <w:r>
          <w:rPr>
            <w:rStyle w:val="Hyperlink"/>
          </w:rPr>
          <w:t xml:space="preserve">[16]</w:t>
        </w:r>
      </w:hyperlink>
      <w:r>
        <w:t xml:space="preserve">. The mechanism thus extends into the software and data layers, where actions are even harder to observe and attribute than physical maneuvers. This extension matters for the hypotheses because it predicts that the topic’s salience, if it is rising, should be visible not only in work on hardware but increasingly in work on data governance and cyber operations, spreading the footprint across venues rather than concentrating it</w:t>
      </w:r>
      <w:r>
        <w:t xml:space="preserve"> </w:t>
      </w:r>
      <w:hyperlink w:anchor="ref-15">
        <w:r>
          <w:rPr>
            <w:rStyle w:val="Hyperlink"/>
          </w:rPr>
          <w:t xml:space="preserve">[15]</w:t>
        </w:r>
      </w:hyperlink>
      <w:r>
        <w:t xml:space="preserve">.</w:t>
      </w:r>
    </w:p>
    <w:bookmarkEnd w:id="89"/>
    <w:bookmarkStart w:id="90" w:name="X8bee07546855791eec5fff3789aab82646b976c"/>
    <w:p>
      <w:pPr>
        <w:pStyle w:val="Heading2"/>
        <w:spacing w:line="480" w:lineRule="auto"/>
      </w:pPr>
      <w:r>
        <w:t xml:space="preserve">Why the predictions take the form they do</w:t>
      </w:r>
    </w:p>
    <w:p>
      <w:pPr>
        <w:pStyle w:val="FirstParagraph"/>
        <w:spacing w:line="480" w:lineRule="auto"/>
      </w:pPr>
      <w:r>
        <w:t xml:space="preserve">A reader might ask why the theory is operationalized through recency, citation, and venue rather than through some richer set of variables. The answer is a deliberate matching of ambition to instrument. These three are the dimensions along which a fixed source corpus can be measured deterministically, without human coding and without external data that would break reproducibility. The theory could motivate many finer predictions, about which subfields lead, about how governance language hardens, about which actors publish where. Those predictions would require exactly the direct document coding that this design-stage screen is meant to justify rather than pre-empt. The hypotheses are therefore pitched at the coarsest level the theory can still speak to, so that a null result cleanly indicts the coarse instrument and a positive result cleanly licenses the finer study. Keeping the predictions this narrow is what lets their outcome carry a clear message for the next stage of research</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90"/>
    <w:bookmarkStart w:id="91" w:name="X31e6898a47a357a5feae4f78698e66e89b7718a"/>
    <w:p>
      <w:pPr>
        <w:pStyle w:val="Heading2"/>
        <w:spacing w:line="480" w:lineRule="auto"/>
      </w:pPr>
      <w:r>
        <w:t xml:space="preserve">The mechanism as a chain of observable links</w:t>
      </w:r>
    </w:p>
    <w:p>
      <w:pPr>
        <w:pStyle w:val="FirstParagraph"/>
        <w:spacing w:line="480" w:lineRule="auto"/>
      </w:pPr>
      <w:r>
        <w:t xml:space="preserve">To make the theory testable rather than merely evocative, it helps to lay the mechanism out as a chain, so that each link corresponds to something in principle observable and the whole can be inspected for where it might break. The first link is capability indistinguishability: a dual-use asset presents the same observable signature whether its purpose is benign or coercive</w:t>
      </w:r>
      <w:r>
        <w:t xml:space="preserve"> </w:t>
      </w:r>
      <w:hyperlink w:anchor="ref-12">
        <w:r>
          <w:rPr>
            <w:rStyle w:val="Hyperlink"/>
          </w:rPr>
          <w:t xml:space="preserve">[12]</w:t>
        </w:r>
      </w:hyperlink>
      <w:r>
        <w:t xml:space="preserve">. The second link is inference substitution: when the signature underdetermines intent, the observer falls back on priors, which in a security context skew pessimistic. The third link is reciprocal response: the observer acts on the pessimistic reading, and that action becomes an ambiguous signal to the original actor. The fourth link is the spiral: each side’s defensible response feeds the other’s pessimism, and the interaction ratchets upward with no one having chosen escalation.</w:t>
      </w:r>
    </w:p>
    <w:p>
      <w:pPr>
        <w:pStyle w:val="BodyText"/>
        <w:spacing w:line="480" w:lineRule="auto"/>
        <w:ind w:firstLine="720"/>
      </w:pPr>
      <w:r>
        <w:t xml:space="preserve">Laying the chain out this way shows where amplifiers enter. Attribution difficulty attacks the second link, deepening the observer’s reliance on priors by denying them confirmation of who did what</w:t>
      </w:r>
      <w:r>
        <w:t xml:space="preserve"> </w:t>
      </w:r>
      <w:hyperlink w:anchor="ref-1">
        <w:r>
          <w:rPr>
            <w:rStyle w:val="Hyperlink"/>
          </w:rPr>
          <w:t xml:space="preserve">[1]</w:t>
        </w:r>
      </w:hyperlink>
      <w:r>
        <w:t xml:space="preserve">. Sensing thinness attacks the same link from the other side, reducing the information available before priors take over</w:t>
      </w:r>
      <w:r>
        <w:t xml:space="preserve"> </w:t>
      </w:r>
      <w:hyperlink w:anchor="ref-3">
        <w:r>
          <w:rPr>
            <w:rStyle w:val="Hyperlink"/>
          </w:rPr>
          <w:t xml:space="preserve">[3]</w:t>
        </w:r>
      </w:hyperlink>
      <w:r>
        <w:t xml:space="preserve">. Autonomy attacks the third link, shortening the time between reading and responding so that a pessimistic inference converts to action before it can be checked</w:t>
      </w:r>
      <w:r>
        <w:t xml:space="preserve"> </w:t>
      </w:r>
      <w:hyperlink w:anchor="ref-2">
        <w:r>
          <w:rPr>
            <w:rStyle w:val="Hyperlink"/>
          </w:rPr>
          <w:t xml:space="preserve">[2]</w:t>
        </w:r>
      </w:hyperlink>
      <w:r>
        <w:t xml:space="preserve">. Cyber and data-integrity threats attack the whole chain by adding a second, even less observable layer of ambiguity on top of the physical one</w:t>
      </w:r>
      <w:r>
        <w:t xml:space="preserve"> </w:t>
      </w:r>
      <w:hyperlink w:anchor="ref-7">
        <w:r>
          <w:rPr>
            <w:rStyle w:val="Hyperlink"/>
          </w:rPr>
          <w:t xml:space="preserve">[7]</w:t>
        </w:r>
      </w:hyperlink>
      <w:r>
        <w:t xml:space="preserve"> </w:t>
      </w:r>
      <w:hyperlink w:anchor="ref-15">
        <w:r>
          <w:rPr>
            <w:rStyle w:val="Hyperlink"/>
          </w:rPr>
          <w:t xml:space="preserve">[15]</w:t>
        </w:r>
      </w:hyperlink>
      <w:r>
        <w:t xml:space="preserve">. Seeing the mechanism as a chain with identifiable amplifiers is what lets the theory predict not just that escalation risk exists but where it concentrates, and it is the concentration that a footprint in the research record might reflect.</w:t>
      </w:r>
    </w:p>
    <w:bookmarkEnd w:id="91"/>
    <w:bookmarkStart w:id="92" w:name="Xa1fa0d6f4308a17cddae986c7004b5dd47dbc0e"/>
    <w:p>
      <w:pPr>
        <w:pStyle w:val="Heading2"/>
        <w:spacing w:line="480" w:lineRule="auto"/>
      </w:pPr>
      <w:r>
        <w:t xml:space="preserve">From the chain to the metadata prediction</w:t>
      </w:r>
    </w:p>
    <w:p>
      <w:pPr>
        <w:pStyle w:val="FirstParagraph"/>
        <w:spacing w:line="480" w:lineRule="auto"/>
      </w:pPr>
      <w:r>
        <w:t xml:space="preserve">The link between this behavioral chain and the metadata hypotheses is a salience argument, and it should be stated carefully to avoid overclaiming. The theory does not predict that the research record mirrors orbital behavior. It predicts something weaker and testable: that if the topic is becoming strategically consequential, the community that studies it will attend to it, and that attention will not be distributed at random across time, citation, and venue but will show structure. A rising, contested topic should generate recent work, should accumulate citations as its citing literature matures, and should consolidate in identifiable venues</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hypotheses formalize that expectation, and they are falsifiable precisely because the record could fail to show the structure the salience argument predicts. When it does fail, as the results will report, the theory’s honest response is to ask whether the instrument or the topic is at fault, and the mechanism laid out here is what makes that diagnostic question answerable</w:t>
      </w:r>
      <w:r>
        <w:t xml:space="preserve"> </w:t>
      </w:r>
      <w:hyperlink w:anchor="ref-10">
        <w:r>
          <w:rPr>
            <w:rStyle w:val="Hyperlink"/>
          </w:rPr>
          <w:t xml:space="preserve">[10]</w:t>
        </w:r>
      </w:hyperlink>
      <w:r>
        <w:t xml:space="preserve"> </w:t>
      </w:r>
      <w:hyperlink w:anchor="ref-16">
        <w:r>
          <w:rPr>
            <w:rStyle w:val="Hyperlink"/>
          </w:rPr>
          <w:t xml:space="preserve">[16]</w:t>
        </w:r>
      </w:hyperlink>
      <w:r>
        <w:t xml:space="preserve">.</w:t>
      </w:r>
    </w:p>
    <w:bookmarkEnd w:id="92"/>
    <w:bookmarkStart w:id="93" w:name="the-theorys-stake-in-the-outcome"/>
    <w:p>
      <w:pPr>
        <w:pStyle w:val="Heading2"/>
        <w:spacing w:line="480" w:lineRule="auto"/>
      </w:pPr>
      <w:r>
        <w:t xml:space="preserve">The theory’s stake in the outcome</w:t>
      </w:r>
    </w:p>
    <w:p>
      <w:pPr>
        <w:pStyle w:val="FirstParagraph"/>
        <w:spacing w:line="480" w:lineRule="auto"/>
      </w:pPr>
      <w:r>
        <w:t xml:space="preserve">A theory earns respect by having something to lose, and this one does. If the metadata footprint had shown the predicted structure, the salience argument would have gained support and the mechanism’s real-world relevance would have found an echo in the research record. If the footprint shows no structure, the theory is forced into a fork: either the topic is not yet salient enough to leave a trace, or the trace exists but the vocabulary instrument cannot read it. The theory does not get to duck that fork by relabeling a null as a partial success. It commits, before the data are seen, to treating an unstructured footprint as a genuine challenge that the discussion must answer with argument rather than evasion. No relabeling is allowed. That commitment is what distinguishes a testable mechanism from a decorative one, and it is the standard the remaining chapters hold themselves to when the results come back quiet</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93"/>
    <w:bookmarkEnd w:id="94"/>
    <w:bookmarkStart w:id="106" w:name="methodology-and-identification"/>
    <w:p>
      <w:pPr>
        <w:pStyle w:val="Heading1"/>
        <w:spacing w:line="480" w:lineRule="auto"/>
      </w:pPr>
      <w:r>
        <w:t xml:space="preserve">Methodology and Identification</w:t>
      </w:r>
    </w:p>
    <w:p>
      <w:pPr>
        <w:pStyle w:val="FirstParagraph"/>
        <w:spacing w:line="480" w:lineRule="auto"/>
      </w:pPr>
      <w:r>
        <w:t xml:space="preserve">Two estimators carry the empirical weight of this dissertation. The first is an ordinary least squares regression of topic-signal intensity on recency, citation attention, and venue family. The second is a log-log learning-curve model of citation accumulation on article age. Each is simple by design. Simplicity is deliberate. Simplicity here is not a limitation to apologize for; it is a precondition for the inspectability that the whole project promises. A reader can follow every step of an ordinary least squares fit and a log-log fit by hand, which means the results cannot hide behind estimator complexity. This chapter states each model formally, explains what it identifies and what it does not, and defends the choices against the obvious alternatives.</w:t>
      </w:r>
    </w:p>
    <w:bookmarkStart w:id="95" w:name="the-signal-model"/>
    <w:p>
      <w:pPr>
        <w:pStyle w:val="Heading2"/>
        <w:spacing w:line="480" w:lineRule="auto"/>
      </w:pPr>
      <w:r>
        <w:t xml:space="preserve">The signal model</w:t>
      </w:r>
    </w:p>
    <w:p>
      <w:pPr>
        <w:pStyle w:val="FirstParagraph"/>
        <w:spacing w:line="480" w:lineRule="auto"/>
      </w:pPr>
      <w:r>
        <w:t xml:space="preserve">The first model estimates, for each of the thirty source records, how the composite topic-signal score varies with three predictors: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The outcome, SignalScore, is a deterministic count built from candidate-theme term hits in each source’s title, snippet, keyword field, and author metadata. The predictors are the recency index (publication year minus the minimum publication year in the sample, plus one), the reported citation count from the local index, and an ordinal venue-family score that codes conference proceedings as one, archival journal articles as two, and space-economy grey literature as three. The estimator is ordinary least squares with heteroskedasticity-consistent HC1 standard errors.</w:t>
      </w:r>
    </w:p>
    <w:p>
      <w:pPr>
        <w:pStyle w:val="BodyText"/>
        <w:spacing w:line="480" w:lineRule="auto"/>
        <w:ind w:firstLine="720"/>
      </w:pPr>
      <w:r>
        <w:t xml:space="preserve">Why ordinary least squares, when the outcome is a count and count models like Poisson exist? The answer is honesty about what the number is. The signal score is a small, bounded, deterministic composite, not a rate of independent events, so the Poisson generative story does not obviously fit better. Ordinary least squares gives a transparent conditional-mean interpretation that any reader can reconstruct, and the HC1 correction addresses the most likely violation, non-constant error variance across a heterogeneous corpus, without importing distributional assumptions the data cannot support. With thirty observations, a more elaborate model would purchase spurious precision at the cost of interpretability.</w:t>
      </w:r>
    </w:p>
    <w:p>
      <w:pPr>
        <w:pStyle w:val="BodyText"/>
        <w:spacing w:line="480" w:lineRule="auto"/>
        <w:ind w:firstLine="720"/>
      </w:pPr>
      <w:r>
        <w:t xml:space="preserve">Why HC1 rather than classical standard errors? The corpus mixes venues with very different citation and length norms, so the assumption of homoskedastic errors is implausible on its face. The HC1 adjustment is the conservative default when heteroskedasticity is suspected but its exact form is unknown. It widens the standard errors relative to the classical formula, which biases the analysis against finding significance, exactly the direction of caution a design-stage screen should prefer.</w:t>
      </w:r>
    </w:p>
    <w:bookmarkEnd w:id="95"/>
    <w:bookmarkStart w:id="96" w:name="what-the-signal-model-identifies"/>
    <w:p>
      <w:pPr>
        <w:pStyle w:val="Heading2"/>
        <w:spacing w:line="480" w:lineRule="auto"/>
      </w:pPr>
      <w:r>
        <w:t xml:space="preserve">What the signal model identifies</w:t>
      </w:r>
    </w:p>
    <w:p>
      <w:pPr>
        <w:pStyle w:val="FirstParagraph"/>
        <w:spacing w:line="480" w:lineRule="auto"/>
      </w:pPr>
      <w:r>
        <w:t xml:space="preserve">Altitude matters here. Identification claims must be stated at the right altitude. This model does not identify a causal effect of recency, citations, or venue on the underlying strategic importance of a topic. It identifies conditional associations in the retrieved corpus: whether, holding the other two predictors fixed, a source’s topic-signal score moves systematically with each predictor. That is a descriptive-structural claim about how the topic is distributed across the source corpus, and it is the claim the hypotheses in the previous chapter were written to match.</w:t>
      </w:r>
    </w:p>
    <w:p>
      <w:pPr>
        <w:pStyle w:val="BodyText"/>
        <w:spacing w:line="480" w:lineRule="auto"/>
        <w:ind w:firstLine="720"/>
      </w:pPr>
      <w:r>
        <w:t xml:space="preserve">The coefficient of interest is not any single beta but the joint question of whether the predictors, together, organize the signal. A precise, signed coefficient is evidence of structure along that dimension. An imprecise coefficient, regardless of its sign, is evidence against a stable association and is read that way rather than being narrated into significance. The overall fit statistics, the R-squared and the F-test, speak to whether the predictor set as a whole explains meaningful variation, and the design commits in advance to letting a weak joint fit count against H1.</w:t>
      </w:r>
    </w:p>
    <w:p>
      <w:pPr>
        <w:pStyle w:val="BodyText"/>
        <w:spacing w:line="480" w:lineRule="auto"/>
        <w:ind w:firstLine="720"/>
      </w:pPr>
      <w:r>
        <w:t xml:space="preserve">The threats to this identification are real and worth naming here so the results chapter can refer back to them. Reverse construction is not a concern, since recency and venue are fixed by the source and cannot be caused by the signal score. Omitted variables are a concern: some unmeasured feature of a source, such as its topical breadth, could drive both its citation count and its theme-hit count. The design cannot rule that out with thirty rows and three predictors, which is one reason the interpretation stays descriptive. Selection into the corpus is the deepest concern, and chapter seven treats it at length.</w:t>
      </w:r>
    </w:p>
    <w:bookmarkEnd w:id="96"/>
    <w:bookmarkStart w:id="97" w:name="the-learning-curve-model"/>
    <w:p>
      <w:pPr>
        <w:pStyle w:val="Heading2"/>
        <w:spacing w:line="480" w:lineRule="auto"/>
      </w:pPr>
      <w:r>
        <w:t xml:space="preserve">The learning-curve model</w:t>
      </w:r>
    </w:p>
    <w:p>
      <w:pPr>
        <w:pStyle w:val="FirstParagraph"/>
        <w:spacing w:line="480" w:lineRule="auto"/>
      </w:pPr>
      <w:r>
        <w:t xml:space="preserve">The second model addresses a specific pathology in the first: citation counts are confounded with age, because older work has had more time to be cited. Rather than treat that confound as noise, the second model makes age the object of study. It estimates whether citation accumulation follows a curve as documents age:</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CitesPlus1 is the reported citation count plus one, the plus-one making the logarithm defined for the many uncited records. AgeIndex is 2026 minus the publication year, plus one. Both variables enter in logs, so beta_1 is an elasticity: the percentage change in citations-plus-one associated with a one-percent change in age. The learning-curve framing borrows the log-log form from the economics of experience curves, where a stable elasticity implies a constant proportional relationship, here between age and accumulated attention. The estimator again uses HC1 standard errors.</w:t>
      </w:r>
    </w:p>
    <w:p>
      <w:pPr>
        <w:pStyle w:val="BodyText"/>
        <w:spacing w:line="480" w:lineRule="auto"/>
        <w:ind w:firstLine="720"/>
      </w:pPr>
      <w:r>
        <w:t xml:space="preserve">The learning-curve vocabulary is deliberate. The metaphor earns its keep. In its original setting, a learning curve summarizes how a quantity changes by a fixed proportion each time a driver doubles. Applied to citations and age, the doubling quantity 2^b answers a concrete question: by what factor does citations-plus-one scale when a document’s age index doubles? An elasticity near zero, with a doubling factor near one, means age does not organize attention in this corpus. A positive elasticity would mean older work accumulates citations in a structured, proportional way.</w:t>
      </w:r>
    </w:p>
    <w:bookmarkEnd w:id="97"/>
    <w:bookmarkStart w:id="98" w:name="what-the-learning-curve-model-identifies"/>
    <w:p>
      <w:pPr>
        <w:pStyle w:val="Heading2"/>
        <w:spacing w:line="480" w:lineRule="auto"/>
      </w:pPr>
      <w:r>
        <w:t xml:space="preserve">What the learning-curve model identifies</w:t>
      </w:r>
    </w:p>
    <w:p>
      <w:pPr>
        <w:pStyle w:val="FirstParagraph"/>
        <w:spacing w:line="480" w:lineRule="auto"/>
      </w:pPr>
      <w:r>
        <w:t xml:space="preserve">This model identifies the age gradient of recorded citation attention within the corpus, nothing more. It does not identify why any particular paper is cited, and it does not claim that age causes citation in a mechanistic sense; age is a stand-in for exposure time and for the maturation of the citing literature</w:t>
      </w:r>
      <w:r>
        <w:t xml:space="preserve"> </w:t>
      </w:r>
      <w:hyperlink w:anchor="ref-4">
        <w:r>
          <w:rPr>
            <w:rStyle w:val="Hyperlink"/>
          </w:rPr>
          <w:t xml:space="preserve">[4]</w:t>
        </w:r>
      </w:hyperlink>
      <w:r>
        <w:t xml:space="preserve">. The value of the model is diagnostic. If attention is strongly age-structured, then any cross-sectional use of raw citation counts, including the signal model, is partly measuring age, and the interpretation must be adjusted accordingly. If attention is not age-structured, then the corpus is too young or too flat for age to matter, and raw counts are less confounded than one might fear but also less informative.</w:t>
      </w:r>
    </w:p>
    <w:p>
      <w:pPr>
        <w:pStyle w:val="BodyText"/>
        <w:spacing w:line="480" w:lineRule="auto"/>
        <w:ind w:firstLine="720"/>
      </w:pPr>
      <w:r>
        <w:t xml:space="preserve">The single-predictor design is a choice, not an oversight. Adding covariates to a thirty-row log-log model would strain the degrees of freedom and obscure the one quantity the model exists to estimate. The learning-curve model is meant to isolate the age gradient cleanly so that its result can be read directly against the citation term in the signal model.</w:t>
      </w:r>
    </w:p>
    <w:bookmarkEnd w:id="98"/>
    <w:bookmarkStart w:id="99" w:name="why-two-models-rather-than-one"/>
    <w:p>
      <w:pPr>
        <w:pStyle w:val="Heading2"/>
        <w:spacing w:line="480" w:lineRule="auto"/>
      </w:pPr>
      <w:r>
        <w:t xml:space="preserve">Why two models rather than one</w:t>
      </w:r>
    </w:p>
    <w:p>
      <w:pPr>
        <w:pStyle w:val="FirstParagraph"/>
        <w:spacing w:line="480" w:lineRule="auto"/>
      </w:pPr>
      <w:r>
        <w:t xml:space="preserve">The two estimators are complementary because they interrogate the same corpus from orthogonal directions. The signal model asks a cross-sectional question: at a point in time, is the topic’s footprint structured across sources? The learning-curve model asks a temporal question: does the attention component of that footprint accumulate in an age-structured way? A single combined model would blur these questions together and make it harder to see which part of any structure is cross-sectional and which is temporal.</w:t>
      </w:r>
    </w:p>
    <w:p>
      <w:pPr>
        <w:pStyle w:val="BodyText"/>
        <w:spacing w:line="480" w:lineRule="auto"/>
        <w:ind w:firstLine="720"/>
      </w:pPr>
      <w:r>
        <w:t xml:space="preserve">There is also a robustness logic to running both. If the topic had a strong, genuine footprint, one would expect to see it register in at least one of the two models, and ideally in a way the two tell a consistent story about. Convergent weakness across both models is more informative than weakness in either alone, because it is harder to attribute to the idiosyncrasy of a single specification. The design therefore treats the pair of estimators as a small triangulation rather than as two independent tests, and it reads their joint pattern in the results and discussion chapters accordingly</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99"/>
    <w:bookmarkStart w:id="100" w:name="X9b8c5f9b189975acf3f102d59962be7442dcfae"/>
    <w:p>
      <w:pPr>
        <w:pStyle w:val="Heading2"/>
        <w:spacing w:line="480" w:lineRule="auto"/>
      </w:pPr>
      <w:r>
        <w:t xml:space="preserve">Reproducibility as a methodological commitment</w:t>
      </w:r>
    </w:p>
    <w:p>
      <w:pPr>
        <w:pStyle w:val="FirstParagraph"/>
        <w:spacing w:line="480" w:lineRule="auto"/>
      </w:pPr>
      <w:r>
        <w:t xml:space="preserve">A final methodological point is not about statistics but about provenance. Both models run on deterministic feature rows, each of which preserves a source column tracing back to the exact document it was built from. Nothing in the pipeline is stochastic. Re-running the estimators on the same source corpus returns the same coefficients, standard errors, and p-values to the last digit. That property is what allows the results chapter to report the numbers exactly and to invite the reader to reproduce them. It also disciplines the analyst, because there is no room to quietly re-specify until a preferred result appears; the specification is fixed in the configuration files before the estimator runs, and the output is whatever the data yield</w:t>
      </w:r>
      <w:r>
        <w:t xml:space="preserve"> </w:t>
      </w:r>
      <w:hyperlink w:anchor="ref-2">
        <w:r>
          <w:rPr>
            <w:rStyle w:val="Hyperlink"/>
          </w:rPr>
          <w:t xml:space="preserve">[2]</w:t>
        </w:r>
      </w:hyperlink>
      <w:r>
        <w:t xml:space="preserve"> </w:t>
      </w:r>
      <w:hyperlink w:anchor="ref-5">
        <w:r>
          <w:rPr>
            <w:rStyle w:val="Hyperlink"/>
          </w:rPr>
          <w:t xml:space="preserve">[5]</w:t>
        </w:r>
      </w:hyperlink>
      <w:r>
        <w:t xml:space="preserve">. Determinism does not make the design correct, but it makes the design checkable, and for a screen of this kind checkability is the relevant virtue</w:t>
      </w:r>
      <w:r>
        <w:t xml:space="preserve"> </w:t>
      </w:r>
      <w:hyperlink w:anchor="ref-8">
        <w:r>
          <w:rPr>
            <w:rStyle w:val="Hyperlink"/>
          </w:rPr>
          <w:t xml:space="preserve">[8]</w:t>
        </w:r>
      </w:hyperlink>
      <w:r>
        <w:t xml:space="preserve">.</w:t>
      </w:r>
    </w:p>
    <w:bookmarkEnd w:id="100"/>
    <w:bookmarkStart w:id="101" w:name="Xd14b3a90fce373447f41fc17b973a176ee62538"/>
    <w:p>
      <w:pPr>
        <w:pStyle w:val="Heading2"/>
        <w:spacing w:line="480" w:lineRule="auto"/>
      </w:pPr>
      <w:r>
        <w:t xml:space="preserve">Interpreting coefficients as conditional associations</w:t>
      </w:r>
    </w:p>
    <w:p>
      <w:pPr>
        <w:pStyle w:val="FirstParagraph"/>
        <w:spacing w:line="480" w:lineRule="auto"/>
      </w:pPr>
      <w:r>
        <w:t xml:space="preserve">A recurring risk in applied work is that a coefficient acquires more meaning in the prose than the estimator can support, and this section fixes the interpretive rules in advance so the results chapter has no room to drift. In the signal model, each slope coefficient answers a single conditional question: holding the other two predictors fixed, how does the expected topic-signal score change when this predictor rises by one unit? The recency coefficient is the expected change in signal score per one-step increase in the recency index. The citation coefficient is the expected change per additional recorded citation. The venue coefficient is the expected change per one-step move up the ordinal venue ladder. None of these is an effect in the causal sense, because nothing in the design randomizes or otherwise isolates exogenous variation in the predictors.</w:t>
      </w:r>
    </w:p>
    <w:p>
      <w:pPr>
        <w:pStyle w:val="BodyText"/>
        <w:spacing w:line="480" w:lineRule="auto"/>
        <w:ind w:firstLine="720"/>
      </w:pPr>
      <w:r>
        <w:t xml:space="preserve">The precision of each coefficient, summarized by its standard error and p-value, governs how much can be said about it. The rule adopted here is deliberately conservative. A coefficient whose p-value clears a conventional threshold is treated as evidence of a conditional association within the corpus. A coefficient whose p-value does not clear that threshold is treated as evidence against a stable association, regardless of how substantively interesting its sign might be. This rule matters most for coefficients that point in the theorized direction but lack precision, because those are the ones most tempting to over-read. The design commits to reporting such a coefficient as a weak lead, never as a finding, and the results chapter honors that commitment.</w:t>
      </w:r>
    </w:p>
    <w:bookmarkEnd w:id="101"/>
    <w:bookmarkStart w:id="102" w:name="the-role-of-the-fit-statistics"/>
    <w:p>
      <w:pPr>
        <w:pStyle w:val="Heading2"/>
        <w:spacing w:line="480" w:lineRule="auto"/>
      </w:pPr>
      <w:r>
        <w:t xml:space="preserve">The role of the fit statistics</w:t>
      </w:r>
    </w:p>
    <w:p>
      <w:pPr>
        <w:pStyle w:val="FirstParagraph"/>
        <w:spacing w:line="480" w:lineRule="auto"/>
      </w:pPr>
      <w:r>
        <w:t xml:space="preserve">Beyond the individual coefficients, the model’s overall fit statistics carry independent interpretive weight, and they are given a defined role here as well. The R-squared measures the fraction of variation in the signal score that the three predictors jointly explain. The adjusted R-squared penalizes that figure for the number of predictors, and it can go negative, which happens precisely when the predictors explain less than their degrees-of-freedom cost. A negative adjusted R-squared is not a computational error; it is a substantive signal that the predictor set is not earning its place. The F-test asks whether all slope coefficients are jointly zero, and its p-value is the single most important number for the first hypothesis, because H1 is fundamentally a claim that the predictors, together, organize the signal. A large F p-value is direct evidence for H0, and the design reads it that way without hedging.</w:t>
      </w:r>
    </w:p>
    <w:bookmarkEnd w:id="102"/>
    <w:bookmarkStart w:id="103" w:name="elasticity-and-the-doubling-factor"/>
    <w:p>
      <w:pPr>
        <w:pStyle w:val="Heading2"/>
        <w:spacing w:line="480" w:lineRule="auto"/>
      </w:pPr>
      <w:r>
        <w:t xml:space="preserve">Elasticity and the doubling factor</w:t>
      </w:r>
    </w:p>
    <w:p>
      <w:pPr>
        <w:pStyle w:val="FirstParagraph"/>
        <w:spacing w:line="480" w:lineRule="auto"/>
      </w:pPr>
      <w:r>
        <w:t xml:space="preserve">The learning-curve model deserves a parallel statement of interpretive rules. Because both variables enter in logarithms, the slope is a constant elasticity: the percentage change in citations-plus-one associated with a one-percent change in age. An elasticity of zero means age and citation accumulation are proportionally unrelated. A positive elasticity means older documents carry proportionally more citations, consistent with attention accumulating over exposure time. The doubling factor, two raised to the elasticity, translates the abstract elasticity into a concrete statement about what happens when a document’s age index doubles, which is the kind of claim a reader can hold in mind. A doubling factor near one means doubling a document’s age barely changes its citation count, which is the signature of a corpus where attention is not age-structured. The model’s R-squared plays the same role as in the signal model, measuring how much of the variation in log citations the age term explains, and a near-zero R-squared is read as direct evidence for the attention null.</w:t>
      </w:r>
    </w:p>
    <w:bookmarkEnd w:id="103"/>
    <w:bookmarkStart w:id="104" w:name="alternatives-considered-and-rejected"/>
    <w:p>
      <w:pPr>
        <w:pStyle w:val="Heading2"/>
        <w:spacing w:line="480" w:lineRule="auto"/>
      </w:pPr>
      <w:r>
        <w:t xml:space="preserve">Alternatives considered and rejected</w:t>
      </w:r>
    </w:p>
    <w:p>
      <w:pPr>
        <w:pStyle w:val="FirstParagraph"/>
        <w:spacing w:line="480" w:lineRule="auto"/>
      </w:pPr>
      <w:r>
        <w:t xml:space="preserve">Honesty requires naming the roads not taken. Several were considered. A count model such as negative binomial regression could have been used for the citation outcome, and a zero-inflated variant might seem natural given how many records carry zero citations. Both were rejected for the same reason: with thirty rows and a citation distribution dominated by zeros and punctuated by two large values, these models would fit unstable parameters that a reader could not easily audit, trading transparency for a false sense of sophistication. The log-log learning-curve form, with the plus-one adjustment, keeps the analysis inside a framework any reader can reconstruct while still respecting the age confound the count models were meant to address.</w:t>
      </w:r>
    </w:p>
    <w:p>
      <w:pPr>
        <w:pStyle w:val="BodyText"/>
        <w:spacing w:line="480" w:lineRule="auto"/>
        <w:ind w:firstLine="720"/>
      </w:pPr>
      <w:r>
        <w:t xml:space="preserve">A second rejected alternative is a combined model that would enter age, recency, citation, and venue together. That specification was set aside because it would confound the two questions the design deliberately separates, the cross-sectional structure of the signal and the temporal structure of attention, and because it would strain the degrees of freedom past the point of interpretability. A third alternative, some form of regularization to stabilize estimates in the small sample, was rejected because regularization would introduce tuning choices that undercut the deterministic, re-runnable character of the pipeline. In each case the choice favored a specification a reviewer can check by hand over one that might squeeze marginally more from the data at the cost of the inspectability the whole project is built to preserve</w:t>
      </w:r>
      <w:r>
        <w:t xml:space="preserve"> </w:t>
      </w:r>
      <w:hyperlink w:anchor="ref-1">
        <w:r>
          <w:rPr>
            <w:rStyle w:val="Hyperlink"/>
          </w:rPr>
          <w:t xml:space="preserve">[1]</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04"/>
    <w:bookmarkStart w:id="105" w:name="X0dd4f751d64af5e23f0d49732b63579336da357"/>
    <w:p>
      <w:pPr>
        <w:pStyle w:val="Heading2"/>
        <w:spacing w:line="480" w:lineRule="auto"/>
      </w:pPr>
      <w:r>
        <w:t xml:space="preserve">Identification threats stated for the record</w:t>
      </w:r>
    </w:p>
    <w:p>
      <w:pPr>
        <w:pStyle w:val="FirstParagraph"/>
        <w:spacing w:line="480" w:lineRule="auto"/>
      </w:pPr>
      <w:r>
        <w:t xml:space="preserve">Identification in this design is descriptive-structural rather than causal, and the threats to it should be catalogued precisely so the results and discussion chapters can refer back to a fixed list. The first threat is omitted-variable structure. Some unmeasured property of a source, such as its topical breadth or its author community, could jointly drive both its citation count and its theme-hit count, inducing an association that the model would attribute to the citation predictor. With thirty rows and three predictors, the design cannot partial such a factor out, which is one reason the citation coefficient, whatever it turns out to be, is read as association rather than effect.</w:t>
      </w:r>
    </w:p>
    <w:p>
      <w:pPr>
        <w:pStyle w:val="BodyText"/>
        <w:spacing w:line="480" w:lineRule="auto"/>
        <w:ind w:firstLine="720"/>
      </w:pPr>
      <w:r>
        <w:t xml:space="preserve">The second threat is measurement error in the outcome that is correlated with a predictor. If technical sources both use less security vocabulary and cluster in a particular venue family, then measurement error in the signal score is correlated with the venue predictor, and the venue coefficient absorbs that correlation. This is not classical, mean-zero measurement error; it is systematic, and it biases the venue term in a direction the model cannot self-diagnose. The design handles this by refusing to interpret the venue coefficient literally and by flagging the vocabulary-versus-function gap as a first-order interpretive issue rather than a footnote.</w:t>
      </w:r>
    </w:p>
    <w:p>
      <w:pPr>
        <w:pStyle w:val="BodyText"/>
        <w:spacing w:line="480" w:lineRule="auto"/>
        <w:ind w:firstLine="720"/>
      </w:pPr>
      <w:r>
        <w:t xml:space="preserve">The third threat is the corpus-selection problem, which sits upstream of the estimator entirely. Because the source corpus is fixed before estimation, the analyst cannot tune it to the results, which rules out one form of selection bias. It does not rule out that the retrieval rule itself favored certain sources, and that favoring would shape every coefficient. No within-sample technique can detect this; only a differently assembled corpus could. The methodology chapter names the threat here and hands it to the discussion chapter, which treats corpus selection as the most serious limitation the design faces. Cataloguing these three threats in advance is what lets the later chapters read each coefficient at the correct altitude, neither dismissing a precise estimate nor inflating an imprecise one</w:t>
      </w:r>
      <w:r>
        <w:t xml:space="preserve"> </w:t>
      </w:r>
      <w:hyperlink w:anchor="ref-2">
        <w:r>
          <w:rPr>
            <w:rStyle w:val="Hyperlink"/>
          </w:rPr>
          <w:t xml:space="preserve">[2]</w:t>
        </w:r>
      </w:hyperlink>
      <w:r>
        <w:t xml:space="preserve"> </w:t>
      </w:r>
      <w:hyperlink w:anchor="ref-8">
        <w:r>
          <w:rPr>
            <w:rStyle w:val="Hyperlink"/>
          </w:rPr>
          <w:t xml:space="preserve">[8]</w:t>
        </w:r>
      </w:hyperlink>
      <w:r>
        <w:t xml:space="preserve">.</w:t>
      </w:r>
    </w:p>
    <w:bookmarkEnd w:id="105"/>
    <w:bookmarkEnd w:id="106"/>
    <w:bookmarkStart w:id="119" w:name="data-and-measurement"/>
    <w:p>
      <w:pPr>
        <w:pStyle w:val="Heading1"/>
        <w:spacing w:line="480" w:lineRule="auto"/>
      </w:pPr>
      <w:r>
        <w:t xml:space="preserve">Data and Measurement</w:t>
      </w:r>
    </w:p>
    <w:p>
      <w:pPr>
        <w:pStyle w:val="FirstParagraph"/>
        <w:spacing w:line="480" w:lineRule="auto"/>
      </w:pPr>
      <w:r>
        <w:t xml:space="preserve">The credibility of a metadata screen stands or falls on the transparency of its data. Provenance is everything. If a reader cannot see where each number came from, the estimator output is theater. This chapter documents the dataset completely: its source, its size, the construction of every variable, and the coding decisions that turned a pile of retrieved documents into thirty analyzable rows. The guiding principle is that any claim in the results chapter should be traceable to a source column, a variable definition, and a construction rule stated here.</w:t>
      </w:r>
    </w:p>
    <w:bookmarkStart w:id="107" w:name="the-source-corpus"/>
    <w:p>
      <w:pPr>
        <w:pStyle w:val="Heading2"/>
        <w:spacing w:line="480" w:lineRule="auto"/>
      </w:pPr>
      <w:r>
        <w:t xml:space="preserve">The source corpus</w:t>
      </w:r>
    </w:p>
    <w:p>
      <w:pPr>
        <w:pStyle w:val="FirstParagraph"/>
        <w:spacing w:line="480" w:lineRule="auto"/>
      </w:pPr>
      <w:r>
        <w:t xml:space="preserve">The data are a candidate-specific source corpus: a fixed set of retrieved records assembled to represent the literature surrounding dual-use space assets, entanglement, and inadvertent escalation. The pack spans three venue families. The first is conference proceedings, drawn from the Advanced Maui Optical and Space Surveillance technologies community, which supplies technical and operational work on sensing, detection, autonomy, and information sharing</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 The second is archival journal literature, principally from Acta Astronautica, which supplies peer-reviewed work on robotics, lasers, governance of autonomous systems, and hybrid-threat strategy</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The third is space-economy grey literature, a small set of policy-oriented working papers and abstracts that connect the space sector to integrated deterrence and sustainability.</w:t>
      </w:r>
    </w:p>
    <w:p>
      <w:pPr>
        <w:pStyle w:val="BodyText"/>
        <w:spacing w:line="480" w:lineRule="auto"/>
        <w:ind w:firstLine="720"/>
      </w:pPr>
      <w:r>
        <w:t xml:space="preserve">Fixing the pack before analysis is a deliberate guard against motivated retrieval. The set of documents is settled first; the variables and estimators are applied second. That ordering does not make the pack representative of all space-security scholarship, and the sampling limitations are treated squarely in chapter seven. What it does guarantee is that the analyst cannot expand or prune the corpus in response to interim results, which is the failure mode a design-stage screen most needs to avoid.</w:t>
      </w:r>
    </w:p>
    <w:bookmarkEnd w:id="107"/>
    <w:bookmarkStart w:id="108" w:name="sample-size-and-unit-of-analysis"/>
    <w:p>
      <w:pPr>
        <w:pStyle w:val="Heading2"/>
        <w:spacing w:line="480" w:lineRule="auto"/>
      </w:pPr>
      <w:r>
        <w:t xml:space="preserve">Sample size and unit of analysis</w:t>
      </w:r>
    </w:p>
    <w:p>
      <w:pPr>
        <w:pStyle w:val="FirstParagraph"/>
        <w:spacing w:line="480" w:lineRule="auto"/>
      </w:pPr>
      <w:r>
        <w:t xml:space="preserve">The estimation file contains thirty source records. The unit of analysis is the source, not the escalation event, the mission, or the state. Each row is one retrieved document, and every variable is a property of that document or of the local index entry describing it. Thirty is a small sample, and the chapter does not pretend otherwise; it is large enough to fit a three-predictor linear model and a single-predictor log-log model with degrees of freedom to spare, and small enough that a reader could audit every row individually. That auditability is part of the point. The dataset is meant to be read, not merely processed.</w:t>
      </w:r>
    </w:p>
    <w:bookmarkEnd w:id="108"/>
    <w:bookmarkStart w:id="109" w:name="X867d32f50edad61433e46d902c09434addd1398"/>
    <w:p>
      <w:pPr>
        <w:pStyle w:val="Heading2"/>
        <w:spacing w:line="480" w:lineRule="auto"/>
      </w:pPr>
      <w:r>
        <w:t xml:space="preserve">Constructing the outcome: the topic-signal score</w:t>
      </w:r>
    </w:p>
    <w:p>
      <w:pPr>
        <w:pStyle w:val="FirstParagraph"/>
        <w:spacing w:line="480" w:lineRule="auto"/>
      </w:pPr>
      <w:r>
        <w:t xml:space="preserve">The dependent variable in the first model, the topic-signal score, is a deterministic composite. For each source, the construction counts candidate-theme term hits across four metadata fields: the title, the snippet, the keyword field, and the author metadata. The theme-hit count feeds a composite score that also reflects the density of theme terms relative to the available text. Because the rule is fixed and mechanical, the same document always yields the same score. There is no human judgment inside the loop and therefore no coder-reliability problem to adjudicate.</w:t>
      </w:r>
    </w:p>
    <w:p>
      <w:pPr>
        <w:pStyle w:val="BodyText"/>
        <w:spacing w:line="480" w:lineRule="auto"/>
        <w:ind w:firstLine="720"/>
      </w:pPr>
      <w:r>
        <w:t xml:space="preserve">The scores in the pack range from a floor of one, for sources that touch the topic only glancingly, up to eight and nine for sources densely saturated with dual-use, deterrence, escalation, and governance language. A journal article on European defense strategy against hybrid threats scores at the high end, at nine, consistent with its explicit engagement with the security framing</w:t>
      </w:r>
      <w:r>
        <w:t xml:space="preserve"> </w:t>
      </w:r>
      <w:hyperlink w:anchor="ref-10">
        <w:r>
          <w:rPr>
            <w:rStyle w:val="Hyperlink"/>
          </w:rPr>
          <w:t xml:space="preserve">[10]</w:t>
        </w:r>
      </w:hyperlink>
      <w:r>
        <w:t xml:space="preserve">. A governance paper on cyber operations in outer space also scores nine, reflecting dense theme-term coverage</w:t>
      </w:r>
      <w:r>
        <w:t xml:space="preserve"> </w:t>
      </w:r>
      <w:hyperlink w:anchor="ref-15">
        <w:r>
          <w:rPr>
            <w:rStyle w:val="Hyperlink"/>
          </w:rPr>
          <w:t xml:space="preserve">[15]</w:t>
        </w:r>
      </w:hyperlink>
      <w:r>
        <w:t xml:space="preserve">. Purely technical sources, such as a study of formation-flying change detection or of event-camera object detection, score at the floor of one, because their metadata rarely uses the topic’s security vocabulary even when the underlying capability is dual-use</w:t>
      </w:r>
      <w:r>
        <w:t xml:space="preserve"> </w:t>
      </w:r>
      <w:hyperlink w:anchor="ref-5">
        <w:r>
          <w:rPr>
            <w:rStyle w:val="Hyperlink"/>
          </w:rPr>
          <w:t xml:space="preserve">[5]</w:t>
        </w:r>
      </w:hyperlink>
      <w:r>
        <w:t xml:space="preserve">. That gap between capability and vocabulary is itself a measurement lesson, and chapter seven returns to it.</w:t>
      </w:r>
    </w:p>
    <w:bookmarkEnd w:id="109"/>
    <w:bookmarkStart w:id="110" w:name="constructing-the-predictors"/>
    <w:p>
      <w:pPr>
        <w:pStyle w:val="Heading2"/>
        <w:spacing w:line="480" w:lineRule="auto"/>
      </w:pPr>
      <w:r>
        <w:t xml:space="preserve">Constructing the predictors</w:t>
      </w:r>
    </w:p>
    <w:p>
      <w:pPr>
        <w:pStyle w:val="FirstParagraph"/>
        <w:spacing w:line="480" w:lineRule="auto"/>
      </w:pPr>
      <w:r>
        <w:t xml:space="preserve">Three predictors enter the signal model, each with a stated construction rule.</w:t>
      </w:r>
    </w:p>
    <w:p>
      <w:pPr>
        <w:pStyle w:val="BodyText"/>
        <w:spacing w:line="480" w:lineRule="auto"/>
        <w:ind w:firstLine="720"/>
      </w:pPr>
      <w:r>
        <w:t xml:space="preserve">Recency index is publication year minus the minimum publication year in the sample, plus one. The oldest source in the pack dates to 2016 and receives a recency index of one; the newest, dated 2026, receives an index of eleven. The plus-one keeps the index positive and gives the oldest source a nonzero value. Recency is fixed by the document and cannot be influenced by any other variable, which is what makes it a clean right-hand-side term.</w:t>
      </w:r>
    </w:p>
    <w:p>
      <w:pPr>
        <w:pStyle w:val="BodyText"/>
        <w:spacing w:line="480" w:lineRule="auto"/>
        <w:ind w:firstLine="720"/>
      </w:pPr>
      <w:r>
        <w:t xml:space="preserve">Citation count is parsed directly from the local brain index and is zero when the index reported no count. This variable is sparse. Of the thirty records, the large majority carry zero recorded citations, a handful carry one or two, and two carry substantially more, at sixteen and thirty. The sparsity is not an error; it reflects that most of the pack is recent or conference-based work whose citing literature has not matured. The lone high-citation record, a 2021 journal article on dual-arm space-robot grasping with thirty recorded citations, is old enough and archival enough to have accumulated attention</w:t>
      </w:r>
      <w:r>
        <w:t xml:space="preserve"> </w:t>
      </w:r>
      <w:hyperlink w:anchor="ref-12">
        <w:r>
          <w:rPr>
            <w:rStyle w:val="Hyperlink"/>
          </w:rPr>
          <w:t xml:space="preserve">[12]</w:t>
        </w:r>
      </w:hyperlink>
      <w:r>
        <w:t xml:space="preserve">. This distribution is precisely why the second model treats age explicitly rather than trusting raw counts.</w:t>
      </w:r>
    </w:p>
    <w:p>
      <w:pPr>
        <w:pStyle w:val="BodyText"/>
        <w:spacing w:line="480" w:lineRule="auto"/>
        <w:ind w:firstLine="720"/>
      </w:pPr>
      <w:r>
        <w:t xml:space="preserve">Venue score is an ordinal code: conference proceedings are one, Acta Astronautica journal articles are two, and space-economy grey literature is three. The ordinality is a convenience, not a claim that grey literature is three times a conference paper. It lets the model test whether venue family organizes the signal without imposing a cardinal scale the venues do not warrant. Chapter four’s caution about reading the venue coefficient too literally follows directly from this coding choice</w:t>
      </w:r>
      <w:r>
        <w:t xml:space="preserve"> </w:t>
      </w:r>
      <w:hyperlink w:anchor="ref-6">
        <w:r>
          <w:rPr>
            <w:rStyle w:val="Hyperlink"/>
          </w:rPr>
          <w:t xml:space="preserve">[6]</w:t>
        </w:r>
      </w:hyperlink>
      <w:r>
        <w:t xml:space="preserve">.</w:t>
      </w:r>
    </w:p>
    <w:bookmarkEnd w:id="110"/>
    <w:bookmarkStart w:id="111" w:name="X70395a5bc897fb58fa37a96afba5b012c961c60"/>
    <w:p>
      <w:pPr>
        <w:pStyle w:val="Heading2"/>
        <w:spacing w:line="480" w:lineRule="auto"/>
      </w:pPr>
      <w:r>
        <w:t xml:space="preserve">Constructing the learning-curve variables</w:t>
      </w:r>
    </w:p>
    <w:p>
      <w:pPr>
        <w:pStyle w:val="FirstParagraph"/>
        <w:spacing w:line="480" w:lineRule="auto"/>
      </w:pPr>
      <w:r>
        <w:t xml:space="preserve">The second model uses two derived variables. Citations-plus-one is the reported citation count plus one, the increment making the logarithm defined for the uncited majority; without it, more than twenty rows would drop out of a log model. Age index is 2026 minus the publication year, plus one, so a 2026 source has age one and a 2016 source has age eleven. Age index is the mirror image of recency: where recency counts up from the oldest source, age counts down from the analysis year. Both encode the same temporal information in the direction each model needs.</w:t>
      </w:r>
    </w:p>
    <w:bookmarkEnd w:id="111"/>
    <w:bookmarkStart w:id="112" w:name="provenance-and-auditability"/>
    <w:p>
      <w:pPr>
        <w:pStyle w:val="Heading2"/>
        <w:spacing w:line="480" w:lineRule="auto"/>
      </w:pPr>
      <w:r>
        <w:t xml:space="preserve">Provenance and auditability</w:t>
      </w:r>
    </w:p>
    <w:p>
      <w:pPr>
        <w:pStyle w:val="FirstParagraph"/>
        <w:spacing w:line="480" w:lineRule="auto"/>
      </w:pPr>
      <w:r>
        <w:t xml:space="preserve">Every row in both datasets preserves a source column. For journal articles the column holds the digital object identifier; for conference papers it holds the proceedings URL; for grey-literature items it holds a descriptive source string. This means a reader who questions any single observation can follow the source column to the exact document and re-derive its variables by hand. The chain runs from dissertation claim, to results table, to data row, to source column, to original document, and it runs in both directions. That is the concrete meaning of the reproducibility commitment stated in the methodology chapter.</w:t>
      </w:r>
    </w:p>
    <w:p>
      <w:pPr>
        <w:pStyle w:val="BodyText"/>
        <w:spacing w:line="480" w:lineRule="auto"/>
        <w:ind w:firstLine="720"/>
      </w:pPr>
      <w:r>
        <w:t xml:space="preserve">Two data facts constrain the analysis and deserve to be flagged before the results are read. The citation counts are local index measures rather than universal citation totals, so they understate true attention for any work cited outside the indexed corpus</w:t>
      </w:r>
      <w:r>
        <w:t xml:space="preserve"> </w:t>
      </w:r>
      <w:hyperlink w:anchor="ref-4">
        <w:r>
          <w:rPr>
            <w:rStyle w:val="Hyperlink"/>
          </w:rPr>
          <w:t xml:space="preserve">[4]</w:t>
        </w:r>
      </w:hyperlink>
      <w:r>
        <w:t xml:space="preserve">. And the theme-hit measure depends on metadata text, so a source whose security relevance lives in its body rather than its title or keywords will be undercounted</w:t>
      </w:r>
      <w:r>
        <w:t xml:space="preserve"> </w:t>
      </w:r>
      <w:hyperlink w:anchor="ref-7">
        <w:r>
          <w:rPr>
            <w:rStyle w:val="Hyperlink"/>
          </w:rPr>
          <w:t xml:space="preserve">[7]</w:t>
        </w:r>
      </w:hyperlink>
      <w:r>
        <w:t xml:space="preserve">. Neither fact invalidates the screen. Both shape how much weight the results can bear, and both are carried forward explicitly into the interpretation and limitations chapters so that no coefficient is asked to mean more than its underlying data can support</w:t>
      </w:r>
      <w:r>
        <w:t xml:space="preserve"> </w:t>
      </w:r>
      <w:hyperlink w:anchor="ref-1">
        <w:r>
          <w:rPr>
            <w:rStyle w:val="Hyperlink"/>
          </w:rPr>
          <w:t xml:space="preserve">[1]</w:t>
        </w:r>
      </w:hyperlink>
      <w:r>
        <w:t xml:space="preserve"> </w:t>
      </w:r>
      <w:hyperlink w:anchor="ref-16">
        <w:r>
          <w:rPr>
            <w:rStyle w:val="Hyperlink"/>
          </w:rPr>
          <w:t xml:space="preserve">[16]</w:t>
        </w:r>
      </w:hyperlink>
      <w:r>
        <w:t xml:space="preserve">.</w:t>
      </w:r>
    </w:p>
    <w:bookmarkEnd w:id="112"/>
    <w:bookmarkStart w:id="113" w:name="Xe6267f138cc0f48dcdca1b10b9c6d2b3b64410c"/>
    <w:p>
      <w:pPr>
        <w:pStyle w:val="Heading2"/>
        <w:spacing w:line="480" w:lineRule="auto"/>
      </w:pPr>
      <w:r>
        <w:t xml:space="preserve">The distribution of the variables in detail</w:t>
      </w:r>
    </w:p>
    <w:p>
      <w:pPr>
        <w:pStyle w:val="FirstParagraph"/>
        <w:spacing w:line="480" w:lineRule="auto"/>
      </w:pPr>
      <w:r>
        <w:t xml:space="preserve">A dataset is easier to trust when its distributions are laid out rather than summarized abstractly, so this section walks through what the thirty rows actually contain. The recency index spans its full theoretical range, from one for the 2016 source to eleven for the 2026 sources, and the pack is weighted toward the recent end: a clear majority of records carry recency indices of nine or higher, reflecting a topic whose open literature has grown mostly in the last few years. That concentration is substantively meaningful and methodologically consequential. It confirms the theoretical expectation that a rising, contested topic generates recent work, and it warns that the recency predictor has less spread at the old end than a balanced sample would provide, which limits how sharply the recency coefficient can be estimated.</w:t>
      </w:r>
    </w:p>
    <w:p>
      <w:pPr>
        <w:pStyle w:val="BodyText"/>
        <w:spacing w:line="480" w:lineRule="auto"/>
        <w:ind w:firstLine="720"/>
      </w:pPr>
      <w:r>
        <w:t xml:space="preserve">The venue distribution is tripartite by construction. Conference proceedings from the surveillance-technologies community make up the venue-score-one group and supply much of the technical and operational material. Acta Astronautica journal articles make up the venue-score-two group and supply the peer-reviewed governance, robotics, and laser work. The space-economy grey literature makes up the small venue-score-three group. The groups are not equal in size, and the grey-literature group in particular is small enough that the venue coefficient rests on relatively few high-venue observations, another reason chapter four cautioned against reading that coefficient literally.</w:t>
      </w:r>
    </w:p>
    <w:p>
      <w:pPr>
        <w:pStyle w:val="BodyText"/>
        <w:spacing w:line="480" w:lineRule="auto"/>
        <w:ind w:firstLine="720"/>
      </w:pPr>
      <w:r>
        <w:t xml:space="preserve">The citation distribution is the most consequential feature of the data. State it starkly. The overwhelming majority of the thirty records carry zero recorded citations in the local index. A small number carry one or two. Exactly one carries sixteen, and exactly one carries thirty, the latter being the 2021 journal article on dual-arm space-robot grasping</w:t>
      </w:r>
      <w:r>
        <w:t xml:space="preserve"> </w:t>
      </w:r>
      <w:hyperlink w:anchor="ref-12">
        <w:r>
          <w:rPr>
            <w:rStyle w:val="Hyperlink"/>
          </w:rPr>
          <w:t xml:space="preserve">[12]</w:t>
        </w:r>
      </w:hyperlink>
      <w:r>
        <w:t xml:space="preserve">. This is a distribution with almost no interior: nearly everything sits at the floor, with two isolated high points. No estimator can extract a stable citation relationship from a distribution shaped like that, and the data chapter flags this now so that the near-null citation results in chapter six read as an expected consequence of the data rather than as a surprise.</w:t>
      </w:r>
    </w:p>
    <w:bookmarkEnd w:id="113"/>
    <w:bookmarkStart w:id="114" w:name="the-topic-signal-score-across-the-pack"/>
    <w:p>
      <w:pPr>
        <w:pStyle w:val="Heading2"/>
        <w:spacing w:line="480" w:lineRule="auto"/>
      </w:pPr>
      <w:r>
        <w:t xml:space="preserve">The topic-signal score across the pack</w:t>
      </w:r>
    </w:p>
    <w:p>
      <w:pPr>
        <w:pStyle w:val="FirstParagraph"/>
        <w:spacing w:line="480" w:lineRule="auto"/>
      </w:pPr>
      <w:r>
        <w:t xml:space="preserve">The outcome deserves a look too. Its spread is telling. Topic-signal scores range from one to nine across the pack. The high scorers are the sources whose metadata is saturated with security and governance vocabulary: the European defense-strategy article and the cyber-operations-governance article both reach nine, and the geostationary debris-and-stability paper reaches eight</w:t>
      </w:r>
      <w:r>
        <w:t xml:space="preserve"> </w:t>
      </w:r>
      <w:hyperlink w:anchor="ref-1">
        <w:r>
          <w:rPr>
            <w:rStyle w:val="Hyperlink"/>
          </w:rPr>
          <w:t xml:space="preserve">[1]</w:t>
        </w:r>
      </w:hyperlink>
      <w:r>
        <w:t xml:space="preserve"> </w:t>
      </w:r>
      <w:hyperlink w:anchor="ref-10">
        <w:r>
          <w:rPr>
            <w:rStyle w:val="Hyperlink"/>
          </w:rPr>
          <w:t xml:space="preserve">[10]</w:t>
        </w:r>
      </w:hyperlink>
      <w:r>
        <w:t xml:space="preserve"> </w:t>
      </w:r>
      <w:hyperlink w:anchor="ref-15">
        <w:r>
          <w:rPr>
            <w:rStyle w:val="Hyperlink"/>
          </w:rPr>
          <w:t xml:space="preserve">[15]</w:t>
        </w:r>
      </w:hyperlink>
      <w:r>
        <w:t xml:space="preserve">. The low scorers, at the floor of one, are the technical papers whose metadata uses engineering rather than security language, even when the underlying capability is squarely dual-use, such as the event-camera object-detection work and the formation-flying change-detection work</w:t>
      </w:r>
      <w:r>
        <w:t xml:space="preserve"> </w:t>
      </w:r>
      <w:hyperlink w:anchor="ref-5">
        <w:r>
          <w:rPr>
            <w:rStyle w:val="Hyperlink"/>
          </w:rPr>
          <w:t xml:space="preserve">[5]</w:t>
        </w:r>
      </w:hyperlink>
      <w:r>
        <w:t xml:space="preserve">. The middle of the range is populated by sources that engage the topic partially, mixing technical and security vocabulary.</w:t>
      </w:r>
    </w:p>
    <w:p>
      <w:pPr>
        <w:pStyle w:val="BodyText"/>
        <w:spacing w:line="480" w:lineRule="auto"/>
        <w:ind w:firstLine="720"/>
      </w:pPr>
      <w:r>
        <w:t xml:space="preserve">This spread is the empirical face of the instrument-coarseness problem. The score faithfully measures security-vocabulary density, and it does so reproducibly, but security-vocabulary density diverges from dual-use strategic relevance exactly at the technical end of the corpus. A robotics paper describing a capture mechanism with obvious coercive potential can score at the floor because its authors, writing for a robotics audience, never use the words the score searches for</w:t>
      </w:r>
      <w:r>
        <w:t xml:space="preserve"> </w:t>
      </w:r>
      <w:hyperlink w:anchor="ref-9">
        <w:r>
          <w:rPr>
            <w:rStyle w:val="Hyperlink"/>
          </w:rPr>
          <w:t xml:space="preserve">[9]</w:t>
        </w:r>
      </w:hyperlink>
      <w:r>
        <w:t xml:space="preserve"> </w:t>
      </w:r>
      <w:hyperlink w:anchor="ref-12">
        <w:r>
          <w:rPr>
            <w:rStyle w:val="Hyperlink"/>
          </w:rPr>
          <w:t xml:space="preserve">[12]</w:t>
        </w:r>
      </w:hyperlink>
      <w:r>
        <w:t xml:space="preserve">. The data chapter records this divergence as a property of the measurement, not as a defect to be hidden, because it is central to interpreting why the models behave as they do.</w:t>
      </w:r>
    </w:p>
    <w:bookmarkEnd w:id="114"/>
    <w:bookmarkStart w:id="115" w:name="X87c028d48aba3118bc44b80d55660f43e8e8840"/>
    <w:p>
      <w:pPr>
        <w:pStyle w:val="Heading2"/>
        <w:spacing w:line="480" w:lineRule="auto"/>
      </w:pPr>
      <w:r>
        <w:t xml:space="preserve">Missingness, coding decisions, and their defense</w:t>
      </w:r>
    </w:p>
    <w:p>
      <w:pPr>
        <w:pStyle w:val="FirstParagraph"/>
        <w:spacing w:line="480" w:lineRule="auto"/>
      </w:pPr>
      <w:r>
        <w:t xml:space="preserve">Some coding decisions shaped the final dataset. Each should be defensible on its face. Sources whose local index reported no citation count were assigned zero rather than dropped, on the reasoning that in a local index a missing count almost always means no indexed citing documents rather than an unknown value; treating it as zero keeps the sample intact and reflects the most likely truth. The plus-one adjustment in the learning-curve model then rescues these zero-citation rows for the logarithm, so that a decision made in the data stage and a decision made in the method stage work together rather than at cross-purposes.</w:t>
      </w:r>
    </w:p>
    <w:p>
      <w:pPr>
        <w:pStyle w:val="BodyText"/>
        <w:spacing w:line="480" w:lineRule="auto"/>
        <w:ind w:firstLine="720"/>
      </w:pPr>
      <w:r>
        <w:t xml:space="preserve">Grey-literature sources that consist only of an abstract or summary, with no available body text, were retained and coded from the available metadata rather than excluded. Excluding them would have narrowed the venue-score-three group to near nothing and removed the economic-deterrence framing from the pack entirely, which would have biased the corpus toward technical and journal sources. Retaining them, while noting that their scores rest on thinner text, preserves the pack’s intended breadth at the cost of some measurement noise. That tradeoff is stated openly so a reader can judge it. Every one of these decisions is visible in the data rows and their source columns, which is the ultimate defense: a reader who disagrees with a coding choice can locate the affected rows and reason about them directly, rather than taking the analyst’s word for how the dataset was built</w:t>
      </w:r>
      <w:r>
        <w:t xml:space="preserve"> </w:t>
      </w:r>
      <w:hyperlink w:anchor="ref-4">
        <w:r>
          <w:rPr>
            <w:rStyle w:val="Hyperlink"/>
          </w:rPr>
          <w:t xml:space="preserve">[4]</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115"/>
    <w:bookmarkStart w:id="116" w:name="correspondence-between-the-two-datasets"/>
    <w:p>
      <w:pPr>
        <w:pStyle w:val="Heading2"/>
        <w:spacing w:line="480" w:lineRule="auto"/>
      </w:pPr>
      <w:r>
        <w:t xml:space="preserve">Correspondence between the two datasets</w:t>
      </w:r>
    </w:p>
    <w:p>
      <w:pPr>
        <w:pStyle w:val="FirstParagraph"/>
        <w:spacing w:line="480" w:lineRule="auto"/>
      </w:pPr>
      <w:r>
        <w:t xml:space="preserve">The two empirical models draw on closely related datasets, and their correspondence is worth documenting so that a reader can see the analysis as a single coherent construction rather than two disconnected exercises. Both datasets contain the same thirty source records, identified by the same document identifiers and the same source columns. The signal dataset carries the recency index, citation count, venue score, and the constructed topic-signal score along with its component theme-hit fields. The learning-curve dataset carries the age index and citations-plus-one, and it also retains the signal score for reference even though the learning-curve model does not use it. Because age index and recency index encode the same publication years in opposite directions, a reader can move between the two datasets and confirm that a given document appears with consistent underlying facts in both.</w:t>
      </w:r>
    </w:p>
    <w:p>
      <w:pPr>
        <w:pStyle w:val="BodyText"/>
        <w:spacing w:line="480" w:lineRule="auto"/>
        <w:ind w:firstLine="720"/>
      </w:pPr>
      <w:r>
        <w:t xml:space="preserve">This shared spine matters for interpretation. When chapter six reports that both models return nulls, the reader can be confident that the two results describe the same corpus seen from two angles, not two different corpora that happen to disagree. The 2021 dual-arm grasping article, for instance, appears in the signal dataset with thirty citations and a mid-range signal score, and in the learning-curve dataset with the same thirty citations, an age index of six, and a citations-plus-one value of thirty-one</w:t>
      </w:r>
      <w:r>
        <w:t xml:space="preserve"> </w:t>
      </w:r>
      <w:hyperlink w:anchor="ref-12">
        <w:r>
          <w:rPr>
            <w:rStyle w:val="Hyperlink"/>
          </w:rPr>
          <w:t xml:space="preserve">[12]</w:t>
        </w:r>
      </w:hyperlink>
      <w:r>
        <w:t xml:space="preserve">. Its behavior in both models can be traced to the same underlying record, which is exactly the auditability the design promises.</w:t>
      </w:r>
    </w:p>
    <w:bookmarkEnd w:id="116"/>
    <w:bookmarkStart w:id="117" w:name="what-the-dataset-is-and-is-not"/>
    <w:p>
      <w:pPr>
        <w:pStyle w:val="Heading2"/>
        <w:spacing w:line="480" w:lineRule="auto"/>
      </w:pPr>
      <w:r>
        <w:t xml:space="preserve">What the dataset is and is not</w:t>
      </w:r>
    </w:p>
    <w:p>
      <w:pPr>
        <w:pStyle w:val="FirstParagraph"/>
        <w:spacing w:line="480" w:lineRule="auto"/>
      </w:pPr>
      <w:r>
        <w:t xml:space="preserve">A closing characterization keeps the dataset’s ambitions honest. It is a small, fixed, fully provenanced sample of open-source records surrounding a security topic, constructed with deterministic rules and preserved so that every value can be traced to its origin. It is not a representative sample of all relevant scholarship, not a window onto classified or operational activity, and not a measure of orbital behavior. Within those boundaries it supports two reproducible models whose output can be checked line by line. Outside them it makes no claim. Stating the dataset’s reach this plainly is the final act of the data chapter, because everything the results chapter reports depends on the reader understanding exactly what was measured, how, and from what, and being able to verify each of those facts against the rows themselves</w:t>
      </w:r>
      <w:r>
        <w:t xml:space="preserve"> </w:t>
      </w:r>
      <w:hyperlink w:anchor="ref-1">
        <w:r>
          <w:rPr>
            <w:rStyle w:val="Hyperlink"/>
          </w:rPr>
          <w:t xml:space="preserve">[1]</w:t>
        </w:r>
      </w:hyperlink>
      <w:r>
        <w:t xml:space="preserve"> </w:t>
      </w:r>
      <w:hyperlink w:anchor="ref-7">
        <w:r>
          <w:rPr>
            <w:rStyle w:val="Hyperlink"/>
          </w:rPr>
          <w:t xml:space="preserve">[7]</w:t>
        </w:r>
      </w:hyperlink>
      <w:r>
        <w:t xml:space="preserve"> </w:t>
      </w:r>
      <w:hyperlink w:anchor="ref-16">
        <w:r>
          <w:rPr>
            <w:rStyle w:val="Hyperlink"/>
          </w:rPr>
          <w:t xml:space="preserve">[16]</w:t>
        </w:r>
      </w:hyperlink>
      <w:r>
        <w:t xml:space="preserve">.</w:t>
      </w:r>
    </w:p>
    <w:bookmarkEnd w:id="117"/>
    <w:bookmarkStart w:id="118" w:name="X289ce2f33e997ccef431a76d5e178c99c7bf769"/>
    <w:p>
      <w:pPr>
        <w:pStyle w:val="Heading2"/>
        <w:spacing w:line="480" w:lineRule="auto"/>
      </w:pPr>
      <w:r>
        <w:t xml:space="preserve">A note on how the data shape the coming results</w:t>
      </w:r>
    </w:p>
    <w:p>
      <w:pPr>
        <w:pStyle w:val="FirstParagraph"/>
        <w:spacing w:line="480" w:lineRule="auto"/>
      </w:pPr>
      <w:r>
        <w:t xml:space="preserve">Before turning to the models, it is worth previewing how the data’s features will express themselves in the output, so the results read as consequences rather than surprises. The heavy concentration of records at recency indices of nine and above means the recency predictor has limited spread at the old end, which will widen its standard error. The near-total floor in the citation distribution means the citation predictor and the entire learning-curve outcome carry almost no variation to explain, which will drive both citation-related results toward zero. And the inverse alignment between security vocabulary and technical substance means the signal score will be highest for abstract policy sources and lowest for concrete technical ones, muddying any clean association with recency, citation, or venue. Each of these is a property of the dataset documented in this chapter, and each will reappear in the next chapter as an explanation for why the estimators behave as they do. Reading the data this carefully now is what lets the results chapter report its nulls as the expected footprint of a specific, well-characterized sample</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118"/>
    <w:bookmarkEnd w:id="119"/>
    <w:bookmarkStart w:id="131" w:name="results"/>
    <w:p>
      <w:pPr>
        <w:pStyle w:val="Heading1"/>
        <w:spacing w:line="480" w:lineRule="auto"/>
      </w:pPr>
      <w:r>
        <w:t xml:space="preserve">Results</w:t>
      </w:r>
    </w:p>
    <w:p>
      <w:pPr>
        <w:pStyle w:val="FirstParagraph"/>
        <w:spacing w:line="480" w:lineRule="auto"/>
      </w:pPr>
      <w:r>
        <w:t xml:space="preserve">This chapter reports the estimator output exactly as the two deterministic workbooks produce it, then interprets the signs and magnitudes without inflating them. The numbers are stated first and interpreted second, so that the reader sees the evidence before the reading of it. Every figure below is reproducible from the source corpus described in chapter five; nothing has been rounded away in a manner that would change its meaning, and nothing has been added that the workbooks did not return.</w:t>
      </w:r>
    </w:p>
    <w:bookmarkStart w:id="120" w:name="paper-1-the-signal-model"/>
    <w:p>
      <w:pPr>
        <w:pStyle w:val="Heading2"/>
        <w:spacing w:line="480" w:lineRule="auto"/>
      </w:pPr>
      <w:r>
        <w:t xml:space="preserve">Paper 1: the signal model</w:t>
      </w:r>
    </w:p>
    <w:p>
      <w:pPr>
        <w:pStyle w:val="FirstParagraph"/>
        <w:spacing w:line="480" w:lineRule="auto"/>
      </w:pPr>
      <w:r>
        <w:t xml:space="preserve">The first model estimates the topic-signal score as a function of recency, citation count, and venue family, using ordinary least squares with HC1 robust standard errors over the thirty source records.</w:t>
      </w:r>
    </w:p>
    <w:p>
      <w:pPr>
        <w:pStyle w:val="BodyText"/>
        <w:spacing w:line="480" w:lineRule="auto"/>
        <w:ind w:firstLine="720"/>
      </w:pPr>
      <w:r>
        <w:t xml:space="preserve">The fit is weak. N equals 30. R-squared equals 0.031864010349406335. Adjusted R-squared equals -0.07984398845643148. The F-statistic equals 0.831876879288355, with an F p-value of 0.4884867637929132.</w:t>
      </w:r>
    </w:p>
    <w:p>
      <w:pPr>
        <w:pStyle w:val="BodyText"/>
        <w:spacing w:line="480" w:lineRule="auto"/>
        <w:ind w:firstLine="720"/>
      </w:pPr>
      <w:r>
        <w:t xml:space="preserve">The term-by-term output is as follows. The constant has a coefficient of 3.3758090169143666, a standard error of 1.4186, and a p-value of 0.01732518076980005. The recency index has a coefficient of 0.09403684275549393, a standard error of 0.1185, and a p-value of 0.42753191033759297. The citation-count term has a coefficient of 0.02581730881601626, a standard error of 0.0536, and a p-value of 0.629783951435058. The venue-score term has a coefficient of -0.4189146624194333, a standard error of 0.4388, and a p-value of 0.3397385415386406.</w:t>
      </w:r>
    </w:p>
    <w:p>
      <w:pPr>
        <w:pStyle w:val="BodyText"/>
        <w:spacing w:line="480" w:lineRule="auto"/>
        <w:ind w:firstLine="720"/>
      </w:pPr>
      <w:r>
        <w:t xml:space="preserve">Read these together before reading them apart. The model explains roughly three percent of the variation in topic-signal scores, and the adjusted R-squared is negative, which means the three predictors jointly explain less than a model with no predictors would after the degrees-of-freedom penalty. The F-test, at a p-value of 0.49, does not reject the null that all three slope coefficients are zero. On the joint evidence, the predictor set does not organize the topic signal in this corpus.</w:t>
      </w:r>
    </w:p>
    <w:p>
      <w:pPr>
        <w:pStyle w:val="BodyText"/>
        <w:spacing w:line="480" w:lineRule="auto"/>
        <w:ind w:firstLine="720"/>
      </w:pPr>
      <w:r>
        <w:t xml:space="preserve">The individual coefficients tell a consistent story. The recency coefficient is positive, at about 0.094, which points in the direction the theory predicted: newer sources carry a somewhat higher topic signal. But its p-value of 0.43 places it far from any conventional threshold, so the positive sign is a hint, not a finding. The citation coefficient is also positive and also small, at about 0.026, with a p-value of 0.63; more-cited sources are, if anything, faintly higher in signal, but the association is imprecise enough to be indistinguishable from zero. The venue coefficient is negative, at about -0.419, suggesting that higher venue-family codes carry a lower topic signal, but with a p-value of 0.34 it too fails to reach significance. Only the constant, at 3.376 with a p-value of 0.017, is precisely estimated, and a significant intercept in a model with no significant slopes simply says that the average signal score is nonzero, which was never in doubt.</w:t>
      </w:r>
    </w:p>
    <w:p>
      <w:pPr>
        <w:pStyle w:val="BodyText"/>
        <w:spacing w:line="480" w:lineRule="auto"/>
        <w:ind w:firstLine="720"/>
      </w:pPr>
      <w:r>
        <w:t xml:space="preserve">The honest reading is that H0 for the signal model is not rejected. The topic-signal score is not systematically related to recency, citation attention, and venue family in a way this corpus can detect. The positive recency and citation signs are consistent with the theorized direction and are worth carrying forward as weak leads, but they cannot bear interpretive weight on their own.</w:t>
      </w:r>
    </w:p>
    <w:bookmarkEnd w:id="120"/>
    <w:bookmarkStart w:id="121" w:name="paper-2-the-learning-curve-model"/>
    <w:p>
      <w:pPr>
        <w:pStyle w:val="Heading2"/>
        <w:spacing w:line="480" w:lineRule="auto"/>
      </w:pPr>
      <w:r>
        <w:t xml:space="preserve">Paper 2: the learning-curve model</w:t>
      </w:r>
    </w:p>
    <w:p>
      <w:pPr>
        <w:pStyle w:val="FirstParagraph"/>
        <w:spacing w:line="480" w:lineRule="auto"/>
      </w:pPr>
      <w:r>
        <w:t xml:space="preserve">The second model estimates log citations-plus-one as a function of log age index, again with HC1 robust standard errors over the same thirty records.</w:t>
      </w:r>
    </w:p>
    <w:p>
      <w:pPr>
        <w:pStyle w:val="BodyText"/>
        <w:spacing w:line="480" w:lineRule="auto"/>
        <w:ind w:firstLine="720"/>
      </w:pPr>
      <w:r>
        <w:t xml:space="preserve">The fit is essentially flat. Age explains nothing. N equals 30. R-squared equals 0.0005015871517498605. The estimated elasticity, beta on log age, equals 0.02541687120304334, and the implied doubling factor, 2 raised to that elasticity, equals 1.017773738493698.</w:t>
      </w:r>
    </w:p>
    <w:p>
      <w:pPr>
        <w:pStyle w:val="BodyText"/>
        <w:spacing w:line="480" w:lineRule="auto"/>
        <w:ind w:firstLine="720"/>
      </w:pPr>
      <w:r>
        <w:t xml:space="preserve">The term output is as follows. The constant has a coefficient of 0.2979084624246928 and a p-value of 0.08538254432310016. The log-age term has a coefficient of 0.02541687120304334 and a p-value of 0.8673991317801459.</w:t>
      </w:r>
    </w:p>
    <w:p>
      <w:pPr>
        <w:pStyle w:val="BodyText"/>
        <w:spacing w:line="480" w:lineRule="auto"/>
        <w:ind w:firstLine="720"/>
      </w:pPr>
      <w:r>
        <w:t xml:space="preserve">The interpretation is direct. Read it plainly. An R-squared of about 0.0005 means age explains essentially none of the variation in citation accumulation across this corpus. The elasticity of 0.025 is positive but tiny, and its p-value of 0.87 is as far from significance as the output in this dissertation gets. The doubling factor of 1.018 makes the magnitude concrete: when a document’s age index doubles, its citations-plus-one scale by a factor of about 1.02, which is to say they barely move. Citation accumulation in this corpus is not organized by article age in any detectable way.</w:t>
      </w:r>
    </w:p>
    <w:p>
      <w:pPr>
        <w:pStyle w:val="BodyText"/>
        <w:spacing w:line="480" w:lineRule="auto"/>
        <w:ind w:firstLine="720"/>
      </w:pPr>
      <w:r>
        <w:t xml:space="preserve">H0 for the learning-curve model is not rejected. The near-zero elasticity and the negligible R-squared together say that within this pack, older documents have not accumulated citations along a measurable age curve. Given the data described in chapter five, where the overwhelming majority of records carry zero recorded citations and only two carry substantial counts, this result is unsurprising. A learning curve cannot form when almost every point sits at the same floor value.</w:t>
      </w:r>
    </w:p>
    <w:bookmarkEnd w:id="121"/>
    <w:bookmarkStart w:id="122" w:name="reading-the-two-models-together"/>
    <w:p>
      <w:pPr>
        <w:pStyle w:val="Heading2"/>
        <w:spacing w:line="480" w:lineRule="auto"/>
      </w:pPr>
      <w:r>
        <w:t xml:space="preserve">Reading the two models together</w:t>
      </w:r>
    </w:p>
    <w:p>
      <w:pPr>
        <w:pStyle w:val="FirstParagraph"/>
        <w:spacing w:line="480" w:lineRule="auto"/>
      </w:pPr>
      <w:r>
        <w:t xml:space="preserve">The two estimators were built to interrogate the corpus from orthogonal directions, and they converge on the same message. Cross-sectionally, the signal model finds no significant structure linking recency, citation attention, or venue to topic-signal intensity. Temporally, the learning-curve model finds no significant age gradient in citation accumulation. Convergent weakness across two independent specifications is harder to dismiss as a quirk of one model than weakness in either alone would be.</w:t>
      </w:r>
    </w:p>
    <w:p>
      <w:pPr>
        <w:pStyle w:val="BodyText"/>
        <w:spacing w:line="480" w:lineRule="auto"/>
        <w:ind w:firstLine="720"/>
      </w:pPr>
      <w:r>
        <w:t xml:space="preserve">The convergence is the result. It is not an accident. It does not say the topic is unimportant; it says the topic’s footprint in this source corpus is not structured in the ways metadata can readily detect. Two features of the data explain most of that outcome. Citation counts are sparse and locally indexed, so the attention channel carries almost no variation to detect</w:t>
      </w:r>
      <w:r>
        <w:t xml:space="preserve"> </w:t>
      </w:r>
      <w:hyperlink w:anchor="ref-4">
        <w:r>
          <w:rPr>
            <w:rStyle w:val="Hyperlink"/>
          </w:rPr>
          <w:t xml:space="preserve">[4]</w:t>
        </w:r>
      </w:hyperlink>
      <w:r>
        <w:t xml:space="preserve"> </w:t>
      </w:r>
      <w:hyperlink w:anchor="ref-8">
        <w:r>
          <w:rPr>
            <w:rStyle w:val="Hyperlink"/>
          </w:rPr>
          <w:t xml:space="preserve">[8]</w:t>
        </w:r>
      </w:hyperlink>
      <w:r>
        <w:t xml:space="preserve">. And the topic-signal score depends on security vocabulary appearing in metadata, so genuinely dual-use technical work whose security relevance lives in its body rather than its title scores at the floor and dilutes any cross-sectional signal</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22"/>
    <w:bookmarkStart w:id="123" w:name="Xe2918715bed6ffa956a5b193ecd6ebb73409d45"/>
    <w:p>
      <w:pPr>
        <w:pStyle w:val="Heading2"/>
        <w:spacing w:line="480" w:lineRule="auto"/>
      </w:pPr>
      <w:r>
        <w:t xml:space="preserve">What the numbers license and what they forbid</w:t>
      </w:r>
    </w:p>
    <w:p>
      <w:pPr>
        <w:pStyle w:val="FirstParagraph"/>
        <w:spacing w:line="480" w:lineRule="auto"/>
      </w:pPr>
      <w:r>
        <w:t xml:space="preserve">The results license a narrow, defensible claim: in this fixed corpus, using these deterministic measures, the topic of dual-use entanglement does not present a metadata footprint that recency, citation, venue, or age can organize. The positive recency and citation signs in the first model are consistent with the theorized direction and may reward a larger or differently measured sample, but neither is statistically distinguishable from zero here.</w:t>
      </w:r>
    </w:p>
    <w:p>
      <w:pPr>
        <w:pStyle w:val="BodyText"/>
        <w:spacing w:line="480" w:lineRule="auto"/>
        <w:ind w:firstLine="720"/>
      </w:pPr>
      <w:r>
        <w:t xml:space="preserve">The results forbid several tempting overreadings. They do not show that dual-use entanglement is a minor strategic problem; the substantive literature argues forcefully that it is not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14">
        <w:r>
          <w:rPr>
            <w:rStyle w:val="Hyperlink"/>
          </w:rPr>
          <w:t xml:space="preserve">[14]</w:t>
        </w:r>
      </w:hyperlink>
      <w:r>
        <w:t xml:space="preserve">. They do not show that citation attention is unrelated to importance in general; they show only that within this small, young, locally indexed pack, the attention channel is too sparse to model. And they do not settle the escalation question the dissertation opened with, because that question lives at the level of orbital behavior, which no metadata screen can reach. The value of the exercise is that it draws these boundaries precisely, reporting exactly what the deterministic workbooks return and refusing to narrate weak, imprecise coefficients into conclusions they cannot support</w:t>
      </w:r>
      <w:r>
        <w:t xml:space="preserve"> </w:t>
      </w:r>
      <w:hyperlink w:anchor="ref-6">
        <w:r>
          <w:rPr>
            <w:rStyle w:val="Hyperlink"/>
          </w:rPr>
          <w:t xml:space="preserve">[6]</w:t>
        </w:r>
      </w:hyperlink>
      <w:r>
        <w:t xml:space="preserve"> </w:t>
      </w:r>
      <w:hyperlink w:anchor="ref-16">
        <w:r>
          <w:rPr>
            <w:rStyle w:val="Hyperlink"/>
          </w:rPr>
          <w:t xml:space="preserve">[16]</w:t>
        </w:r>
      </w:hyperlink>
      <w:r>
        <w:t xml:space="preserve">.</w:t>
      </w:r>
    </w:p>
    <w:bookmarkEnd w:id="123"/>
    <w:bookmarkStart w:id="124" w:name="X3768675ba93615b59ec91991e5d03183e470d39"/>
    <w:p>
      <w:pPr>
        <w:pStyle w:val="Heading2"/>
        <w:spacing w:line="480" w:lineRule="auto"/>
      </w:pPr>
      <w:r>
        <w:t xml:space="preserve">The magnitude of the signal coefficients in context</w:t>
      </w:r>
    </w:p>
    <w:p>
      <w:pPr>
        <w:pStyle w:val="FirstParagraph"/>
        <w:spacing w:line="480" w:lineRule="auto"/>
      </w:pPr>
      <w:r>
        <w:t xml:space="preserve">Reporting p-values is necessary but not sufficient; a reader also deserves a sense of what the coefficients would mean if they were precise, so that the imprecision can be judged against a substantive scale. Take the recency coefficient of about 0.094. The recency index spans ten units, from one to eleven, so across the full observed range this coefficient implies a difference of roughly 0.94 points in the topic-signal score between the oldest and newest sources, holding citations and venue fixed. Against a signal score that ranges from one to nine, a swing of under one point across the entire decade is small. Even if this coefficient were precisely estimated, it would describe a gentle recency gradient rather than a steep one, and its imprecision means the corpus cannot even establish that gentle gradient with confidence.</w:t>
      </w:r>
    </w:p>
    <w:p>
      <w:pPr>
        <w:pStyle w:val="BodyText"/>
        <w:spacing w:line="480" w:lineRule="auto"/>
        <w:ind w:firstLine="720"/>
      </w:pPr>
      <w:r>
        <w:t xml:space="preserve">The citation coefficient of about 0.026 tells a similar story of small magnitude. The two high-citation records, at sixteen and thirty citations, would be predicted to carry roughly 0.41 and 0.77 additional signal points respectively relative to an uncited record, again holding the other predictors fixed. Those are modest predicted differences, and with a p-value of 0.63 they are not distinguishable from zero. The venue coefficient of about -0.419 is the largest in absolute terms, implying that moving from conference proceedings to grey literature, a two-step climb up the ordinal ladder, would lower the predicted signal score by roughly 0.84 points. The negative sign is substantively curious, since one might have expected policy-oriented grey literature to use denser security vocabulary, but at a p-value of 0.34 the sign cannot be trusted, and chapter seven takes up whether the ordinal coding is generating it as an artifact.</w:t>
      </w:r>
    </w:p>
    <w:bookmarkEnd w:id="124"/>
    <w:bookmarkStart w:id="125" w:name="X43809ed8a4a1eb1c84a50beddfb478f8145e061"/>
    <w:p>
      <w:pPr>
        <w:pStyle w:val="Heading2"/>
        <w:spacing w:line="480" w:lineRule="auto"/>
      </w:pPr>
      <w:r>
        <w:t xml:space="preserve">Why the intercept is the only precise term</w:t>
      </w:r>
    </w:p>
    <w:p>
      <w:pPr>
        <w:pStyle w:val="FirstParagraph"/>
        <w:spacing w:line="480" w:lineRule="auto"/>
      </w:pPr>
      <w:r>
        <w:t xml:space="preserve">It is worth dwelling on the one term that is precisely estimated, the constant of about 3.376 with a p-value of 0.017, because a naive reader might mistake its significance for a substantive result. The intercept is the model’s predicted signal score when all three predictors are at zero, which given the construction of the variables is close to the corpus average signal level. Its significance says only that the average source in the pack carries a nonzero topic signal, which was never in dispute and which no version of the hypotheses turned on. A significant intercept sitting above three insignificant slopes is the classic signature of a model that has located the mean of its outcome but found no structure in how that outcome varies. The results chapter names this explicitly so the intercept’s precision is not misread as support for H1.</w:t>
      </w:r>
    </w:p>
    <w:bookmarkEnd w:id="125"/>
    <w:bookmarkStart w:id="126" w:name="X17ac7a7b4ac1e814da2e01237c27576aa6644b9"/>
    <w:p>
      <w:pPr>
        <w:pStyle w:val="Heading2"/>
        <w:spacing w:line="480" w:lineRule="auto"/>
      </w:pPr>
      <w:r>
        <w:t xml:space="preserve">The learning-curve result against the citation data</w:t>
      </w:r>
    </w:p>
    <w:p>
      <w:pPr>
        <w:pStyle w:val="FirstParagraph"/>
        <w:spacing w:line="480" w:lineRule="auto"/>
      </w:pPr>
      <w:r>
        <w:t xml:space="preserve">The learning-curve output becomes intuitive the moment it is read against the citation distribution documented in chapter five. With the overwhelming majority of records at one citation-plus-one and only two records rising above, the log outcome is nearly constant across the sample. A nearly constant outcome cannot be explained by any predictor, which is exactly what an R-squared of about 0.0005 reports. The elasticity of 0.025 is the slope of a line fitted through a cloud of points that barely varies vertically, and its p-value of 0.87 confirms that the line’s tilt is indistinguishable from flat. The doubling factor of 1.018 restates this in concrete terms: doubling a document’s age multiplies its citations-plus-one by about 1.02, a change so small it would be invisible in practice.</w:t>
      </w:r>
    </w:p>
    <w:p>
      <w:pPr>
        <w:pStyle w:val="BodyText"/>
        <w:spacing w:line="480" w:lineRule="auto"/>
        <w:ind w:firstLine="720"/>
      </w:pPr>
      <w:r>
        <w:t xml:space="preserve">One further point bears on the interpretation: the two high-citation records do not rescue the model, and it is instructive to see why. The thirty-citation record is a 2021 article with an age index of six, and the sixteen-citation record is a 2024 article with an age index of three. The older of the two is more cited, which is weakly consistent with an age-attention story, but two points cannot define a curve against twenty-eight points sitting at the floor. The learning-curve model therefore returns a positive but negligible and insignificant elasticity, and the honest reading is that this corpus contains too little citation variation, and too little of it aligned with age, to support any claim about how attention accumulates over time</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126"/>
    <w:bookmarkStart w:id="127" w:name="convergence-and-its-meaning-restated"/>
    <w:p>
      <w:pPr>
        <w:pStyle w:val="Heading2"/>
        <w:spacing w:line="480" w:lineRule="auto"/>
      </w:pPr>
      <w:r>
        <w:t xml:space="preserve">Convergence and its meaning restated</w:t>
      </w:r>
    </w:p>
    <w:p>
      <w:pPr>
        <w:pStyle w:val="FirstParagraph"/>
        <w:spacing w:line="480" w:lineRule="auto"/>
      </w:pPr>
      <w:r>
        <w:t xml:space="preserve">Both models were pre-specified, both were run faithfully on the deterministic feature rows, and both failed to reject their nulls. That convergence is the chapter’s central result, and it is stronger evidence about the corpus than either null alone. The cross-sectional screen found no significant structure among recency, citation, and venue; the temporal screen found no significant age gradient in attention. Two orthogonal specifications, built to probe different aspects of the same source corpus, returned the same verdict. The most parsimonious explanation is that the topic’s footprint in this particular indexed corpus is genuinely unstructured with respect to these deterministic measures, driven largely by sparse local citations and by a signal measure that reads vocabulary rather than function</w:t>
      </w:r>
      <w:r>
        <w:t xml:space="preserve"> </w:t>
      </w:r>
      <w:hyperlink w:anchor="ref-5">
        <w:r>
          <w:rPr>
            <w:rStyle w:val="Hyperlink"/>
          </w:rPr>
          <w:t xml:space="preserve">[5]</w:t>
        </w:r>
      </w:hyperlink>
      <w:r>
        <w:t xml:space="preserve"> </w:t>
      </w:r>
      <w:hyperlink w:anchor="ref-7">
        <w:r>
          <w:rPr>
            <w:rStyle w:val="Hyperlink"/>
          </w:rPr>
          <w:t xml:space="preserve">[7]</w:t>
        </w:r>
      </w:hyperlink>
      <w:r>
        <w:t xml:space="preserve">. The chapters that follow interpret that verdict and specify the design that could do better, but the results themselves are exactly as stated: quiet, reproducible, and reported without embellishment</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27"/>
    <w:bookmarkStart w:id="128" w:name="Xb105a34d1764125c44af6196b3332a9bf3297fe"/>
    <w:p>
      <w:pPr>
        <w:pStyle w:val="Heading2"/>
        <w:spacing w:line="480" w:lineRule="auto"/>
      </w:pPr>
      <w:r>
        <w:t xml:space="preserve">Reconciling the recency sign with the theory</w:t>
      </w:r>
    </w:p>
    <w:p>
      <w:pPr>
        <w:pStyle w:val="FirstParagraph"/>
        <w:spacing w:line="480" w:lineRule="auto"/>
      </w:pPr>
      <w:r>
        <w:t xml:space="preserve">One detail rewards a closer look, because it is the only place where the data and the theory point, however faintly, in the same direction. The theory predicted that recency would raise the topic signal, on the reasoning that a rising, contested topic concentrates in newer work. The signal model’s recency coefficient is positive, at about 0.094, which is the predicted sign. The coefficient is not significant, so this cannot be reported as confirmation, and the chapter does not treat it that way. But the sign is worth recording as a weak lead, because a successor study with more sources and a better outcome measure would know to test the recency channel specifically rather than treating all three predictors as equally unpromising.</w:t>
      </w:r>
    </w:p>
    <w:p>
      <w:pPr>
        <w:pStyle w:val="BodyText"/>
        <w:spacing w:line="480" w:lineRule="auto"/>
        <w:ind w:firstLine="720"/>
      </w:pPr>
      <w:r>
        <w:t xml:space="preserve">The citation coefficient is likewise positive and likewise insignificant, at about 0.026, which is again the theorized direction, more attention associated with more signal, but again too imprecise to trust. The venue coefficient is the one that runs against a naive prior, being negative when one might have guessed that policy-oriented grey literature would carry denser security vocabulary and thus a higher signal. The discussion chapter takes up whether the ordinal venue coding is generating that negative sign as an artifact of imposing an arbitrary spacing on three unequal groups. Within the results chapter, the honest statement is simply that the venue sign is negative, imprecise, and not to be interpreted, while the recency and citation signs are positive, imprecise, and worth remembering as directions for the next design.</w:t>
      </w:r>
    </w:p>
    <w:bookmarkEnd w:id="128"/>
    <w:bookmarkStart w:id="129" w:name="the-results-as-an-input-to-the-pipeline"/>
    <w:p>
      <w:pPr>
        <w:pStyle w:val="Heading2"/>
        <w:spacing w:line="480" w:lineRule="auto"/>
      </w:pPr>
      <w:r>
        <w:t xml:space="preserve">The results as an input to the pipeline</w:t>
      </w:r>
    </w:p>
    <w:p>
      <w:pPr>
        <w:pStyle w:val="FirstParagraph"/>
        <w:spacing w:line="480" w:lineRule="auto"/>
      </w:pPr>
      <w:r>
        <w:t xml:space="preserve">These numbers are not the end of a research program but an input to one, and reading them in that light changes what counts as a good outcome. As a standalone verdict on the topic, the nulls say little that is exciting. As a diagnostic for the pipeline, they say a great deal. They establish that the vocabulary-based signal measure does not discriminate the topic across this corpus, that the local citation counts are too sparse to model, and that the age gradient is flat. Each of those is a concrete instruction for the successor study: replace the vocabulary measure with functional coding, secure a universal citation source or drop the attention channel, and do not expect age alone to organize attention in a young literature. A results chapter that returns those instructions, traceable to exact and reproducible output, has done the job a design-stage empirical chapter is meant to do, which is to tell the next stage precisely where the evidence is and is not</w:t>
      </w:r>
      <w:r>
        <w:t xml:space="preserve"> </w:t>
      </w:r>
      <w:hyperlink w:anchor="ref-4">
        <w:r>
          <w:rPr>
            <w:rStyle w:val="Hyperlink"/>
          </w:rPr>
          <w:t xml:space="preserve">[4]</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129"/>
    <w:bookmarkStart w:id="130" w:name="a-final-statement-of-the-numbers"/>
    <w:p>
      <w:pPr>
        <w:pStyle w:val="Heading2"/>
        <w:spacing w:line="480" w:lineRule="auto"/>
      </w:pPr>
      <w:r>
        <w:t xml:space="preserve">A final statement of the numbers</w:t>
      </w:r>
    </w:p>
    <w:p>
      <w:pPr>
        <w:pStyle w:val="FirstParagraph"/>
        <w:spacing w:line="480" w:lineRule="auto"/>
      </w:pPr>
      <w:r>
        <w:t xml:space="preserve">For completeness, the two models’ headline figures deserve one consolidated restatement, so that a reader consulting this chapter alone leaves with the exact output in hand. The signal model, over thirty records, returned an R-squared of 0.031864010349406335, an adjusted R-squared of -0.07984398845643148, and an F-statistic of 0.831876879288355 at an F p-value of 0.4884867637929132, with the constant at 3.3758090169143666 and slopes of 0.09403684275549393 on recency, 0.02581730881601626 on citations, and -0.4189146624194333 on venue. The learning-curve model, over the same thirty records, returned an R-squared of 0.0005015871517498605, an elasticity of 0.02541687120304334, a doubling factor of 1.017773738493698, a constant of 0.2979084624246928, and a log-age slope of 0.02541687120304334 at a p-value of 0.8673991317801459. These are the numbers, reported exactly, and every interpretation in this dissertation is anchored to them</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30"/>
    <w:bookmarkEnd w:id="131"/>
    <w:bookmarkStart w:id="142" w:name="discussion-and-limitations"/>
    <w:p>
      <w:pPr>
        <w:pStyle w:val="Heading1"/>
        <w:spacing w:line="480" w:lineRule="auto"/>
      </w:pPr>
      <w:r>
        <w:t xml:space="preserve">Discussion and Limitations</w:t>
      </w:r>
    </w:p>
    <w:p>
      <w:pPr>
        <w:pStyle w:val="FirstParagraph"/>
        <w:spacing w:line="480" w:lineRule="auto"/>
      </w:pPr>
      <w:r>
        <w:t xml:space="preserve">The results are quiet. That quiet is data. Neither model rejects its null, and the honest task of this chapter is to say what quiet results mean without either dismissing them or dressing them up. A null result is not the absence of a finding. It is a finding about the fit between a question and the instrument used to ask it, and in this case the fit tells us something specific about both the topic and the method. This chapter interprets that fit, then lays out the threats to validity in the order of their severity, and closes by drawing the line between what the data can and cannot show.</w:t>
      </w:r>
    </w:p>
    <w:bookmarkStart w:id="132" w:name="what-the-null-results-actually-tell-us"/>
    <w:p>
      <w:pPr>
        <w:pStyle w:val="Heading2"/>
        <w:spacing w:line="480" w:lineRule="auto"/>
      </w:pPr>
      <w:r>
        <w:t xml:space="preserve">What the null results actually tell us</w:t>
      </w:r>
    </w:p>
    <w:p>
      <w:pPr>
        <w:pStyle w:val="FirstParagraph"/>
        <w:spacing w:line="480" w:lineRule="auto"/>
      </w:pPr>
      <w:r>
        <w:t xml:space="preserve">The signal model returned a joint fit that a no-predictor baseline would beat, and the learning-curve model returned an elasticity of about 0.025 with an R-squared near 0.0005. Taken at face value, the topic of dual-use entanglement does not organize itself across recency, citation, venue, or age in this source corpus. One could call that disappointing. It is more useful to treat it as diagnostic.</w:t>
      </w:r>
    </w:p>
    <w:p>
      <w:pPr>
        <w:pStyle w:val="BodyText"/>
        <w:spacing w:line="480" w:lineRule="auto"/>
        <w:ind w:firstLine="720"/>
      </w:pPr>
      <w:r>
        <w:t xml:space="preserve">Two readings are consistent with the numbers, and they are not mutually exclusive. The first is that the metadata instrument is too coarse for the topic. Dual-use is, almost by definition, a property that hides in capability rather than announcing itself in titles and keywords. A study of dual-arm grasping or of tether-net capture is deeply relevant to inadvertent escalation, yet its metadata speaks the language of robotics, not of deterrence</w:t>
      </w:r>
      <w:r>
        <w:t xml:space="preserve"> </w:t>
      </w:r>
      <w:hyperlink w:anchor="ref-9">
        <w:r>
          <w:rPr>
            <w:rStyle w:val="Hyperlink"/>
          </w:rPr>
          <w:t xml:space="preserve">[9]</w:t>
        </w:r>
      </w:hyperlink>
      <w:r>
        <w:t xml:space="preserve"> </w:t>
      </w:r>
      <w:hyperlink w:anchor="ref-12">
        <w:r>
          <w:rPr>
            <w:rStyle w:val="Hyperlink"/>
          </w:rPr>
          <w:t xml:space="preserve">[12]</w:t>
        </w:r>
      </w:hyperlink>
      <w:r>
        <w:t xml:space="preserve">. The signal score, which reads security vocabulary off metadata, will score such work at the floor and thereby miss precisely the sources where dual-use is most physically concrete. The instrument systematically undercounts the phenomenon it is meant to detect, and a null result is the expected consequence.</w:t>
      </w:r>
    </w:p>
    <w:p>
      <w:pPr>
        <w:pStyle w:val="BodyText"/>
        <w:spacing w:line="480" w:lineRule="auto"/>
        <w:ind w:firstLine="720"/>
      </w:pPr>
      <w:r>
        <w:t xml:space="preserve">The second reading is that the topic is genuinely young and diffuse. Much of the pack dates from the last three years, the legal categories are openly contested</w:t>
      </w:r>
      <w:r>
        <w:t xml:space="preserve"> </w:t>
      </w:r>
      <w:hyperlink w:anchor="ref-14">
        <w:r>
          <w:rPr>
            <w:rStyle w:val="Hyperlink"/>
          </w:rPr>
          <w:t xml:space="preserve">[14]</w:t>
        </w:r>
      </w:hyperlink>
      <w:r>
        <w:t xml:space="preserve">, and governance for adjacent domains like cyber operations in space is still being negotiated</w:t>
      </w:r>
      <w:r>
        <w:t xml:space="preserve"> </w:t>
      </w:r>
      <w:hyperlink w:anchor="ref-15">
        <w:r>
          <w:rPr>
            <w:rStyle w:val="Hyperlink"/>
          </w:rPr>
          <w:t xml:space="preserve">[15]</w:t>
        </w:r>
      </w:hyperlink>
      <w:r>
        <w:t xml:space="preserve">. A topic in that condition generates scattered, recent, lightly cited work that has not yet consolidated into a structured research front. The learning-curve result is the clearest expression of this: attention cannot follow an age curve when almost every document sits at the citation floor because the citing literature has not matured</w:t>
      </w:r>
      <w:r>
        <w:t xml:space="preserve"> </w:t>
      </w:r>
      <w:hyperlink w:anchor="ref-4">
        <w:r>
          <w:rPr>
            <w:rStyle w:val="Hyperlink"/>
          </w:rPr>
          <w:t xml:space="preserve">[4]</w:t>
        </w:r>
      </w:hyperlink>
      <w:r>
        <w:t xml:space="preserve">. Both readings point the same way. The topic is real and rising, but its footprint in indexed metadata is not yet the kind of thing a cross-sectional screen can resolve.</w:t>
      </w:r>
    </w:p>
    <w:bookmarkEnd w:id="132"/>
    <w:bookmarkStart w:id="133" w:name="threats-to-validity"/>
    <w:p>
      <w:pPr>
        <w:pStyle w:val="Heading2"/>
        <w:spacing w:line="480" w:lineRule="auto"/>
      </w:pPr>
      <w:r>
        <w:t xml:space="preserve">Threats to validity</w:t>
      </w:r>
    </w:p>
    <w:p>
      <w:pPr>
        <w:pStyle w:val="FirstParagraph"/>
        <w:spacing w:line="480" w:lineRule="auto"/>
      </w:pPr>
      <w:r>
        <w:t xml:space="preserve">Several threats bear on how much weight these results can carry. They are presented from most to least serious.</w:t>
      </w:r>
    </w:p>
    <w:p>
      <w:pPr>
        <w:pStyle w:val="BodyText"/>
        <w:spacing w:line="480" w:lineRule="auto"/>
        <w:ind w:firstLine="720"/>
      </w:pPr>
      <w:r>
        <w:t xml:space="preserve">The most serious threat is selection into the corpus. The source corpus was assembled to represent the topic, and no assembly rule is neutral. If the retrieval favored sources that use explicit security vocabulary, it would inflate the signal scores of some venue families and deflate others, biasing the venue coefficient in ways the model cannot diagnose from thirty rows. If it favored recent work, it would compress the recency range and weaken the recency coefficient. The design mitigates this only partly, by fixing the pack before estimation so the corpus cannot be tuned to the results. It cannot rule out that a differently assembled pack would tell a different story, and any reader should treat the findings as conditional on this particular retrieval</w:t>
      </w:r>
      <w:r>
        <w:t xml:space="preserve"> </w:t>
      </w:r>
      <w:hyperlink w:anchor="ref-6">
        <w:r>
          <w:rPr>
            <w:rStyle w:val="Hyperlink"/>
          </w:rPr>
          <w:t xml:space="preserve">[6]</w:t>
        </w:r>
      </w:hyperlink>
      <w:r>
        <w:t xml:space="preserve">.</w:t>
      </w:r>
    </w:p>
    <w:p>
      <w:pPr>
        <w:pStyle w:val="BodyText"/>
        <w:spacing w:line="480" w:lineRule="auto"/>
        <w:ind w:firstLine="720"/>
      </w:pPr>
      <w:r>
        <w:t xml:space="preserve">The second threat is measurement of the outcome. The topic-signal score is deterministic and reproducible, which removes coder-reliability worries, but determinism is not validity. The score measures the presence of theme vocabulary in metadata, which is a proxy for topical relevance, and the two come apart exactly where the topic is most technical. This is the instrument-coarseness problem named above, and it is a validity threat because it means low signal scores conflate genuine irrelevance with metadata that simply speaks a different dialect</w:t>
      </w:r>
      <w:r>
        <w:t xml:space="preserve"> </w:t>
      </w:r>
      <w:hyperlink w:anchor="ref-5">
        <w:r>
          <w:rPr>
            <w:rStyle w:val="Hyperlink"/>
          </w:rPr>
          <w:t xml:space="preserve">[5]</w:t>
        </w:r>
      </w:hyperlink>
      <w:r>
        <w:t xml:space="preserve"> </w:t>
      </w:r>
      <w:hyperlink w:anchor="ref-7">
        <w:r>
          <w:rPr>
            <w:rStyle w:val="Hyperlink"/>
          </w:rPr>
          <w:t xml:space="preserve">[7]</w:t>
        </w:r>
      </w:hyperlink>
      <w:r>
        <w:t xml:space="preserve">. The construct the dissertation cares about is dual-use strategic relevance; the construct the score measures is security-vocabulary density; the gap between them is where the null result partly lives.</w:t>
      </w:r>
    </w:p>
    <w:p>
      <w:pPr>
        <w:pStyle w:val="BodyText"/>
        <w:spacing w:line="480" w:lineRule="auto"/>
        <w:ind w:firstLine="720"/>
      </w:pPr>
      <w:r>
        <w:t xml:space="preserve">The third threat is the citation measure. Counts are drawn from a local index, not from a universal citation database, so they understate attention for any work cited outside the indexed set</w:t>
      </w:r>
      <w:r>
        <w:t xml:space="preserve"> </w:t>
      </w:r>
      <w:hyperlink w:anchor="ref-8">
        <w:r>
          <w:rPr>
            <w:rStyle w:val="Hyperlink"/>
          </w:rPr>
          <w:t xml:space="preserve">[8]</w:t>
        </w:r>
      </w:hyperlink>
      <w:r>
        <w:t xml:space="preserve">. The sparsity this produces, with most records at zero, starves both models of the attention variation they would need to detect structure. A universal count would not necessarily reverse the result, but it would give the attention channel something to work with, and its absence is a genuine limitation on the strength of any citation-related inference</w:t>
      </w:r>
      <w:r>
        <w:t xml:space="preserve"> </w:t>
      </w:r>
      <w:hyperlink w:anchor="ref-4">
        <w:r>
          <w:rPr>
            <w:rStyle w:val="Hyperlink"/>
          </w:rPr>
          <w:t xml:space="preserve">[4]</w:t>
        </w:r>
      </w:hyperlink>
      <w:r>
        <w:t xml:space="preserve">.</w:t>
      </w:r>
    </w:p>
    <w:p>
      <w:pPr>
        <w:pStyle w:val="BodyText"/>
        <w:spacing w:line="480" w:lineRule="auto"/>
        <w:ind w:firstLine="720"/>
      </w:pPr>
      <w:r>
        <w:t xml:space="preserve">The fourth threat is the ordinal venue coding. Assigning conference proceedings, journal articles, and grey literature the values one, two, and three imposes an ordering and an implicit spacing that the venues do not inherently possess. The negative venue coefficient could reflect real differences in how venue families use security vocabulary, or it could be an artifact of the coding scheme. With the coefficient imprecise anyway, little rides on this, but a design that leaned on the venue term would need a more defensible measurement of venue than an ordinal triple.</w:t>
      </w:r>
    </w:p>
    <w:p>
      <w:pPr>
        <w:pStyle w:val="BodyText"/>
        <w:spacing w:line="480" w:lineRule="auto"/>
        <w:ind w:firstLine="720"/>
      </w:pPr>
      <w:r>
        <w:t xml:space="preserve">The fifth threat is statistical power. Thirty observations, three predictors, and a sparse citation distribution leave the signal model with modest power to detect anything short of a strong association. A true but moderate effect could easily hide beneath the HC1 standard errors, which are deliberately conservative. Failure to reject H0 is therefore weaker evidence against H1 than it would be in a larger sample, and the chapter does not read the nulls as proof that no structure exists, only as evidence that none is detectable here.</w:t>
      </w:r>
    </w:p>
    <w:bookmarkEnd w:id="133"/>
    <w:bookmarkStart w:id="134" w:name="what-the-data-cannot-show"/>
    <w:p>
      <w:pPr>
        <w:pStyle w:val="Heading2"/>
        <w:spacing w:line="480" w:lineRule="auto"/>
      </w:pPr>
      <w:r>
        <w:t xml:space="preserve">What the data cannot show</w:t>
      </w:r>
    </w:p>
    <w:p>
      <w:pPr>
        <w:pStyle w:val="FirstParagraph"/>
        <w:spacing w:line="480" w:lineRule="auto"/>
      </w:pPr>
      <w:r>
        <w:t xml:space="preserve">Beyond these threats sit questions the design cannot address at all, and marking them is as important as cataloging the threats it can. The dissertation cannot observe orbital behavior, so it cannot measure inadvertent escalation directly; it measures a research-record proxy and reasons from there. It cannot establish causation, because it has no exogenous variation in recency, citation, or venue that would let a coefficient be read as an effect rather than an association. It cannot speak to intent, which is the variable that actually distinguishes a servicing mission from an attack, because intent does not appear in metadata and would require close document coding or, ideally, evidence about the operators themselves</w:t>
      </w:r>
      <w:r>
        <w:t xml:space="preserve"> </w:t>
      </w:r>
      <w:hyperlink w:anchor="ref-12">
        <w:r>
          <w:rPr>
            <w:rStyle w:val="Hyperlink"/>
          </w:rPr>
          <w:t xml:space="preserve">[12]</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design also cannot generalize beyond its corpus. A null footprint in this pack does not imply a null footprint in the full space-security literature, let alone in the classified or operational record where the most consequential dual-use activity is likeliest to appear. The screen is a statement about a specific retrieved sample analyzed with specific deterministic measures, and its external reach is correspondingly bounded.</w:t>
      </w:r>
    </w:p>
    <w:bookmarkEnd w:id="134"/>
    <w:bookmarkStart w:id="135" w:name="what-the-exercise-nonetheless-earns"/>
    <w:p>
      <w:pPr>
        <w:pStyle w:val="Heading2"/>
        <w:spacing w:line="480" w:lineRule="auto"/>
      </w:pPr>
      <w:r>
        <w:t xml:space="preserve">What the exercise nonetheless earns</w:t>
      </w:r>
    </w:p>
    <w:p>
      <w:pPr>
        <w:pStyle w:val="FirstParagraph"/>
        <w:spacing w:line="480" w:lineRule="auto"/>
      </w:pPr>
      <w:r>
        <w:t xml:space="preserve">None of this makes the exercise empty. A screen that returns a null has done real work if it redirects effort, and this one does. It shows that a metadata-vocabulary approach is the wrong instrument for a topic whose relevance hides in capability, which tells the next stage of research to code documents directly for dual-use function rather than counting security terms in their titles. It shows that local citation counts are too sparse to model, which tells that stage to secure a universal citation source or to abandon the attention channel. And it shows, through convergent weakness across two orthogonal specifications, that the weakness is a property of the data rather than of any single model choice</w:t>
      </w:r>
      <w:r>
        <w:t xml:space="preserve"> </w:t>
      </w:r>
      <w:hyperlink w:anchor="ref-1">
        <w:r>
          <w:rPr>
            <w:rStyle w:val="Hyperlink"/>
          </w:rPr>
          <w:t xml:space="preserve">[1]</w:t>
        </w:r>
      </w:hyperlink>
      <w:r>
        <w:t xml:space="preserve"> </w:t>
      </w:r>
      <w:hyperlink w:anchor="ref-2">
        <w:r>
          <w:rPr>
            <w:rStyle w:val="Hyperlink"/>
          </w:rPr>
          <w:t xml:space="preserve">[2]</w:t>
        </w:r>
      </w:hyperlink>
      <w:r>
        <w:t xml:space="preserve">. A design-stage dissertation is supposed to discipline the evidence and reveal where the leverage is not, and on that standard the quiet results are exactly the kind of information the exercise was built to produce</w:t>
      </w:r>
      <w:r>
        <w:t xml:space="preserve"> </w:t>
      </w:r>
      <w:hyperlink w:anchor="ref-10">
        <w:r>
          <w:rPr>
            <w:rStyle w:val="Hyperlink"/>
          </w:rPr>
          <w:t xml:space="preserve">[10]</w:t>
        </w:r>
      </w:hyperlink>
      <w:r>
        <w:t xml:space="preserve">.</w:t>
      </w:r>
    </w:p>
    <w:bookmarkEnd w:id="135"/>
    <w:bookmarkStart w:id="136" w:name="the-construct-validity-problem-in-depth"/>
    <w:p>
      <w:pPr>
        <w:pStyle w:val="Heading2"/>
        <w:spacing w:line="480" w:lineRule="auto"/>
      </w:pPr>
      <w:r>
        <w:t xml:space="preserve">The construct-validity problem in depth</w:t>
      </w:r>
    </w:p>
    <w:p>
      <w:pPr>
        <w:pStyle w:val="FirstParagraph"/>
        <w:spacing w:line="480" w:lineRule="auto"/>
      </w:pPr>
      <w:r>
        <w:t xml:space="preserve">The deepest interpretive issue this dissertation faces is construct validity, the question of whether the thing measured is the thing meant. The signal score measures security-vocabulary density in metadata. The construct of interest is strategic dual-use relevance. These two coincide for sources whose authors write in security language and diverge for sources whose authors write in engineering language about capabilities that are nonetheless strategically loaded. The divergence is not random. It is systematic and it runs in a direction that biases the whole exercise, because the most physically concrete dual-use systems, the manipulators and capture mechanisms and sensors, are described in exactly the engineering register that the score cannot see</w:t>
      </w:r>
      <w:r>
        <w:t xml:space="preserve"> </w:t>
      </w:r>
      <w:hyperlink w:anchor="ref-9">
        <w:r>
          <w:rPr>
            <w:rStyle w:val="Hyperlink"/>
          </w:rPr>
          <w:t xml:space="preserve">[9]</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This has a consequence that is easy to miss. A vocabulary-based measure will tend to score highest the sources that talk about dual-use risk in the abstract, and lowest the sources that embody dual-use capability in the concrete. The measure is, in a sense, inversely aligned with the phenomenon at the technical margin. If that is right, a null cross-sectional result is not merely expected but almost guaranteed, because the sources with the most strategic relevance are being assigned the least signal. The interpretation this chapter reaches is therefore not that the topic lacks a footprint but that the instrument is looking in the wrong place for it. That is a construct-validity failure of a specific, diagnosable kind, and diagnosing it is more useful than lamenting the null.</w:t>
      </w:r>
    </w:p>
    <w:bookmarkEnd w:id="136"/>
    <w:bookmarkStart w:id="137" w:name="X3be57ce0c0d2daa1e7cedc8fae7e3c7226fa936"/>
    <w:p>
      <w:pPr>
        <w:pStyle w:val="Heading2"/>
        <w:spacing w:line="480" w:lineRule="auto"/>
      </w:pPr>
      <w:r>
        <w:t xml:space="preserve">Why conventional robustness checks would not help</w:t>
      </w:r>
    </w:p>
    <w:p>
      <w:pPr>
        <w:pStyle w:val="FirstParagraph"/>
        <w:spacing w:line="480" w:lineRule="auto"/>
      </w:pPr>
      <w:r>
        <w:t xml:space="preserve">A reader trained in applied methods will expect a battery of robustness checks: alternative specifications, dropped outliers, transformed variables, subsample splits. It is worth explaining why such checks would add little here, because their absence might otherwise look like a gap. The problem is not that a particular specification is fragile. The problem is that the data lack the variation the question requires. Dropping the two high-citation outliers would leave the citation variable nearly constant and the learning-curve model with essentially nothing to fit. Splitting thirty rows into subsamples would produce groups too small to estimate anything stable. Transforming the signal score would not change the fact that it measures vocabulary rather than function. Robustness checks probe whether a finding survives reasonable analytic variation; they cannot manufacture a finding from a corpus that does not contain the necessary variation in the first place.</w:t>
      </w:r>
    </w:p>
    <w:p>
      <w:pPr>
        <w:pStyle w:val="BodyText"/>
        <w:spacing w:line="480" w:lineRule="auto"/>
        <w:ind w:firstLine="720"/>
      </w:pPr>
      <w:r>
        <w:t xml:space="preserve">The one robustness logic that does apply is the cross-model convergence already reported. Two orthogonal specifications returning consistent nulls is the strongest robustness evidence this data can offer, because it shows the weakness is not an artifact of a single modeling choice</w:t>
      </w:r>
      <w:r>
        <w:t xml:space="preserve"> </w:t>
      </w:r>
      <w:hyperlink w:anchor="ref-1">
        <w:r>
          <w:rPr>
            <w:rStyle w:val="Hyperlink"/>
          </w:rPr>
          <w:t xml:space="preserve">[1]</w:t>
        </w:r>
      </w:hyperlink>
      <w:r>
        <w:t xml:space="preserve"> </w:t>
      </w:r>
      <w:hyperlink w:anchor="ref-2">
        <w:r>
          <w:rPr>
            <w:rStyle w:val="Hyperlink"/>
          </w:rPr>
          <w:t xml:space="preserve">[2]</w:t>
        </w:r>
      </w:hyperlink>
      <w:r>
        <w:t xml:space="preserve">. Beyond that, honesty favors admitting that the binding constraint is the data, not the estimator, and that no amount of re-specification within this corpus will change the conclusion. Naming that plainly is more useful than performing checks whose outcome is foreordained by the data’s structure.</w:t>
      </w:r>
    </w:p>
    <w:bookmarkEnd w:id="137"/>
    <w:bookmarkStart w:id="138" w:name="X2bb88be35295b21bf93a2934a6fdcac86a401b4"/>
    <w:p>
      <w:pPr>
        <w:pStyle w:val="Heading2"/>
        <w:spacing w:line="480" w:lineRule="auto"/>
      </w:pPr>
      <w:r>
        <w:t xml:space="preserve">Generalizability and the open-source ceiling</w:t>
      </w:r>
    </w:p>
    <w:p>
      <w:pPr>
        <w:pStyle w:val="FirstParagraph"/>
        <w:spacing w:line="480" w:lineRule="auto"/>
      </w:pPr>
      <w:r>
        <w:t xml:space="preserve">A further limitation deserves its own treatment: the ceiling imposed by relying on open, indexed sources. The most consequential dual-use activity in orbit is precisely the activity least likely to appear in an open literature. Operational reconnaissance, electronic interference, cyber intrusion against space systems, and the classified programs behind them do not publish in Acta Astronautica or present at open conferences</w:t>
      </w:r>
      <w:r>
        <w:t xml:space="preserve"> </w:t>
      </w:r>
      <w:hyperlink w:anchor="ref-7">
        <w:r>
          <w:rPr>
            <w:rStyle w:val="Hyperlink"/>
          </w:rPr>
          <w:t xml:space="preserve">[7]</w:t>
        </w:r>
      </w:hyperlink>
      <w:r>
        <w:t xml:space="preserve"> </w:t>
      </w:r>
      <w:hyperlink w:anchor="ref-15">
        <w:r>
          <w:rPr>
            <w:rStyle w:val="Hyperlink"/>
          </w:rPr>
          <w:t xml:space="preserve">[15]</w:t>
        </w:r>
      </w:hyperlink>
      <w:r>
        <w:t xml:space="preserve">. An open-source screen sees the research community’s discussion of these problems, not the problems themselves, and the gap between the two is unknown and possibly large. A topic could be intensely active in the classified world and quiet in the open record, and this design would register only the quiet.</w:t>
      </w:r>
    </w:p>
    <w:p>
      <w:pPr>
        <w:pStyle w:val="BodyText"/>
        <w:spacing w:line="480" w:lineRule="auto"/>
        <w:ind w:firstLine="720"/>
      </w:pPr>
      <w:r>
        <w:t xml:space="preserve">This ceiling bounds every claim the dissertation makes. It means a null footprint in the open corpus is compatible with an active but unpublished reality, and it means a positive footprint, had one appeared, would still have described only the visible slice. The screen is a statement about open-source salience, and open-source salience is a proxy for strategic importance whose fidelity cannot be assessed from inside the open sources themselves. The limitations chapter states this so that no reader mistakes the corpus for the phenomenon, and so that the successor design described in the conclusion is understood to inherit this ceiling unless it can reach non-open data</w:t>
      </w:r>
      <w:r>
        <w:t xml:space="preserve"> </w:t>
      </w:r>
      <w:hyperlink w:anchor="ref-3">
        <w:r>
          <w:rPr>
            <w:rStyle w:val="Hyperlink"/>
          </w:rPr>
          <w:t xml:space="preserve">[3]</w:t>
        </w:r>
      </w:hyperlink>
      <w:r>
        <w:t xml:space="preserve">.</w:t>
      </w:r>
    </w:p>
    <w:bookmarkEnd w:id="138"/>
    <w:bookmarkStart w:id="139" w:name="balancing-candor-against-usefulness"/>
    <w:p>
      <w:pPr>
        <w:pStyle w:val="Heading2"/>
        <w:spacing w:line="480" w:lineRule="auto"/>
      </w:pPr>
      <w:r>
        <w:t xml:space="preserve">Balancing candor against usefulness</w:t>
      </w:r>
    </w:p>
    <w:p>
      <w:pPr>
        <w:pStyle w:val="FirstParagraph"/>
        <w:spacing w:line="480" w:lineRule="auto"/>
      </w:pPr>
      <w:r>
        <w:t xml:space="preserve">There is a temptation, having cataloged this many limitations, to conclude that the exercise proves too little to matter. That conclusion would be an overcorrection. Every empirical design has limits; the virtue here is that the limits are named rather than hidden, which lets a reader calibrate the findings precisely instead of trusting or distrusting them wholesale. The construct-validity diagnosis, the data-constraint honesty, and the open-source ceiling together do not empty the exercise. They convert it into a precise instruction for what to do differently, which is the proper output of a design-stage study. A dissertation that returned a confident positive result while hiding these limitations would be less trustworthy, and ultimately less useful, than one that returns a null and explains exactly why</w:t>
      </w:r>
      <w:r>
        <w:t xml:space="preserve"> </w:t>
      </w:r>
      <w:hyperlink w:anchor="ref-6">
        <w:r>
          <w:rPr>
            <w:rStyle w:val="Hyperlink"/>
          </w:rPr>
          <w:t xml:space="preserve">[6]</w:t>
        </w:r>
      </w:hyperlink>
      <w:r>
        <w:t xml:space="preserve"> </w:t>
      </w:r>
      <w:hyperlink w:anchor="ref-16">
        <w:r>
          <w:rPr>
            <w:rStyle w:val="Hyperlink"/>
          </w:rPr>
          <w:t xml:space="preserve">[16]</w:t>
        </w:r>
      </w:hyperlink>
      <w:r>
        <w:t xml:space="preserve">.</w:t>
      </w:r>
    </w:p>
    <w:bookmarkEnd w:id="139"/>
    <w:bookmarkStart w:id="140" w:name="Xa863bc220159f8671e9b53aca57562ba8dd6141"/>
    <w:p>
      <w:pPr>
        <w:pStyle w:val="Heading2"/>
        <w:spacing w:line="480" w:lineRule="auto"/>
      </w:pPr>
      <w:r>
        <w:t xml:space="preserve">What a differently designed study might find</w:t>
      </w:r>
    </w:p>
    <w:p>
      <w:pPr>
        <w:pStyle w:val="FirstParagraph"/>
        <w:spacing w:line="480" w:lineRule="auto"/>
      </w:pPr>
      <w:r>
        <w:t xml:space="preserve">Speculation is cheap. A disciplined guess still sharpens the diagnosis. If the construct-validity reading is correct, then a study that coded sources for functional dual-use potential rather than for security vocabulary would likely find the structure this screen missed. The technical papers that scored at the floor here, on grasping, capture, sensing, and autonomy, would score high on a functional measure, because their capabilities are squarely dual-use even though their language is not</w:t>
      </w:r>
      <w:r>
        <w:t xml:space="preserve"> </w:t>
      </w:r>
      <w:hyperlink w:anchor="ref-5">
        <w:r>
          <w:rPr>
            <w:rStyle w:val="Hyperlink"/>
          </w:rPr>
          <w:t xml:space="preserve">[5]</w:t>
        </w:r>
      </w:hyperlink>
      <w:r>
        <w:t xml:space="preserve"> </w:t>
      </w:r>
      <w:hyperlink w:anchor="ref-9">
        <w:r>
          <w:rPr>
            <w:rStyle w:val="Hyperlink"/>
          </w:rPr>
          <w:t xml:space="preserve">[9]</w:t>
        </w:r>
      </w:hyperlink>
      <w:r>
        <w:t xml:space="preserve"> </w:t>
      </w:r>
      <w:hyperlink w:anchor="ref-12">
        <w:r>
          <w:rPr>
            <w:rStyle w:val="Hyperlink"/>
          </w:rPr>
          <w:t xml:space="preserve">[12]</w:t>
        </w:r>
      </w:hyperlink>
      <w:r>
        <w:t xml:space="preserve">. Recoding along function could invert the apparent relationship between venue and signal, since the technical conference literature that looked low-signal on vocabulary might look high-signal on capability.</w:t>
      </w:r>
    </w:p>
    <w:p>
      <w:pPr>
        <w:pStyle w:val="BodyText"/>
        <w:spacing w:line="480" w:lineRule="auto"/>
        <w:ind w:firstLine="720"/>
      </w:pPr>
      <w:r>
        <w:t xml:space="preserve">This is a hypothesis, not a result, and it must be labeled that way. The value of stating it is that it makes the current null falsifiable at one remove: if a functional recoding also returned a null, the construct-validity explanation would be wrong and the topic really would lack a structured footprint, which would itself be a strong and surprising finding. Framing the successor study as a test of the present diagnosis, rather than merely as a bigger version of the same thing, is what turns a limitation into a research question. The discussion chapter thus does not end at cataloguing what went wrong; it converts the going-wrong into a specific, testable expectation for what should be tried next</w:t>
      </w:r>
      <w:r>
        <w:t xml:space="preserve"> </w:t>
      </w:r>
      <w:hyperlink w:anchor="ref-16">
        <w:r>
          <w:rPr>
            <w:rStyle w:val="Hyperlink"/>
          </w:rPr>
          <w:t xml:space="preserve">[16]</w:t>
        </w:r>
      </w:hyperlink>
      <w:r>
        <w:t xml:space="preserve">.</w:t>
      </w:r>
    </w:p>
    <w:bookmarkEnd w:id="140"/>
    <w:bookmarkStart w:id="141" w:name="Xca56cfcf16b1018f7326e358510ae7961cdbc34"/>
    <w:p>
      <w:pPr>
        <w:pStyle w:val="Heading2"/>
        <w:spacing w:line="480" w:lineRule="auto"/>
      </w:pPr>
      <w:r>
        <w:t xml:space="preserve">The limits of reasoning from a single corpus</w:t>
      </w:r>
    </w:p>
    <w:p>
      <w:pPr>
        <w:pStyle w:val="FirstParagraph"/>
        <w:spacing w:line="480" w:lineRule="auto"/>
      </w:pPr>
      <w:r>
        <w:t xml:space="preserve">Thirty records is a thin base. A last reflection concerns the epistemics of drawing any conclusion from it. Even setting aside construct validity and selection, thirty observations is a thin evidentiary base, and the chapter should not pretend otherwise. The nulls reported here are consistent with several underlying realities: a topic with no structured footprint, a topic whose footprint is real but too subtle for this sample to detect, and a topic whose footprint is real but invisible to this instrument. The data alone cannot discriminate among these, which is why the discussion leans on the mechanism and the measurement literature to reason about which is most plausible rather than claiming the data settle it.</w:t>
      </w:r>
    </w:p>
    <w:p>
      <w:pPr>
        <w:pStyle w:val="BodyText"/>
        <w:spacing w:line="480" w:lineRule="auto"/>
        <w:ind w:firstLine="720"/>
      </w:pPr>
      <w:r>
        <w:t xml:space="preserve">That reliance on reasoning beyond the data is not a weakness to be hidden; it is the ordinary condition of design-stage inference, where the point is to decide what to build next rather than to close a question. The honest posture is to report the nulls exactly, to state the several realities they are consistent with, to argue from theory and measurement toward the most plausible one, and to specify the study that would discriminate among them. That posture runs through this entire chapter, and it is what allows a set of quiet results to yield a loud and useful instruction for the research that should follow</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141"/>
    <w:bookmarkEnd w:id="142"/>
    <w:bookmarkStart w:id="182" w:name="conclusions-and-implications"/>
    <w:p>
      <w:pPr>
        <w:pStyle w:val="Heading1"/>
        <w:spacing w:line="480" w:lineRule="auto"/>
      </w:pPr>
      <w:r>
        <w:t xml:space="preserve">Conclusions and Implications</w:t>
      </w:r>
    </w:p>
    <w:p>
      <w:pPr>
        <w:pStyle w:val="FirstParagraph"/>
        <w:spacing w:line="480" w:lineRule="auto"/>
      </w:pPr>
      <w:r>
        <w:t xml:space="preserve">This dissertation set out to do a small thing carefully. It took a large strategic worry, the entanglement of civil and military functions in dual-use space assets and the inadvertent escalation that ambiguity can produce, and it asked whether that worry leaves a detectable footprint in a fixed body of retrieved literature. The answer, on the evidence of two deterministic models, is that it does not, at least not in the ways metadata can readily resolve. The purpose of these closing pages is to state the contribution plainly, to draw out what the result means for governance and for program decisions, and to specify the more direct design that this screen was built to justify.</w:t>
      </w:r>
    </w:p>
    <w:bookmarkStart w:id="143" w:name="the-contribution-stated-plainly"/>
    <w:p>
      <w:pPr>
        <w:pStyle w:val="Heading2"/>
        <w:spacing w:line="480" w:lineRule="auto"/>
      </w:pPr>
      <w:r>
        <w:t xml:space="preserve">The contribution, stated plainly</w:t>
      </w:r>
    </w:p>
    <w:p>
      <w:pPr>
        <w:pStyle w:val="FirstParagraph"/>
        <w:spacing w:line="480" w:lineRule="auto"/>
      </w:pPr>
      <w:r>
        <w:t xml:space="preserve">The contribution is a single falsifiable test. It was reported honestly. The dissertation stated a null hypothesis, that the topic signal is unrelated to recency, citation attention, and venue family, and a companion null, that citation accumulation is unrelated to article age, and it built two estimators capable of rejecting either. Neither was rejected. The signal model returned a joint fit weaker than a no-predictor baseline, and the learning-curve model returned an elasticity near zero. The value lies not in the direction of the result but in its discipline: the claim was small enough to be tested, the test was reproducible to the last digit, and the outcome was read for exactly what it was rather than narrated into significance.</w:t>
      </w:r>
    </w:p>
    <w:p>
      <w:pPr>
        <w:pStyle w:val="BodyText"/>
        <w:spacing w:line="480" w:lineRule="auto"/>
        <w:ind w:firstLine="720"/>
      </w:pPr>
      <w:r>
        <w:t xml:space="preserve">That discipline is the transferable part. Space-security scholarship is rich in intuition and thin in traceable evidence, and the field’s recurring temptation is to retrieve confirming sources and call the collection a review. A deterministic screen over a pre-fixed corpus resists that temptation by fixing the sample first and reporting whatever the estimator yields. The contribution, then, is partly substantive, a bounded finding about this topic’s metadata footprint, and partly methodological, a demonstration that a design-stage screen can be built to be checkable by anyone willing to re-run it</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143"/>
    <w:bookmarkStart w:id="144" w:name="why-a-null-result-is-useful"/>
    <w:p>
      <w:pPr>
        <w:pStyle w:val="Heading2"/>
        <w:spacing w:line="480" w:lineRule="auto"/>
      </w:pPr>
      <w:r>
        <w:t xml:space="preserve">Why a null result is useful</w:t>
      </w:r>
    </w:p>
    <w:p>
      <w:pPr>
        <w:pStyle w:val="FirstParagraph"/>
        <w:spacing w:line="480" w:lineRule="auto"/>
      </w:pPr>
      <w:r>
        <w:t xml:space="preserve">A field trained to prize positive findings can undervalue a clean null, so it is worth insisting on what this one accomplishes. It rules a method out. That is real progress. The result shows that reading security vocabulary off document metadata is the wrong instrument for a topic whose relevance lives in capability rather than in language, because studies of grasping, capture, sensing, and autonomy are dual-use to the core yet score at the floor of a vocabulary-based measure</w:t>
      </w:r>
      <w:r>
        <w:t xml:space="preserve"> </w:t>
      </w:r>
      <w:hyperlink w:anchor="ref-5">
        <w:r>
          <w:rPr>
            <w:rStyle w:val="Hyperlink"/>
          </w:rPr>
          <w:t xml:space="preserve">[5]</w:t>
        </w:r>
      </w:hyperlink>
      <w:r>
        <w:t xml:space="preserve"> </w:t>
      </w:r>
      <w:hyperlink w:anchor="ref-9">
        <w:r>
          <w:rPr>
            <w:rStyle w:val="Hyperlink"/>
          </w:rPr>
          <w:t xml:space="preserve">[9]</w:t>
        </w:r>
      </w:hyperlink>
      <w:r>
        <w:t xml:space="preserve"> </w:t>
      </w:r>
      <w:hyperlink w:anchor="ref-12">
        <w:r>
          <w:rPr>
            <w:rStyle w:val="Hyperlink"/>
          </w:rPr>
          <w:t xml:space="preserve">[12]</w:t>
        </w:r>
      </w:hyperlink>
      <w:r>
        <w:t xml:space="preserve">. Knowing that an instrument does not work is a precondition for building one that does. The null redirects the next stage of inquiry away from term-counting and toward direct functional coding, and that redirection is the practical payoff of having run the screen honestly.</w:t>
      </w:r>
    </w:p>
    <w:p>
      <w:pPr>
        <w:pStyle w:val="BodyText"/>
        <w:spacing w:line="480" w:lineRule="auto"/>
        <w:ind w:firstLine="720"/>
      </w:pPr>
      <w:r>
        <w:t xml:space="preserve">The learning-curve null does similar work on the attention channel. It shows that within a young, locally indexed corpus, citation counts are too sparse and too age-flat to model, which tells any successor design that the attention dimension needs a universal citation source or should be set aside</w:t>
      </w:r>
      <w:r>
        <w:t xml:space="preserve"> </w:t>
      </w:r>
      <w:hyperlink w:anchor="ref-4">
        <w:r>
          <w:rPr>
            <w:rStyle w:val="Hyperlink"/>
          </w:rPr>
          <w:t xml:space="preserve">[4]</w:t>
        </w:r>
      </w:hyperlink>
      <w:r>
        <w:t xml:space="preserve"> </w:t>
      </w:r>
      <w:hyperlink w:anchor="ref-8">
        <w:r>
          <w:rPr>
            <w:rStyle w:val="Hyperlink"/>
          </w:rPr>
          <w:t xml:space="preserve">[8]</w:t>
        </w:r>
      </w:hyperlink>
      <w:r>
        <w:t xml:space="preserve">. These are not failures. They are the map of where the evidence is not, and a map of that kind saves the next researcher from repeating a search that this one has already shown to be empty.</w:t>
      </w:r>
    </w:p>
    <w:bookmarkEnd w:id="144"/>
    <w:bookmarkStart w:id="145" w:name="governance-and-program-relevance"/>
    <w:p>
      <w:pPr>
        <w:pStyle w:val="Heading2"/>
        <w:spacing w:line="480" w:lineRule="auto"/>
      </w:pPr>
      <w:r>
        <w:t xml:space="preserve">Governance and program relevance</w:t>
      </w:r>
    </w:p>
    <w:p>
      <w:pPr>
        <w:pStyle w:val="FirstParagraph"/>
        <w:spacing w:line="480" w:lineRule="auto"/>
      </w:pPr>
      <w:r>
        <w:t xml:space="preserve">The governance relevance runs through the method more than through the particular coefficients. Agencies, operators, standards bodies, and international forums routinely have to reason about dual-use risk before clean data exist, and the standing question is how to reason responsibly under that constraint. This dissertation models one answer: convert the intuition into a source-traced test, run it, and mark the boundary between what the record shows and what decision makers still need to learn. The specific lesson for governance is that metadata screens will systematically undercount the most dangerous dual-use systems, because those systems advertise their function in engineering terms and their danger only in context. A governance process that leaned on such screens would look at the technical literature and see nothing alarming, precisely where the alarm should be loudest</w:t>
      </w:r>
      <w:r>
        <w:t xml:space="preserve"> </w:t>
      </w:r>
      <w:hyperlink w:anchor="ref-16">
        <w:r>
          <w:rPr>
            <w:rStyle w:val="Hyperlink"/>
          </w:rPr>
          <w:t xml:space="preserve">[16]</w:t>
        </w:r>
      </w:hyperlink>
      <w:r>
        <w:t xml:space="preserve">.</w:t>
      </w:r>
    </w:p>
    <w:p>
      <w:pPr>
        <w:pStyle w:val="BodyText"/>
        <w:spacing w:line="480" w:lineRule="auto"/>
        <w:ind w:firstLine="720"/>
      </w:pPr>
      <w:r>
        <w:t xml:space="preserve">For program decisions, the implication is about where to spend scarce analytic effort. The convergent nulls say that counting is cheap and uninformative here, while coding is expensive and necessary. A program office trying to anticipate escalation risk from an emerging capability should invest in analysts who can read a robotics or sensing paper and judge its coercive potential, rather than in dashboards that tally security keywords. The information-sharing literature points the same direction, treating credible shared information, not automated salience metrics, as the real countermeasure to the ambiguity that drives inadvertent escalation</w:t>
      </w:r>
      <w:r>
        <w:t xml:space="preserve"> </w:t>
      </w:r>
      <w:hyperlink w:anchor="ref-6">
        <w:r>
          <w:rPr>
            <w:rStyle w:val="Hyperlink"/>
          </w:rPr>
          <w:t xml:space="preserve">[6]</w:t>
        </w:r>
      </w:hyperlink>
      <w:r>
        <w:t xml:space="preserve">. The physical stakes documented for the crowded orbital belts make the case that this analytic investment is not academic; attribution difficulty and collision risk give the ambiguity real strategic teeth</w:t>
      </w:r>
      <w:r>
        <w:t xml:space="preserve"> </w:t>
      </w:r>
      <w:hyperlink w:anchor="ref-1">
        <w:r>
          <w:rPr>
            <w:rStyle w:val="Hyperlink"/>
          </w:rPr>
          <w:t xml:space="preserve">[1]</w:t>
        </w:r>
      </w:hyperlink>
      <w:r>
        <w:t xml:space="preserve">.</w:t>
      </w:r>
    </w:p>
    <w:bookmarkEnd w:id="145"/>
    <w:bookmarkStart w:id="146" w:name="a-direct-design-for-the-next-stage"/>
    <w:p>
      <w:pPr>
        <w:pStyle w:val="Heading2"/>
        <w:spacing w:line="480" w:lineRule="auto"/>
      </w:pPr>
      <w:r>
        <w:t xml:space="preserve">A direct design for the next stage</w:t>
      </w:r>
    </w:p>
    <w:p>
      <w:pPr>
        <w:pStyle w:val="FirstParagraph"/>
        <w:spacing w:line="480" w:lineRule="auto"/>
      </w:pPr>
      <w:r>
        <w:t xml:space="preserve">The screen was always meant to earn a more expensive successor, and its results specify what that successor should be. The next design should abandon vocabulary counting in favor of hand-coded functional variables. For each source, a trained coder would record whether the described system has a plausible coercive use, whether that use is separable from its civil use by anything other than intent, and how much sensing or attribution difficulty the system introduces for an observer. Those variables map directly onto the escalation mechanism developed in chapter three. Theme-hit counts never could.</w:t>
      </w:r>
    </w:p>
    <w:p>
      <w:pPr>
        <w:pStyle w:val="BodyText"/>
        <w:spacing w:line="480" w:lineRule="auto"/>
        <w:ind w:firstLine="720"/>
      </w:pPr>
      <w:r>
        <w:t xml:space="preserve">The successor should also fix the measurement problems this dissertation exposed. It should draw citation attention from a universal database rather than a local index, so the attention channel carries real variation</w:t>
      </w:r>
      <w:r>
        <w:t xml:space="preserve"> </w:t>
      </w:r>
      <w:hyperlink w:anchor="ref-8">
        <w:r>
          <w:rPr>
            <w:rStyle w:val="Hyperlink"/>
          </w:rPr>
          <w:t xml:space="preserve">[8]</w:t>
        </w:r>
      </w:hyperlink>
      <w:r>
        <w:t xml:space="preserve">. It should replace the ordinal venue triple with a defensible characterization of venue that captures review rigor and audience rather than imposing an arbitrary spacing. And it should expand the sample well beyond thirty sources, both to gain statistical power and to let the recency and citation signs, which pointed weakly in the theorized direction here, be tested at a scale where a moderate effect could survive conservative standard errors</w:t>
      </w:r>
      <w:r>
        <w:t xml:space="preserve"> </w:t>
      </w:r>
      <w:hyperlink w:anchor="ref-2">
        <w:r>
          <w:rPr>
            <w:rStyle w:val="Hyperlink"/>
          </w:rPr>
          <w:t xml:space="preserve">[2]</w:t>
        </w:r>
      </w:hyperlink>
      <w:r>
        <w:t xml:space="preserve">.</w:t>
      </w:r>
    </w:p>
    <w:p>
      <w:pPr>
        <w:pStyle w:val="BodyText"/>
        <w:spacing w:line="480" w:lineRule="auto"/>
        <w:ind w:firstLine="720"/>
      </w:pPr>
      <w:r>
        <w:t xml:space="preserve">A further extension would move from documents to the operators and systems themselves. The deepest limitation of any literature screen is that it studies the shadow of the phenomenon rather than the phenomenon. A design that coded actual dual-use assets, their orbital behavior, and the responses they elicited would speak to inadvertent escalation directly, though it would demand access to operational data that most researchers cannot obtain</w:t>
      </w:r>
      <w:r>
        <w:t xml:space="preserve"> </w:t>
      </w:r>
      <w:hyperlink w:anchor="ref-3">
        <w:r>
          <w:rPr>
            <w:rStyle w:val="Hyperlink"/>
          </w:rPr>
          <w:t xml:space="preserve">[3]</w:t>
        </w:r>
      </w:hyperlink>
      <w:r>
        <w:t xml:space="preserve"> </w:t>
      </w:r>
      <w:hyperlink w:anchor="ref-15">
        <w:r>
          <w:rPr>
            <w:rStyle w:val="Hyperlink"/>
          </w:rPr>
          <w:t xml:space="preserve">[15]</w:t>
        </w:r>
      </w:hyperlink>
      <w:r>
        <w:t xml:space="preserve">. The document-level screen is the tractable first step precisely because that operational step is so hard, and the value of doing the screen well is that it clarifies exactly which questions justify the harder work.</w:t>
      </w:r>
    </w:p>
    <w:bookmarkEnd w:id="146"/>
    <w:bookmarkStart w:id="147" w:name="closing"/>
    <w:p>
      <w:pPr>
        <w:pStyle w:val="Heading2"/>
        <w:spacing w:line="480" w:lineRule="auto"/>
      </w:pPr>
      <w:r>
        <w:t xml:space="preserve">Closing</w:t>
      </w:r>
    </w:p>
    <w:p>
      <w:pPr>
        <w:pStyle w:val="FirstParagraph"/>
        <w:spacing w:line="480" w:lineRule="auto"/>
      </w:pPr>
      <w:r>
        <w:t xml:space="preserve">The dissertation ends where an honest design-stage inquiry should. It has a falsifiable claim, a reproducible test, a clearly reported result, and a specification for what to build next. The topic it studied is important, and nothing in the null findings diminishes that importance; the substantive literature makes an unanswerable case that dual-use entanglement and inadvertent escalation are among the harder problems space governance faces</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What the empirical work adds is not a verdict on the topic but a disciplined statement about how to measure it, including the humbling but useful discovery that the easy measures do not work. That discovery, traceable from claim to coefficient to source, is a contribution a reader can stand on, and it points the way to the more demanding evidence the problem ultimately requires</w:t>
      </w:r>
      <w:r>
        <w:t xml:space="preserve"> </w:t>
      </w:r>
      <w:hyperlink w:anchor="ref-7">
        <w:r>
          <w:rPr>
            <w:rStyle w:val="Hyperlink"/>
          </w:rPr>
          <w:t xml:space="preserve">[7]</w:t>
        </w:r>
      </w:hyperlink>
      <w:r>
        <w:t xml:space="preserve"> </w:t>
      </w:r>
      <w:hyperlink w:anchor="ref-11">
        <w:r>
          <w:rPr>
            <w:rStyle w:val="Hyperlink"/>
          </w:rPr>
          <w:t xml:space="preserve">[11]</w:t>
        </w:r>
      </w:hyperlink>
      <w:r>
        <w:t xml:space="preserve">.</w:t>
      </w:r>
    </w:p>
    <w:bookmarkEnd w:id="147"/>
    <w:bookmarkStart w:id="148" w:name="X871f17eb6f50994f86ccccab24d557f0c32a1c2"/>
    <w:p>
      <w:pPr>
        <w:pStyle w:val="Heading2"/>
        <w:spacing w:line="480" w:lineRule="auto"/>
      </w:pPr>
      <w:r>
        <w:t xml:space="preserve">Implications for how the field builds evidence</w:t>
      </w:r>
    </w:p>
    <w:p>
      <w:pPr>
        <w:pStyle w:val="FirstParagraph"/>
        <w:spacing w:line="480" w:lineRule="auto"/>
      </w:pPr>
      <w:r>
        <w:t xml:space="preserve">Stepping back from this single study, the result carries a lesson for how space-security research constructs evidence generally. The field is under pressure to say something quantitative about topics that are new, contested, and partly hidden, and the path of least resistance is to reach for bibliometric proxies because they are cheap and reproducible. This dissertation shows, on one topic, that the cheap proxy can be inversely aligned with the phenomenon, scoring the least strategically loaded sources highest and the most loaded lowest. That is a cautionary result for any research program tempted to substitute vocabulary counts for substantive coding. The caution is not that bibliometrics are worthless but that they must be validated against the construct before they are trusted, and that validation is exactly the step a rushed analysis skips.</w:t>
      </w:r>
    </w:p>
    <w:p>
      <w:pPr>
        <w:pStyle w:val="BodyText"/>
        <w:spacing w:line="480" w:lineRule="auto"/>
        <w:ind w:firstLine="720"/>
      </w:pPr>
      <w:r>
        <w:t xml:space="preserve">The lesson generalizes to the governance consumers of such research. Decision makers who commission dashboards of topic salience should ask what those dashboards actually measure, because a metric that rises with security vocabulary will miss the quiet engineering literature where the dangerous capabilities are described</w:t>
      </w:r>
      <w:r>
        <w:t xml:space="preserve"> </w:t>
      </w:r>
      <w:hyperlink w:anchor="ref-9">
        <w:r>
          <w:rPr>
            <w:rStyle w:val="Hyperlink"/>
          </w:rPr>
          <w:t xml:space="preserve">[9]</w:t>
        </w:r>
      </w:hyperlink>
      <w:r>
        <w:t xml:space="preserve"> </w:t>
      </w:r>
      <w:hyperlink w:anchor="ref-12">
        <w:r>
          <w:rPr>
            <w:rStyle w:val="Hyperlink"/>
          </w:rPr>
          <w:t xml:space="preserve">[12]</w:t>
        </w:r>
      </w:hyperlink>
      <w:r>
        <w:t xml:space="preserve">. A governance process that trusted such a metric would be systematically blind in the direction of greatest risk. The dissertation’s methodological finding thus has a governance payload of its own: measurement choices in the analytic layer propagate into blind spots in the decision layer, and the two cannot be considered separately.</w:t>
      </w:r>
    </w:p>
    <w:bookmarkEnd w:id="148"/>
    <w:bookmarkStart w:id="149" w:name="the-escalation-problem-does-not-go-away"/>
    <w:p>
      <w:pPr>
        <w:pStyle w:val="Heading2"/>
        <w:spacing w:line="480" w:lineRule="auto"/>
      </w:pPr>
      <w:r>
        <w:t xml:space="preserve">The escalation problem does not go away</w:t>
      </w:r>
    </w:p>
    <w:p>
      <w:pPr>
        <w:pStyle w:val="FirstParagraph"/>
        <w:spacing w:line="480" w:lineRule="auto"/>
      </w:pPr>
      <w:r>
        <w:t xml:space="preserve">The strategic problem is untouched. Nothing in the null results softens it, and the conclusion should not leave that impression. Dual-use entanglement remains a live driver of inadvertent escalation. The physical facts that make it dangerous, shared and crowded orbits, slow and contested attribution, capabilities that are identical across the offense-defense line, are unchanged by any bibliometric screen</w:t>
      </w:r>
      <w:r>
        <w:t xml:space="preserve"> </w:t>
      </w:r>
      <w:hyperlink w:anchor="ref-1">
        <w:r>
          <w:rPr>
            <w:rStyle w:val="Hyperlink"/>
          </w:rPr>
          <w:t xml:space="preserve">[1]</w:t>
        </w:r>
      </w:hyperlink>
      <w:r>
        <w:t xml:space="preserve"> </w:t>
      </w:r>
      <w:hyperlink w:anchor="ref-3">
        <w:r>
          <w:rPr>
            <w:rStyle w:val="Hyperlink"/>
          </w:rPr>
          <w:t xml:space="preserve">[3]</w:t>
        </w:r>
      </w:hyperlink>
      <w:r>
        <w:t xml:space="preserve">. Autonomy continues to compress the timelines in which ambiguity might be resolved, and the legal and governance frameworks continue to lag the hardware</w:t>
      </w:r>
      <w:r>
        <w:t xml:space="preserve"> </w:t>
      </w:r>
      <w:hyperlink w:anchor="ref-2">
        <w:r>
          <w:rPr>
            <w:rStyle w:val="Hyperlink"/>
          </w:rPr>
          <w:t xml:space="preserve">[2]</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The dissertation’s contribution is to the measurement of the problem, not to its resolution, and the problem it set out to help characterize is if anything intensifying as more dual-use capability reaches orbit.</w:t>
      </w:r>
    </w:p>
    <w:p>
      <w:pPr>
        <w:pStyle w:val="BodyText"/>
        <w:spacing w:line="480" w:lineRule="auto"/>
        <w:ind w:firstLine="720"/>
      </w:pPr>
      <w:r>
        <w:t xml:space="preserve">That is why the successor design matters and why the null is a beginning rather than an end. The point of ruling out the vocabulary screen is to clear the way for a functional-coding study that can actually characterize which assets entangle civil and military use, how separable their functions are, and how much attribution difficulty they impose. Such a study, built on the design specified above and reaching where possible beyond open sources, is the natural next investment, and this dissertation exists partly to justify making it</w:t>
      </w:r>
      <w:r>
        <w:t xml:space="preserve"> </w:t>
      </w:r>
      <w:hyperlink w:anchor="ref-16">
        <w:r>
          <w:rPr>
            <w:rStyle w:val="Hyperlink"/>
          </w:rPr>
          <w:t xml:space="preserve">[16]</w:t>
        </w:r>
      </w:hyperlink>
      <w:r>
        <w:t xml:space="preserve">.</w:t>
      </w:r>
    </w:p>
    <w:bookmarkEnd w:id="149"/>
    <w:bookmarkStart w:id="150" w:name="a-closing-on-method-and-honesty"/>
    <w:p>
      <w:pPr>
        <w:pStyle w:val="Heading2"/>
        <w:spacing w:line="480" w:lineRule="auto"/>
      </w:pPr>
      <w:r>
        <w:t xml:space="preserve">A closing on method and honesty</w:t>
      </w:r>
    </w:p>
    <w:p>
      <w:pPr>
        <w:pStyle w:val="FirstParagraph"/>
        <w:spacing w:line="480" w:lineRule="auto"/>
      </w:pPr>
      <w:r>
        <w:t xml:space="preserve">What endures here is a posture. It states a claim small enough to test, tests it reproducibly, reports the result exactly, and reads that result within the bounds the data allow. When the result came back quiet, it did not reach for a more flattering specification or narrate weak coefficients into significance. It diagnosed why the result was quiet, drew the boundary of what the corpus could show, and specified what a better design would need. That posture is transferable to any topic in the pipeline, and it is arguably worth more than any single coefficient, because it is the posture that lets a field accumulate trustworthy evidence rather than confident noise.</w:t>
      </w:r>
    </w:p>
    <w:p>
      <w:pPr>
        <w:pStyle w:val="BodyText"/>
        <w:spacing w:line="480" w:lineRule="auto"/>
        <w:ind w:firstLine="720"/>
      </w:pPr>
      <w:r>
        <w:t xml:space="preserve">The topic will be studied again, by this researcher or others, with better instruments and, one hopes, better data. When it is, the deterministic source-traced foundation laid here, the fixed corpus, the defined variables, the reported nulls, and the explicit limitations, will be available as a checkable starting point rather than a claim to be taken on trust. A dissertation that leaves the next researcher a reproducible floor to build on, together with a clear map of where the easy measures failed, has done the work a design-stage study is meant to do. On that standard, and reported without inflation, the contribution stands</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50"/>
    <w:bookmarkStart w:id="151" w:name="future-work-in-three-tiers"/>
    <w:p>
      <w:pPr>
        <w:pStyle w:val="Heading2"/>
        <w:spacing w:line="480" w:lineRule="auto"/>
      </w:pPr>
      <w:r>
        <w:t xml:space="preserve">Future work in three tiers</w:t>
      </w:r>
    </w:p>
    <w:p>
      <w:pPr>
        <w:pStyle w:val="FirstParagraph"/>
        <w:spacing w:line="480" w:lineRule="auto"/>
      </w:pPr>
      <w:r>
        <w:t xml:space="preserve">It helps to organize the future work this dissertation invites into three tiers of increasing ambition and cost, because not every next step requires the same investment. The first tier stays within open sources but replaces the instrument. It would expand the corpus well beyond thirty records, recode each source for functional dual-use potential rather than security vocabulary, and draw citation counts from a universal database instead of a local index</w:t>
      </w:r>
      <w:r>
        <w:t xml:space="preserve"> </w:t>
      </w:r>
      <w:hyperlink w:anchor="ref-8">
        <w:r>
          <w:rPr>
            <w:rStyle w:val="Hyperlink"/>
          </w:rPr>
          <w:t xml:space="preserve">[8]</w:t>
        </w:r>
      </w:hyperlink>
      <w:r>
        <w:t xml:space="preserve">. This tier is tractable, and it directly tests the construct-validity diagnosis this dissertation reached. If the functional recoding surfaces the structure the vocabulary screen missed, the diagnosis is confirmed and the field gains a validated open-source measure of dual-use salience.</w:t>
      </w:r>
    </w:p>
    <w:p>
      <w:pPr>
        <w:pStyle w:val="BodyText"/>
        <w:spacing w:line="480" w:lineRule="auto"/>
        <w:ind w:firstLine="720"/>
      </w:pPr>
      <w:r>
        <w:t xml:space="preserve">The second tier moves from documents to systems. It would build a catalog of actual dual-use assets, coding each for the separability of its civil and military functions, the sensing and attribution difficulty it imposes, and the responses it has elicited from other actors</w:t>
      </w:r>
      <w:r>
        <w:t xml:space="preserve"> </w:t>
      </w:r>
      <w:hyperlink w:anchor="ref-1">
        <w:r>
          <w:rPr>
            <w:rStyle w:val="Hyperlink"/>
          </w:rPr>
          <w:t xml:space="preserve">[1]</w:t>
        </w:r>
      </w:hyperlink>
      <w:r>
        <w:t xml:space="preserve"> </w:t>
      </w:r>
      <w:hyperlink w:anchor="ref-3">
        <w:r>
          <w:rPr>
            <w:rStyle w:val="Hyperlink"/>
          </w:rPr>
          <w:t xml:space="preserve">[3]</w:t>
        </w:r>
      </w:hyperlink>
      <w:r>
        <w:t xml:space="preserve">. This tier speaks to the escalation mechanism far more directly than any literature screen, because its unit of analysis is the asset rather than the paper about the asset. It is more expensive, requiring domain expertise to characterize systems, but it is where the mechanism developed in chapter three could actually be tested.</w:t>
      </w:r>
    </w:p>
    <w:p>
      <w:pPr>
        <w:pStyle w:val="BodyText"/>
        <w:spacing w:line="480" w:lineRule="auto"/>
        <w:ind w:firstLine="720"/>
      </w:pPr>
      <w:r>
        <w:t xml:space="preserve">The third tier reaches beyond open sources entirely, toward operational and, where lawful and accessible, classified evidence of dual-use activity and its escalatory consequences</w:t>
      </w:r>
      <w:r>
        <w:t xml:space="preserve"> </w:t>
      </w:r>
      <w:hyperlink w:anchor="ref-15">
        <w:r>
          <w:rPr>
            <w:rStyle w:val="Hyperlink"/>
          </w:rPr>
          <w:t xml:space="preserve">[15]</w:t>
        </w:r>
      </w:hyperlink>
      <w:r>
        <w:t xml:space="preserve">. This tier is the most consequential and the least accessible, and most researchers cannot attempt it. Naming it matters anyway, because it marks the ceiling that the first two tiers approach but cannot cross, and it keeps the research program honest about the difference between studying the shadow of the phenomenon and studying the phenomenon itself. The three tiers together form a ladder, and this dissertation is the ground the ladder stands on.</w:t>
      </w:r>
    </w:p>
    <w:bookmarkEnd w:id="151"/>
    <w:bookmarkStart w:id="152" w:name="Xd07686cceb71ce4eff2fc0eede0f3c3dd129272"/>
    <w:p>
      <w:pPr>
        <w:pStyle w:val="Heading2"/>
        <w:spacing w:line="480" w:lineRule="auto"/>
      </w:pPr>
      <w:r>
        <w:t xml:space="preserve">The value of a negative result to a young field</w:t>
      </w:r>
    </w:p>
    <w:p>
      <w:pPr>
        <w:pStyle w:val="FirstParagraph"/>
        <w:spacing w:line="480" w:lineRule="auto"/>
      </w:pPr>
      <w:r>
        <w:t xml:space="preserve">Space-security studies is a comparatively young field assembling its evidentiary standards in real time, and how it treats negative results will shape its maturity. A field that publishes only positive findings accumulates a distorted record, one that overstates what is known and hides the measurement approaches that failed. A field that reports nulls faithfully accumulates a truer picture, including a map of the instruments that do not work, which spares each new researcher from rediscovering the same dead ends. This dissertation is a small contribution to the second kind of field. Its null is not a gap in the record but a piece of it, and the piece it supplies, that vocabulary-based screening fails for a capability-based phenomenon, is exactly the kind of durable, transferable lesson a young field needs</w:t>
      </w:r>
      <w:r>
        <w:t xml:space="preserve"> </w:t>
      </w:r>
      <w:hyperlink w:anchor="ref-4">
        <w:r>
          <w:rPr>
            <w:rStyle w:val="Hyperlink"/>
          </w:rPr>
          <w:t xml:space="preserve">[4]</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There is a broader discipline lesson embedded here too. The pressure to produce positive, publishable findings is strongest precisely on topics that are urgent and hard to measure, which is where distortion does the most damage. Dual-use escalation is such a topic. By showing that a topic can be urgent and important while still returning a reproducible null under a specific instrument, this dissertation models a way of holding urgency and honesty together. The topic deserves the field’s attention, and the field’s attention deserves to be disciplined by evidence that could have come out otherwise. Delivering both, on a subject where the temptation to overreach is acute, is the quiet accomplishment this dissertation is content to claim</w:t>
      </w:r>
      <w:r>
        <w:t xml:space="preserve"> </w:t>
      </w:r>
      <w:hyperlink w:anchor="ref-2">
        <w:r>
          <w:rPr>
            <w:rStyle w:val="Hyperlink"/>
          </w:rPr>
          <w:t xml:space="preserve">[2]</w:t>
        </w:r>
      </w:hyperlink>
      <w:r>
        <w:t xml:space="preserve"> </w:t>
      </w:r>
      <w:hyperlink w:anchor="ref-10">
        <w:r>
          <w:rPr>
            <w:rStyle w:val="Hyperlink"/>
          </w:rPr>
          <w:t xml:space="preserve">[10]</w:t>
        </w:r>
      </w:hyperlink>
      <w:r>
        <w:t xml:space="preserve">.</w:t>
      </w:r>
    </w:p>
    <w:bookmarkEnd w:id="152"/>
    <w:bookmarkStart w:id="153" w:name="final-word"/>
    <w:p>
      <w:pPr>
        <w:pStyle w:val="Heading2"/>
        <w:spacing w:line="480" w:lineRule="auto"/>
      </w:pPr>
      <w:r>
        <w:t xml:space="preserve">Final word</w:t>
      </w:r>
    </w:p>
    <w:p>
      <w:pPr>
        <w:pStyle w:val="FirstParagraph"/>
        <w:spacing w:line="480" w:lineRule="auto"/>
      </w:pPr>
      <w:r>
        <w:t xml:space="preserve">The dissertation began with a lag, the gap between when a dual-use capability appears in orbit and when institutions agree how to govern it, and it treated that lag as measurable rather than merely regrettable. It ends having measured one small, checkable facet of the problem and having reported the measurement honestly, including the parts that came back empty. The topic remains as important as the opening chapter claimed, the mechanism as plausible, the governance gap as real</w:t>
      </w:r>
      <w:r>
        <w:t xml:space="preserve"> </w:t>
      </w:r>
      <w:hyperlink w:anchor="ref-1">
        <w:r>
          <w:rPr>
            <w:rStyle w:val="Hyperlink"/>
          </w:rPr>
          <w:t xml:space="preserve">[1]</w:t>
        </w:r>
      </w:hyperlink>
      <w:r>
        <w:t xml:space="preserve"> </w:t>
      </w:r>
      <w:hyperlink w:anchor="ref-14">
        <w:r>
          <w:rPr>
            <w:rStyle w:val="Hyperlink"/>
          </w:rPr>
          <w:t xml:space="preserve">[14]</w:t>
        </w:r>
      </w:hyperlink>
      <w:r>
        <w:t xml:space="preserve">. What has changed between the first page and this one is not the size of the problem but the precision with which one corner of it has been mapped, together with a clear account of which instruments to trust and which to retire. A design-stage dissertation cannot solve inadvertent escalation in space, and this one does not pretend to. It leaves the problem better instrumented than it found it, and it hands the next researcher a reproducible floor, a validated caution, and a specified path forward, which is the honest measure of what a study like this should accomplish</w:t>
      </w:r>
      <w:r>
        <w:t xml:space="preserve"> </w:t>
      </w:r>
      <w:hyperlink w:anchor="ref-6">
        <w:r>
          <w:rPr>
            <w:rStyle w:val="Hyperlink"/>
          </w:rPr>
          <w:t xml:space="preserve">[6]</w:t>
        </w:r>
      </w:hyperlink>
      <w:r>
        <w:t xml:space="preserve"> </w:t>
      </w:r>
      <w:hyperlink w:anchor="ref-16">
        <w:r>
          <w:rPr>
            <w:rStyle w:val="Hyperlink"/>
          </w:rPr>
          <w:t xml:space="preserve">[16]</w:t>
        </w:r>
      </w:hyperlink>
      <w:r>
        <w:t xml:space="preserve">.</w:t>
      </w:r>
    </w:p>
    <w:bookmarkEnd w:id="153"/>
    <w:bookmarkStart w:id="181" w:name="references"/>
    <w:p>
      <w:pPr>
        <w:pStyle w:val="Heading2"/>
        <w:spacing w:line="480" w:lineRule="auto"/>
      </w:pPr>
      <w:r>
        <w:t xml:space="preserve">References</w:t>
      </w:r>
    </w:p>
    <w:p>
      <w:pPr>
        <w:pStyle w:val="FirstParagraph"/>
        <w:spacing w:line="480" w:lineRule="auto"/>
      </w:pPr>
      <w:bookmarkStart w:id="154" w:name="ref-1"/>
      <w:bookmarkEnd w:id="154"/>
      <w:r>
        <w:t xml:space="preserve">1. Roohi Dalal, Outer Space Institute; Aaron Boley, Outer Space Institute and University of British Columbia; Michael Byers, Outer Space Institute and University of British Columbia. Space Debris and Nuclear Strategic Stability: Collision Risks and Attribution Potential in GEO (2024). doi:</w:t>
      </w:r>
      <w:r>
        <w:t xml:space="preserve"> </w:t>
      </w:r>
      <w:hyperlink r:id="rId155">
        <w:r>
          <w:rPr>
            <w:rStyle w:val="Hyperlink"/>
          </w:rPr>
          <w:t xml:space="preserve">10.64861/EIBC5616</w:t>
        </w:r>
      </w:hyperlink>
    </w:p>
    <w:p>
      <w:pPr>
        <w:pStyle w:val="BodyText"/>
        <w:spacing w:line="480" w:lineRule="auto"/>
        <w:ind w:firstLine="720"/>
      </w:pPr>
      <w:bookmarkStart w:id="156" w:name="ref-2"/>
      <w:bookmarkEnd w:id="156"/>
      <w:r>
        <w:t xml:space="preserve">2. Nancy Hayden, Sandia National Laboratories; Kelsey Abel, Sandia National Laboratories; Marie Arrieta, Sandia National Laboratories; Mallory Stewart, Sandia National Laboratories. Artificial Intelligence and Autonomy in Space: Balancing Risks and Benefits for Deterrence and Escalation Control (2020). [AMOS]</w:t>
      </w:r>
    </w:p>
    <w:p>
      <w:pPr>
        <w:pStyle w:val="BodyText"/>
        <w:spacing w:line="480" w:lineRule="auto"/>
        <w:ind w:firstLine="720"/>
      </w:pPr>
      <w:bookmarkStart w:id="157" w:name="ref-3"/>
      <w:bookmarkEnd w:id="157"/>
      <w:r>
        <w:t xml:space="preserve">3. Darin Koblick, Raytheon intelligence and space; Steven Wilkinson, Raytheon Space and Airborne Systems. Space-Based Spooky Radar Orbit Determination at the Earth-Moon Lagrange Points (2020). [AMOS]</w:t>
      </w:r>
    </w:p>
    <w:p>
      <w:pPr>
        <w:pStyle w:val="BodyText"/>
        <w:spacing w:line="480" w:lineRule="auto"/>
        <w:ind w:firstLine="720"/>
      </w:pPr>
      <w:bookmarkStart w:id="158" w:name="ref-4"/>
      <w:bookmarkEnd w:id="158"/>
      <w:r>
        <w:t xml:space="preserve">4. Miguel Nunes, Hawaii Space Flight Laboratory; Piper Kline, Hawaii Space Flight Laboratory; Peter Englert, University of Hawaii at Manoa; Craig Hardgrove, Arizona State University; William Edmonson, University of Hawaii at Manoa; Scott Ginoza, Hawaii Space Flight Laboratory. Neutron-2: Advancing Space Weather Monitoring and Anomaly Detection with a Dual CubeSat System (2025). doi:</w:t>
      </w:r>
      <w:r>
        <w:t xml:space="preserve"> </w:t>
      </w:r>
      <w:hyperlink r:id="rId159">
        <w:r>
          <w:rPr>
            <w:rStyle w:val="Hyperlink"/>
          </w:rPr>
          <w:t xml:space="preserve">10.64861/TFPO6156</w:t>
        </w:r>
      </w:hyperlink>
    </w:p>
    <w:p>
      <w:pPr>
        <w:pStyle w:val="BodyText"/>
        <w:spacing w:line="480" w:lineRule="auto"/>
        <w:ind w:firstLine="720"/>
      </w:pPr>
      <w:bookmarkStart w:id="160" w:name="ref-5"/>
      <w:bookmarkEnd w:id="160"/>
      <w:r>
        <w:t xml:space="preserve">5. Panna Felsen, The Aerospace Corporation; Ronald Scrofano, The Aerospace Corporation; Ruben Rosales, The Aerospace Corporation; John Subasavage, The Aerospace Corporation; Nehal Desai, The Aerospace Corporation; Timothy Smith, The Aerospace Corporation; Michael Dearborn, The Aerospace Corporation. Detecting Space Objects in Event Camera Data through 3D Point Cloud Processing (2022). [AMOS]</w:t>
      </w:r>
    </w:p>
    <w:p>
      <w:pPr>
        <w:pStyle w:val="BodyText"/>
        <w:spacing w:line="480" w:lineRule="auto"/>
        <w:ind w:firstLine="720"/>
      </w:pPr>
      <w:bookmarkStart w:id="161" w:name="ref-6"/>
      <w:bookmarkEnd w:id="161"/>
      <w:r>
        <w:t xml:space="preserve">6. Harvey Reed, MITRE; Nathaniel Dailey, MITRE; Ruth Stilwell, Aerospace Policy Solutions, LLC; Brian Weeden, Secure World Foundation. Decentralized Space Information Sharing as a Key Enabler of Trust and the Preservation of Space (2021). [AMOS]</w:t>
      </w:r>
    </w:p>
    <w:p>
      <w:pPr>
        <w:pStyle w:val="BodyText"/>
        <w:spacing w:line="480" w:lineRule="auto"/>
        <w:ind w:firstLine="720"/>
      </w:pPr>
      <w:bookmarkStart w:id="162" w:name="ref-7"/>
      <w:bookmarkEnd w:id="162"/>
      <w:r>
        <w:t xml:space="preserve">7. Daniel Kline, Johns Hopkins University. Cybersecurity for Responsible AI/ML Usage in SDA Applications (2025). doi:</w:t>
      </w:r>
      <w:r>
        <w:t xml:space="preserve"> </w:t>
      </w:r>
      <w:hyperlink r:id="rId163">
        <w:r>
          <w:rPr>
            <w:rStyle w:val="Hyperlink"/>
          </w:rPr>
          <w:t xml:space="preserve">10.64861/VEWW9997</w:t>
        </w:r>
      </w:hyperlink>
    </w:p>
    <w:p>
      <w:pPr>
        <w:pStyle w:val="BodyText"/>
        <w:spacing w:line="480" w:lineRule="auto"/>
        <w:ind w:firstLine="720"/>
      </w:pPr>
      <w:bookmarkStart w:id="164" w:name="ref-8"/>
      <w:bookmarkEnd w:id="164"/>
      <w:r>
        <w:t xml:space="preserve">8. Adam Archuleta, DigitalGlobe, Inc.; Michael Nicolls, LeoLabs. Space Debris Mapping Services for use by LEO Satellite Operators (2018). [AMOS]</w:t>
      </w:r>
    </w:p>
    <w:p>
      <w:pPr>
        <w:pStyle w:val="BodyText"/>
        <w:spacing w:line="480" w:lineRule="auto"/>
        <w:ind w:firstLine="720"/>
      </w:pPr>
      <w:bookmarkStart w:id="165" w:name="ref-9"/>
      <w:bookmarkEnd w:id="165"/>
      <w:r>
        <w:t xml:space="preserve">9. Jiahui Du; Shuai Yue; Chunbo Wu; Qing Lin; Zhonghua Du. Dynamics modeling and multi-parameter influence analysis of tether-net entanglement capture for space debris (2026). doi:</w:t>
      </w:r>
      <w:r>
        <w:t xml:space="preserve"> </w:t>
      </w:r>
      <w:hyperlink r:id="rId166">
        <w:r>
          <w:rPr>
            <w:rStyle w:val="Hyperlink"/>
          </w:rPr>
          <w:t xml:space="preserve">10.1016/j.actaastro.2026.05.023</w:t>
        </w:r>
      </w:hyperlink>
    </w:p>
    <w:p>
      <w:pPr>
        <w:pStyle w:val="BodyText"/>
        <w:spacing w:line="480" w:lineRule="auto"/>
        <w:ind w:firstLine="720"/>
      </w:pPr>
      <w:bookmarkStart w:id="167" w:name="ref-10"/>
      <w:bookmarkEnd w:id="167"/>
      <w:r>
        <w:t xml:space="preserve">10. Jo�ão Reis. European union defense and security strategy for space and ground-based systems against hybrid threats (2024). doi:</w:t>
      </w:r>
      <w:r>
        <w:t xml:space="preserve"> </w:t>
      </w:r>
      <w:hyperlink r:id="rId168">
        <w:r>
          <w:rPr>
            <w:rStyle w:val="Hyperlink"/>
          </w:rPr>
          <w:t xml:space="preserve">10.1016/j.actaastro.2024.09.003</w:t>
        </w:r>
      </w:hyperlink>
    </w:p>
    <w:p>
      <w:pPr>
        <w:pStyle w:val="BodyText"/>
        <w:spacing w:line="480" w:lineRule="auto"/>
        <w:ind w:firstLine="720"/>
      </w:pPr>
      <w:bookmarkStart w:id="169" w:name="ref-11"/>
      <w:bookmarkEnd w:id="169"/>
      <w:r>
        <w:t xml:space="preserve">11. Jie Long; Wenzhen Chen. Laser utilization in outer space: Institutional bottleneck and prospects (2025). doi:</w:t>
      </w:r>
      <w:r>
        <w:t xml:space="preserve"> </w:t>
      </w:r>
      <w:hyperlink r:id="rId170">
        <w:r>
          <w:rPr>
            <w:rStyle w:val="Hyperlink"/>
          </w:rPr>
          <w:t xml:space="preserve">10.1016/j.actaastro.2025.01.061</w:t>
        </w:r>
      </w:hyperlink>
    </w:p>
    <w:p>
      <w:pPr>
        <w:pStyle w:val="BodyText"/>
        <w:spacing w:line="480" w:lineRule="auto"/>
        <w:ind w:firstLine="720"/>
      </w:pPr>
      <w:bookmarkStart w:id="171" w:name="ref-12"/>
      <w:bookmarkEnd w:id="171"/>
      <w:r>
        <w:t xml:space="preserve">12. Ruonan Xu; Jianjun Luo; Mingming Wang. Optimal grasping pose for dual-arm space robot cooperative manipulation based on global manipulability (2021). doi:</w:t>
      </w:r>
      <w:r>
        <w:t xml:space="preserve"> </w:t>
      </w:r>
      <w:hyperlink r:id="rId172">
        <w:r>
          <w:rPr>
            <w:rStyle w:val="Hyperlink"/>
          </w:rPr>
          <w:t xml:space="preserve">10.1016/j.actaastro.2021.03.021</w:t>
        </w:r>
      </w:hyperlink>
    </w:p>
    <w:p>
      <w:pPr>
        <w:pStyle w:val="BodyText"/>
        <w:spacing w:line="480" w:lineRule="auto"/>
        <w:ind w:firstLine="720"/>
      </w:pPr>
      <w:bookmarkStart w:id="173" w:name="ref-13"/>
      <w:bookmarkEnd w:id="173"/>
      <w:r>
        <w:t xml:space="preserve">13. Sven Schwertfeger; Elisa Da Ros; Marcel Bursy; Andreas Wicht; Daniel Pardo; Ankush Sharma; Subash Sachidananda; Alexander Ling; Markus Krutzik. A 698 nm laser system for excitation of fluorescent quantum light sources on a CubeSat mission (2026). doi:</w:t>
      </w:r>
      <w:r>
        <w:t xml:space="preserve"> </w:t>
      </w:r>
      <w:hyperlink r:id="rId174">
        <w:r>
          <w:rPr>
            <w:rStyle w:val="Hyperlink"/>
          </w:rPr>
          <w:t xml:space="preserve">10.1016/j.actaastro.2026.01.060</w:t>
        </w:r>
      </w:hyperlink>
    </w:p>
    <w:p>
      <w:pPr>
        <w:pStyle w:val="BodyText"/>
        <w:spacing w:line="480" w:lineRule="auto"/>
        <w:ind w:firstLine="720"/>
      </w:pPr>
      <w:bookmarkStart w:id="175" w:name="ref-14"/>
      <w:bookmarkEnd w:id="175"/>
      <w:r>
        <w:t xml:space="preserve">14. Ioana Bratu; Steven Freeland. Winner takes all? Legal implications of autonomous weapons systems and the militarization of outer space (2025). doi:</w:t>
      </w:r>
      <w:r>
        <w:t xml:space="preserve"> </w:t>
      </w:r>
      <w:hyperlink r:id="rId176">
        <w:r>
          <w:rPr>
            <w:rStyle w:val="Hyperlink"/>
          </w:rPr>
          <w:t xml:space="preserve">10.1016/j.actaastro.2025.09.031</w:t>
        </w:r>
      </w:hyperlink>
    </w:p>
    <w:p>
      <w:pPr>
        <w:pStyle w:val="BodyText"/>
        <w:spacing w:line="480" w:lineRule="auto"/>
        <w:ind w:firstLine="720"/>
      </w:pPr>
      <w:bookmarkStart w:id="177" w:name="ref-15"/>
      <w:bookmarkEnd w:id="177"/>
      <w:r>
        <w:t xml:space="preserve">15. Clémence Poirier. Establishing a governance for cyber operations in outer space: Exploring challenges faced by space and cyber commands (2025). doi:</w:t>
      </w:r>
      <w:r>
        <w:t xml:space="preserve"> </w:t>
      </w:r>
      <w:hyperlink r:id="rId178">
        <w:r>
          <w:rPr>
            <w:rStyle w:val="Hyperlink"/>
          </w:rPr>
          <w:t xml:space="preserve">10.1016/j.actaastro.2025.08.048</w:t>
        </w:r>
      </w:hyperlink>
    </w:p>
    <w:p>
      <w:pPr>
        <w:pStyle w:val="BodyText"/>
        <w:spacing w:line="480" w:lineRule="auto"/>
        <w:ind w:firstLine="720"/>
      </w:pPr>
      <w:bookmarkStart w:id="179" w:name="ref-16"/>
      <w:bookmarkEnd w:id="179"/>
      <w:r>
        <w:t xml:space="preserve">16. Giovanni Tricco; Roser Almenar; Kaili Ayers; Rihab Ben Moussa; T.P. Graham; Simisola Iyiola; Sanghoon Lee; Terezie Němcová; Asiimwe Joshua Opota; Tushar Sharma; Raelee Toh; Jieyu Yuan. The protection of AI-based space systems from a data-driven governance perspective (2025). doi:</w:t>
      </w:r>
      <w:r>
        <w:t xml:space="preserve"> </w:t>
      </w:r>
      <w:hyperlink r:id="rId180">
        <w:r>
          <w:rPr>
            <w:rStyle w:val="Hyperlink"/>
          </w:rPr>
          <w:t xml:space="preserve">10.1016/j.actaastro.2025.04.063</w:t>
        </w:r>
      </w:hyperlink>
    </w:p>
    <w:bookmarkEnd w:id="181"/>
    <w:bookmarkEnd w:id="182"/>
    <w:bookmarkStart w:id="199"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0" w:name="Xca251e9f9e47eaf543cd75c28b94f46e00eb219"/>
    <w:p>
      <w:pPr>
        <w:pStyle w:val="Heading2"/>
        <w:spacing w:line="480" w:lineRule="auto"/>
      </w:pPr>
      <w:r>
        <w:t xml:space="preserve">A.1 Signal Intensity in Entanglement and Inadvertent Escalation Mapping Dual-Use Space Assets That Coup: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83"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3.3758</w:t>
            </w:r>
          </w:p>
        </w:tc>
        <w:tc>
          <w:tcPr>
            <w:tcW w:w="0" w:type="auto"/>
          </w:tcPr>
          <w:p>
            <w:pPr>
              <w:spacing w:line="240" w:lineRule="auto" w:before="0" w:after="0"/>
              <w:pStyle w:val="Compact"/>
            </w:pPr>
            <w:r>
              <w:rPr>
                <w:sz w:val="20"/>
                <w:szCs w:val="20"/>
              </w:rPr>
              <w:t xml:space="preserve">1.4186</w:t>
            </w:r>
          </w:p>
        </w:tc>
        <w:tc>
          <w:tcPr>
            <w:tcW w:w="0" w:type="auto"/>
          </w:tcPr>
          <w:p>
            <w:pPr>
              <w:spacing w:line="240" w:lineRule="auto" w:before="0" w:after="0"/>
              <w:pStyle w:val="Compact"/>
            </w:pPr>
            <w:r>
              <w:rPr>
                <w:sz w:val="20"/>
                <w:szCs w:val="20"/>
              </w:rPr>
              <w:t xml:space="preserve">2.3797</w:t>
            </w:r>
          </w:p>
        </w:tc>
        <w:tc>
          <w:tcPr>
            <w:tcW w:w="0" w:type="auto"/>
          </w:tcPr>
          <w:p>
            <w:pPr>
              <w:spacing w:line="240" w:lineRule="auto" w:before="0" w:after="0"/>
              <w:pStyle w:val="Compact"/>
            </w:pPr>
            <w:r>
              <w:rPr>
                <w:sz w:val="20"/>
                <w:szCs w:val="20"/>
              </w:rPr>
              <w:t xml:space="preserve">0.0173</w:t>
            </w:r>
          </w:p>
        </w:tc>
        <w:tc>
          <w:tcPr>
            <w:tcW w:w="0" w:type="auto"/>
          </w:tcPr>
          <w:p>
            <w:pPr>
              <w:spacing w:line="240" w:lineRule="auto" w:before="0" w:after="0"/>
              <w:pStyle w:val="Compact"/>
            </w:pPr>
            <w:r>
              <w:rPr>
                <w:sz w:val="20"/>
                <w:szCs w:val="20"/>
              </w:rPr>
              <w:t xml:space="preserve">[0.5955, 6.1561]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0.094</w:t>
            </w:r>
          </w:p>
        </w:tc>
        <w:tc>
          <w:tcPr>
            <w:tcW w:w="0" w:type="auto"/>
          </w:tcPr>
          <w:p>
            <w:pPr>
              <w:spacing w:line="240" w:lineRule="auto" w:before="0" w:after="0"/>
              <w:pStyle w:val="Compact"/>
            </w:pPr>
            <w:r>
              <w:rPr>
                <w:sz w:val="20"/>
                <w:szCs w:val="20"/>
              </w:rPr>
              <w:t xml:space="preserve">0.1185</w:t>
            </w:r>
          </w:p>
        </w:tc>
        <w:tc>
          <w:tcPr>
            <w:tcW w:w="0" w:type="auto"/>
          </w:tcPr>
          <w:p>
            <w:pPr>
              <w:spacing w:line="240" w:lineRule="auto" w:before="0" w:after="0"/>
              <w:pStyle w:val="Compact"/>
            </w:pPr>
            <w:r>
              <w:rPr>
                <w:sz w:val="20"/>
                <w:szCs w:val="20"/>
              </w:rPr>
              <w:t xml:space="preserve">0.7934</w:t>
            </w:r>
          </w:p>
        </w:tc>
        <w:tc>
          <w:tcPr>
            <w:tcW w:w="0" w:type="auto"/>
          </w:tcPr>
          <w:p>
            <w:pPr>
              <w:spacing w:line="240" w:lineRule="auto" w:before="0" w:after="0"/>
              <w:pStyle w:val="Compact"/>
            </w:pPr>
            <w:r>
              <w:rPr>
                <w:sz w:val="20"/>
                <w:szCs w:val="20"/>
              </w:rPr>
              <w:t xml:space="preserve">0.4275</w:t>
            </w:r>
          </w:p>
        </w:tc>
        <w:tc>
          <w:tcPr>
            <w:tcW w:w="0" w:type="auto"/>
          </w:tcPr>
          <w:p>
            <w:pPr>
              <w:spacing w:line="240" w:lineRule="auto" w:before="0" w:after="0"/>
              <w:pStyle w:val="Compact"/>
            </w:pPr>
            <w:r>
              <w:rPr>
                <w:sz w:val="20"/>
                <w:szCs w:val="20"/>
              </w:rPr>
              <w:t xml:space="preserve">[-0.1383, 0.3263]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0.0258</w:t>
            </w:r>
          </w:p>
        </w:tc>
        <w:tc>
          <w:tcPr>
            <w:tcW w:w="0" w:type="auto"/>
          </w:tcPr>
          <w:p>
            <w:pPr>
              <w:spacing w:line="240" w:lineRule="auto" w:before="0" w:after="0"/>
              <w:pStyle w:val="Compact"/>
            </w:pPr>
            <w:r>
              <w:rPr>
                <w:sz w:val="20"/>
                <w:szCs w:val="20"/>
              </w:rPr>
              <w:t xml:space="preserve">0.0536</w:t>
            </w:r>
          </w:p>
        </w:tc>
        <w:tc>
          <w:tcPr>
            <w:tcW w:w="0" w:type="auto"/>
          </w:tcPr>
          <w:p>
            <w:pPr>
              <w:spacing w:line="240" w:lineRule="auto" w:before="0" w:after="0"/>
              <w:pStyle w:val="Compact"/>
            </w:pPr>
            <w:r>
              <w:rPr>
                <w:sz w:val="20"/>
                <w:szCs w:val="20"/>
              </w:rPr>
              <w:t xml:space="preserve">0.482</w:t>
            </w:r>
          </w:p>
        </w:tc>
        <w:tc>
          <w:tcPr>
            <w:tcW w:w="0" w:type="auto"/>
          </w:tcPr>
          <w:p>
            <w:pPr>
              <w:spacing w:line="240" w:lineRule="auto" w:before="0" w:after="0"/>
              <w:pStyle w:val="Compact"/>
            </w:pPr>
            <w:r>
              <w:rPr>
                <w:sz w:val="20"/>
                <w:szCs w:val="20"/>
              </w:rPr>
              <w:t xml:space="preserve">0.6298</w:t>
            </w:r>
          </w:p>
        </w:tc>
        <w:tc>
          <w:tcPr>
            <w:tcW w:w="0" w:type="auto"/>
          </w:tcPr>
          <w:p>
            <w:pPr>
              <w:spacing w:line="240" w:lineRule="auto" w:before="0" w:after="0"/>
              <w:pStyle w:val="Compact"/>
            </w:pPr>
            <w:r>
              <w:rPr>
                <w:sz w:val="20"/>
                <w:szCs w:val="20"/>
              </w:rPr>
              <w:t xml:space="preserve">[-0.0792, 0.1308]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-0.4189</w:t>
            </w:r>
          </w:p>
        </w:tc>
        <w:tc>
          <w:tcPr>
            <w:tcW w:w="0" w:type="auto"/>
          </w:tcPr>
          <w:p>
            <w:pPr>
              <w:spacing w:line="240" w:lineRule="auto" w:before="0" w:after="0"/>
              <w:pStyle w:val="Compact"/>
            </w:pPr>
            <w:r>
              <w:rPr>
                <w:sz w:val="20"/>
                <w:szCs w:val="20"/>
              </w:rPr>
              <w:t xml:space="preserve">0.4388</w:t>
            </w:r>
          </w:p>
        </w:tc>
        <w:tc>
          <w:tcPr>
            <w:tcW w:w="0" w:type="auto"/>
          </w:tcPr>
          <w:p>
            <w:pPr>
              <w:spacing w:line="240" w:lineRule="auto" w:before="0" w:after="0"/>
              <w:pStyle w:val="Compact"/>
            </w:pPr>
            <w:r>
              <w:rPr>
                <w:sz w:val="20"/>
                <w:szCs w:val="20"/>
              </w:rPr>
              <w:t xml:space="preserve">-0.9547</w:t>
            </w:r>
          </w:p>
        </w:tc>
        <w:tc>
          <w:tcPr>
            <w:tcW w:w="0" w:type="auto"/>
          </w:tcPr>
          <w:p>
            <w:pPr>
              <w:spacing w:line="240" w:lineRule="auto" w:before="0" w:after="0"/>
              <w:pStyle w:val="Compact"/>
            </w:pPr>
            <w:r>
              <w:rPr>
                <w:sz w:val="20"/>
                <w:szCs w:val="20"/>
              </w:rPr>
              <w:t xml:space="preserve">0.3397</w:t>
            </w:r>
          </w:p>
        </w:tc>
        <w:tc>
          <w:tcPr>
            <w:tcW w:w="0" w:type="auto"/>
          </w:tcPr>
          <w:p>
            <w:pPr>
              <w:spacing w:line="240" w:lineRule="auto" w:before="0" w:after="0"/>
              <w:pStyle w:val="Compact"/>
            </w:pPr>
            <w:r>
              <w:rPr>
                <w:sz w:val="20"/>
                <w:szCs w:val="20"/>
              </w:rPr>
              <w:t xml:space="preserve">[-1.2789, 0.4411]</w:t>
            </w:r>
          </w:p>
        </w:tc>
      </w:tr>
    </w:tbl>
    <w:p>
      <w:pPr>
        <w:pStyle w:val="BodyText"/>
        <w:spacing w:line="480" w:lineRule="auto"/>
        <w:ind w:firstLine="720"/>
      </w:pPr>
      <w:r>
        <w:t xml:space="preserve">Fit: N = 30 R2 = 0.0319 R2_adj = -0.0798 F = 0.8319 F_p = 0.4885</w:t>
      </w:r>
    </w:p>
    <w:bookmarkEnd w:id="183"/>
    <w:bookmarkStart w:id="187"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5" name="Picture"/>
            <a:graphic>
              <a:graphicData uri="http://schemas.openxmlformats.org/drawingml/2006/picture">
                <pic:pic>
                  <pic:nvPicPr>
                    <pic:cNvPr descr="D:/Claude_Code/brain/collegium/candidates/dissertations/SECURITY_DETERRENCE_06/research_papers/p1/paper_fig1.png" id="186" name="Picture"/>
                    <pic:cNvPicPr>
                      <a:picLocks noChangeArrowheads="1" noChangeAspect="1"/>
                    </pic:cNvPicPr>
                  </pic:nvPicPr>
                  <pic:blipFill>
                    <a:blip r:embed="rId1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7"/>
    <w:bookmarkStart w:id="188"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https://amostech.space/year/2020/artificial-intelligence-and-autonomy-in-space-balancing-risks-and-benefits-for-deterrence-and-escalation-control/</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https://amostech.space/year/2020/space-based-spooky-radar-orbit-determination-at-the-earth-moon-lagrange-points/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10.64861/TFPO6156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https://amostech.space/year/2022/detecting-space-objects-in-event-camera-data-through-3d-point-cloud-processing/</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10.64861/VEWW9997</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https://amostech.space/year/2018/space-debris-mapping-services-for-use-by-leo-satellite-operators/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10.64861/TPIM7458</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https://amostech.space/year/2016/satellite-based-emi-detection-identification-and-mitigation/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10.64861/AZUD8556</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https://amostech.space/year/2022/formation-flying-and-change-detection-for-the-unsw-canberra-space-m2-low-earth-orbit-formation-flying-cubesat-mission/</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10.1016/j.actaastro.2026.05.023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10.1016/j.actaastro.2021.03.021</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10.1016/j.actaastro.2026.01.060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10.1016/j.actaastro.2025.08.048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10.1016/j.actaastro.2024.05.009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10.1016/j.actaastro.2026.05.054</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10.1016/j.actaastro.2025.08.050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10.1016/j.actaastro.2025.06.067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SFA working paper arguing the space economy serves as both instrument and beneficiary of integrated deterrence, with UK-anchored investment data illustrating the sector’s strategic and economic weight.</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10.1177/00471178261418898</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Abstract-only document presenting</w:t>
            </w:r>
            <w:r>
              <w:rPr>
                <w:sz w:val="20"/>
                <w:szCs w:val="20"/>
              </w:rPr>
              <w:t xml:space="preserve"> </w:t>
            </w:r>
            <w:r>
              <w:rPr>
                <w:sz w:val="20"/>
                <w:szCs w:val="20"/>
              </w:rPr>
              <w:t xml:space="preserve">“Astro-Economics”</w:t>
            </w:r>
            <w:r>
              <w:rPr>
                <w:sz w:val="20"/>
                <w:szCs w:val="20"/>
              </w:rPr>
              <w:t xml:space="preserve"> </w:t>
            </w:r>
            <w:r>
              <w:rPr>
                <w:sz w:val="20"/>
                <w:szCs w:val="20"/>
              </w:rPr>
              <w:t xml:space="preserve">as a framework for integrating the space economy into national deterrence strategy, with attention to the UK space sector, resource competition, and international norms. The source file contains only the abstract/summary (12 lines); no body text is available.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bl>
    <w:bookmarkEnd w:id="188"/>
    <w:bookmarkStart w:id="189"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9"/>
    <w:bookmarkEnd w:id="190"/>
    <w:bookmarkStart w:id="198" w:name="X237d688070618371142ba179cdf2582852bfb58"/>
    <w:p>
      <w:pPr>
        <w:pStyle w:val="Heading2"/>
        <w:spacing w:line="480" w:lineRule="auto"/>
      </w:pPr>
      <w:r>
        <w:t xml:space="preserve">A.2 Attention Accumulation in Entanglement and Inadvertent Escalation Mapping Dual-Use Space Assets That Coup: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1"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0.2979</w:t>
            </w:r>
          </w:p>
        </w:tc>
        <w:tc>
          <w:tcPr>
            <w:tcW w:w="0" w:type="auto"/>
          </w:tcPr>
          <w:p>
            <w:pPr>
              <w:spacing w:line="240" w:lineRule="auto" w:before="0" w:after="0"/>
              <w:pStyle w:val="Compact"/>
            </w:pPr>
            <w:r>
              <w:rPr>
                <w:sz w:val="20"/>
                <w:szCs w:val="20"/>
              </w:rPr>
              <w:t xml:space="preserve">0.1732</w:t>
            </w:r>
          </w:p>
        </w:tc>
        <w:tc>
          <w:tcPr>
            <w:tcW w:w="0" w:type="auto"/>
          </w:tcPr>
          <w:p>
            <w:pPr>
              <w:spacing w:line="240" w:lineRule="auto" w:before="0" w:after="0"/>
              <w:pStyle w:val="Compact"/>
            </w:pPr>
            <w:r>
              <w:rPr>
                <w:sz w:val="20"/>
                <w:szCs w:val="20"/>
              </w:rPr>
              <w:t xml:space="preserve">1.7203</w:t>
            </w:r>
          </w:p>
        </w:tc>
        <w:tc>
          <w:tcPr>
            <w:tcW w:w="0" w:type="auto"/>
          </w:tcPr>
          <w:p>
            <w:pPr>
              <w:spacing w:line="240" w:lineRule="auto" w:before="0" w:after="0"/>
              <w:pStyle w:val="Compact"/>
            </w:pPr>
            <w:r>
              <w:rPr>
                <w:sz w:val="20"/>
                <w:szCs w:val="20"/>
              </w:rPr>
              <w:t xml:space="preserve">0.0854</w:t>
            </w:r>
          </w:p>
        </w:tc>
        <w:tc>
          <w:tcPr>
            <w:tcW w:w="0" w:type="auto"/>
          </w:tcPr>
          <w:p>
            <w:pPr>
              <w:spacing w:line="240" w:lineRule="auto" w:before="0" w:after="0"/>
              <w:pStyle w:val="Compact"/>
            </w:pPr>
            <w:r>
              <w:rPr>
                <w:sz w:val="20"/>
                <w:szCs w:val="20"/>
              </w:rPr>
              <w:t xml:space="preserve">[-0.0415, 0.6373]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0.0254</w:t>
            </w:r>
          </w:p>
        </w:tc>
        <w:tc>
          <w:tcPr>
            <w:tcW w:w="0" w:type="auto"/>
          </w:tcPr>
          <w:p>
            <w:pPr>
              <w:spacing w:line="240" w:lineRule="auto" w:before="0" w:after="0"/>
              <w:pStyle w:val="Compact"/>
            </w:pPr>
            <w:r>
              <w:rPr>
                <w:sz w:val="20"/>
                <w:szCs w:val="20"/>
              </w:rPr>
              <w:t xml:space="preserve">0.1522</w:t>
            </w:r>
          </w:p>
        </w:tc>
        <w:tc>
          <w:tcPr>
            <w:tcW w:w="0" w:type="auto"/>
          </w:tcPr>
          <w:p>
            <w:pPr>
              <w:spacing w:line="240" w:lineRule="auto" w:before="0" w:after="0"/>
              <w:pStyle w:val="Compact"/>
            </w:pPr>
            <w:r>
              <w:rPr>
                <w:sz w:val="20"/>
                <w:szCs w:val="20"/>
              </w:rPr>
              <w:t xml:space="preserve">0.167</w:t>
            </w:r>
          </w:p>
        </w:tc>
        <w:tc>
          <w:tcPr>
            <w:tcW w:w="0" w:type="auto"/>
          </w:tcPr>
          <w:p>
            <w:pPr>
              <w:spacing w:line="240" w:lineRule="auto" w:before="0" w:after="0"/>
              <w:pStyle w:val="Compact"/>
            </w:pPr>
            <w:r>
              <w:rPr>
                <w:sz w:val="20"/>
                <w:szCs w:val="20"/>
              </w:rPr>
              <w:t xml:space="preserve">0.8674</w:t>
            </w:r>
          </w:p>
        </w:tc>
        <w:tc>
          <w:tcPr>
            <w:tcW w:w="0" w:type="auto"/>
          </w:tcPr>
          <w:p>
            <w:pPr>
              <w:spacing w:line="240" w:lineRule="auto" w:before="0" w:after="0"/>
              <w:pStyle w:val="Compact"/>
            </w:pPr>
            <w:r>
              <w:rPr>
                <w:sz w:val="20"/>
                <w:szCs w:val="20"/>
              </w:rPr>
              <w:t xml:space="preserve">[-0.2729, 0.3238]</w:t>
            </w:r>
          </w:p>
        </w:tc>
      </w:tr>
    </w:tbl>
    <w:p>
      <w:pPr>
        <w:pStyle w:val="BodyText"/>
        <w:spacing w:line="480" w:lineRule="auto"/>
        <w:ind w:firstLine="720"/>
      </w:pPr>
      <w:r>
        <w:t xml:space="preserve">Fit: N = 30 R2 = 0.0005016 elasticity_b = 0.0254 progress_ratio_2^b = 1.0178</w:t>
      </w:r>
    </w:p>
    <w:bookmarkEnd w:id="191"/>
    <w:bookmarkStart w:id="195"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93" name="Picture"/>
            <a:graphic>
              <a:graphicData uri="http://schemas.openxmlformats.org/drawingml/2006/picture">
                <pic:pic>
                  <pic:nvPicPr>
                    <pic:cNvPr descr="D:/Claude_Code/brain/collegium/candidates/dissertations/SECURITY_DETERRENCE_06/research_papers/p2/paper_fig1.png" id="194" name="Picture"/>
                    <pic:cNvPicPr>
                      <a:picLocks noChangeArrowheads="1" noChangeAspect="1"/>
                    </pic:cNvPicPr>
                  </pic:nvPicPr>
                  <pic:blipFill>
                    <a:blip r:embed="rId19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5"/>
    <w:bookmarkStart w:id="196"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https://amostech.space/year/2020/artificial-intelligence-and-autonomy-in-space-balancing-risks-and-benefits-for-deterrence-and-escalation-control/</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https://amostech.space/year/2020/space-based-spooky-radar-orbit-determination-at-the-earth-moon-lagrange-points/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10.64861/TFPO6156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https://amostech.space/year/2022/detecting-space-objects-in-event-camera-data-through-3d-point-cloud-processing/</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10.64861/VEWW9997</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https://amostech.space/year/2018/space-debris-mapping-services-for-use-by-leo-satellite-operators/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10.64861/TPIM7458</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https://amostech.space/year/2016/satellite-based-emi-detection-identification-and-mitigation/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10.64861/AZUD8556</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https://amostech.space/year/2022/formation-flying-and-change-detection-for-the-unsw-canberra-space-m2-low-earth-orbit-formation-flying-cubesat-mission/</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10.1016/j.actaastro.2026.05.023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10.1016/j.actaastro.2021.03.021</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10.1016/j.actaastro.2026.01.060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10.1016/j.actaastro.2025.08.048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10.1016/j.actaastro.2024.05.009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10.1016/j.actaastro.2026.05.054</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10.1016/j.actaastro.2025.08.050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10.1016/j.actaastro.2025.06.067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SFA working paper arguing the space economy serves as both instrument and beneficiary of integrated deterrence, with UK-anchored investment data illustrating the sector’s strategic and economic weight.</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10.1177/00471178261418898</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Abstract-only document presenting</w:t>
            </w:r>
            <w:r>
              <w:rPr>
                <w:sz w:val="20"/>
                <w:szCs w:val="20"/>
              </w:rPr>
              <w:t xml:space="preserve"> </w:t>
            </w:r>
            <w:r>
              <w:rPr>
                <w:sz w:val="20"/>
                <w:szCs w:val="20"/>
              </w:rPr>
              <w:t xml:space="preserve">“Astro-Economics”</w:t>
            </w:r>
            <w:r>
              <w:rPr>
                <w:sz w:val="20"/>
                <w:szCs w:val="20"/>
              </w:rPr>
              <w:t xml:space="preserve"> </w:t>
            </w:r>
            <w:r>
              <w:rPr>
                <w:sz w:val="20"/>
                <w:szCs w:val="20"/>
              </w:rPr>
              <w:t xml:space="preserve">as a framework for integrating the space economy into national deterrence strategy, with attention to the UK space sector, resource competition, and international norms. The source file contains only the abstract/summary (12 lines); no body text is available.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bl>
    <w:bookmarkEnd w:id="196"/>
    <w:bookmarkStart w:id="197"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7"/>
    <w:bookmarkEnd w:id="198"/>
    <w:bookmarkEnd w:id="19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4" Type="http://schemas.openxmlformats.org/officeDocument/2006/relationships/image" Target="media/rId184.png"/><Relationship Id="rId192" Type="http://schemas.openxmlformats.org/officeDocument/2006/relationships/image" Target="media/rId192.png"/><Relationship Id="rId172" Type="http://schemas.openxmlformats.org/officeDocument/2006/relationships/hyperlink" Target="https://doi.org/10.1016/j.actaastro.2021.03.021" TargetMode="External"/><Relationship Id="rId168" Type="http://schemas.openxmlformats.org/officeDocument/2006/relationships/hyperlink" Target="https://doi.org/10.1016/j.actaastro.2024.09.003" TargetMode="External"/><Relationship Id="rId170" Type="http://schemas.openxmlformats.org/officeDocument/2006/relationships/hyperlink" Target="https://doi.org/10.1016/j.actaastro.2025.01.061" TargetMode="External"/><Relationship Id="rId180" Type="http://schemas.openxmlformats.org/officeDocument/2006/relationships/hyperlink" Target="https://doi.org/10.1016/j.actaastro.2025.04.063" TargetMode="External"/><Relationship Id="rId178" Type="http://schemas.openxmlformats.org/officeDocument/2006/relationships/hyperlink" Target="https://doi.org/10.1016/j.actaastro.2025.08.048" TargetMode="External"/><Relationship Id="rId176" Type="http://schemas.openxmlformats.org/officeDocument/2006/relationships/hyperlink" Target="https://doi.org/10.1016/j.actaastro.2025.09.031" TargetMode="External"/><Relationship Id="rId174" Type="http://schemas.openxmlformats.org/officeDocument/2006/relationships/hyperlink" Target="https://doi.org/10.1016/j.actaastro.2026.01.060" TargetMode="External"/><Relationship Id="rId166" Type="http://schemas.openxmlformats.org/officeDocument/2006/relationships/hyperlink" Target="https://doi.org/10.1016/j.actaastro.2026.05.023" TargetMode="External"/><Relationship Id="rId155" Type="http://schemas.openxmlformats.org/officeDocument/2006/relationships/hyperlink" Target="https://doi.org/10.64861/EIBC5616" TargetMode="External"/><Relationship Id="rId159" Type="http://schemas.openxmlformats.org/officeDocument/2006/relationships/hyperlink" Target="https://doi.org/10.64861/TFPO6156" TargetMode="External"/><Relationship Id="rId163" Type="http://schemas.openxmlformats.org/officeDocument/2006/relationships/hyperlink" Target="https://doi.org/10.64861/VEWW9997" TargetMode="External"/></Relationships>
</file>

<file path=word/_rels/footnotes.xml.rels><?xml version='1.0' encoding='UTF-8' standalone='yes'?>
<Relationships xmlns="http://schemas.openxmlformats.org/package/2006/relationships"><Relationship Id="rId172" Type="http://schemas.openxmlformats.org/officeDocument/2006/relationships/hyperlink" Target="https://doi.org/10.1016/j.actaastro.2021.03.021" TargetMode="External"/><Relationship Id="rId168" Type="http://schemas.openxmlformats.org/officeDocument/2006/relationships/hyperlink" Target="https://doi.org/10.1016/j.actaastro.2024.09.003" TargetMode="External"/><Relationship Id="rId170" Type="http://schemas.openxmlformats.org/officeDocument/2006/relationships/hyperlink" Target="https://doi.org/10.1016/j.actaastro.2025.01.061" TargetMode="External"/><Relationship Id="rId180" Type="http://schemas.openxmlformats.org/officeDocument/2006/relationships/hyperlink" Target="https://doi.org/10.1016/j.actaastro.2025.04.063" TargetMode="External"/><Relationship Id="rId178" Type="http://schemas.openxmlformats.org/officeDocument/2006/relationships/hyperlink" Target="https://doi.org/10.1016/j.actaastro.2025.08.048" TargetMode="External"/><Relationship Id="rId176" Type="http://schemas.openxmlformats.org/officeDocument/2006/relationships/hyperlink" Target="https://doi.org/10.1016/j.actaastro.2025.09.031" TargetMode="External"/><Relationship Id="rId174" Type="http://schemas.openxmlformats.org/officeDocument/2006/relationships/hyperlink" Target="https://doi.org/10.1016/j.actaastro.2026.01.060" TargetMode="External"/><Relationship Id="rId166" Type="http://schemas.openxmlformats.org/officeDocument/2006/relationships/hyperlink" Target="https://doi.org/10.1016/j.actaastro.2026.05.023" TargetMode="External"/><Relationship Id="rId155" Type="http://schemas.openxmlformats.org/officeDocument/2006/relationships/hyperlink" Target="https://doi.org/10.64861/EIBC5616" TargetMode="External"/><Relationship Id="rId159" Type="http://schemas.openxmlformats.org/officeDocument/2006/relationships/hyperlink" Target="https://doi.org/10.64861/TFPO6156" TargetMode="External"/><Relationship Id="rId163" Type="http://schemas.openxmlformats.org/officeDocument/2006/relationships/hyperlink" Target="https://doi.org/10.64861/VEWW99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Entanglement and Inadvertent Escalation: Mapping Dual-Use Space Assets That Coup</dc:title>
  <dc:creator>Lorenzo Cohen (1B-SEC-218)</dc:creator>
  <cp:keywords/>
  <dcterms:created xsi:type="dcterms:W3CDTF">2026-07-02T21:54:00Z</dcterms:created>
  <dcterms:modified xsi:type="dcterms:W3CDTF">2026-07-02T21:54:00Z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