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e9afa3e65db9b131e8bde12c3945f61e560dc84"/>
    <w:p>
      <w:pPr>
        <w:pStyle w:val="Heading1"/>
      </w:pPr>
      <w:r>
        <w:t xml:space="preserve">Signal Intensity in Escalation Ladders in Orbit Constructing and Validating a Counterspace Escalati: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Beatriz Renner (1B-SEC-217) and the dissertation project</w:t>
      </w:r>
      <w:r>
        <w:t xml:space="preserve"> </w:t>
      </w:r>
      <w:r>
        <w:rPr>
          <w:i/>
          <w:iCs/>
        </w:rPr>
        <w:t xml:space="preserve">Escalation Ladders in Orbit: Constructing and Validating a Counterspace Escalati</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R2=0.09496320802652625, R2_adj=-0.009464114124259293, F=9.868921816848365, F_p=0.00016062810334824265. The exact term summary is: const coef=3.0876816750513294 p=0.0944655344871964; recency_index coef=0.09735277539036408 p=0.2647598695260017; cites_num coef=0.1308373521113583 p=0.0010365277329562861; venue_score coef=-0.947614653077148 p=0.05063482707183259.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6" w:name="references"/>
    <w:p>
      <w:pPr>
        <w:pStyle w:val="Heading2"/>
      </w:pPr>
      <w:r>
        <w:t xml:space="preserve">References</w:t>
      </w:r>
    </w:p>
    <w:p>
      <w:pPr>
        <w:pStyle w:val="FirstParagraph"/>
      </w:pPr>
      <w:bookmarkStart w:id="67" w:name="ref-1"/>
      <w:bookmarkEnd w:id="67"/>
      <w:r>
        <w:t xml:space="preserve">1.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68">
        <w:r>
          <w:rPr>
            <w:rStyle w:val="Hyperlink"/>
          </w:rPr>
          <w:t xml:space="preserve">10.64861/EIBC5616</w:t>
        </w:r>
      </w:hyperlink>
      <w:r>
        <w:t xml:space="preserve"> </w:t>
      </w:r>
      <w:bookmarkStart w:id="69" w:name="ref-2"/>
      <w:bookmarkEnd w:id="69"/>
      <w:r>
        <w:t xml:space="preserve">2. Nancy Hayden, Sandia National Laboratories; Kelsey Abel, Sandia National Laboratories; Marie Arrieta, Sandia National Laboratories; Mallory Stewart, Sandia National Laboratories. Artificial Intelligence and Autonomy in Space: Balancing Risks and Benefits for Deterrence and Escalation Control (2020). [AMOS]</w:t>
      </w:r>
      <w:r>
        <w:t xml:space="preserve"> </w:t>
      </w:r>
      <w:bookmarkStart w:id="70" w:name="ref-3"/>
      <w:bookmarkEnd w:id="70"/>
      <w:r>
        <w:t xml:space="preserve">3. Joe Gorman, Charles River Analytics, Martin Voshell, Charles River Analytics, Amy Sliva, Charles River Analytics. Assessment for Operator Confidence in Automated Space Situational Awareness and Satellite Control Systems (2016). [AMOS]</w:t>
      </w:r>
      <w:r>
        <w:t xml:space="preserve"> </w:t>
      </w:r>
      <w:bookmarkStart w:id="71" w:name="ref-4"/>
      <w:bookmarkEnd w:id="71"/>
      <w:r>
        <w:t xml:space="preserve">4. Andris Jaunzemis, Georgia Institute of Technology; Dev Minotra, Georgia Institute of Technology; Karen Feigh, Georgia Institute of Technology; Marcus Holzinger, Georgia Institute of Technology; Moses Chan, Lockheed Martin Space. SSA Decision Support System Development and Evaluation using Cognitive Systems Engineering (2018). [AMOS]</w:t>
      </w:r>
      <w:r>
        <w:t xml:space="preserve"> </w:t>
      </w:r>
      <w:bookmarkStart w:id="72" w:name="ref-5"/>
      <w:bookmarkEnd w:id="72"/>
      <w:r>
        <w:t xml:space="preserve">5. Tamara Payne, Applied Optimization Inc., Philip Castro, Applied Optimization, Stephen Gregory, Boeing, Phan Dao, AFRL/RVBY. Satellite Photometric Error Determination (2015). [AMOS]</w:t>
      </w:r>
      <w:r>
        <w:t xml:space="preserve"> </w:t>
      </w:r>
      <w:bookmarkStart w:id="73" w:name="ref-6"/>
      <w:bookmarkEnd w:id="73"/>
      <w:r>
        <w:t xml:space="preserve">6. Ray Deiotte (The Boeing Company), Dr. Mike Guyote (The Boeing Company), Dr. Thomas Kelecy (Boeing – LTS), Dr. Doyle Hall (Boeing – LTS), John Africano (Boeing – LTS), Paul Kervin (AMOS (AFRL/Det15). Maui Space Surveillance System Satellite Categorization Laboratory (2006). [AMOS]</w:t>
      </w:r>
      <w:r>
        <w:t xml:space="preserve"> </w:t>
      </w:r>
      <w:bookmarkStart w:id="74" w:name="ref-7"/>
      <w:bookmarkEnd w:id="74"/>
      <w:r>
        <w:t xml:space="preserve">7. Malcolm Davis, The Australian Strategic Policy Institute. Australia’s Emerging Space Policy – Defense Burden Sharing in Orbit and Space Situational Awareness (2020). [AMOS]</w:t>
      </w:r>
      <w:r>
        <w:t xml:space="preserve"> </w:t>
      </w:r>
      <w:bookmarkStart w:id="75" w:name="ref-8"/>
      <w:bookmarkEnd w:id="75"/>
      <w:r>
        <w:t xml:space="preserve">8. Daniel Porras, Secure World Foundation; Laetitia Zarkan Cesari, University of Luxembourg. Safety Norms for Space Security: How the Development of STM Norms Can Strengthen Security in Space (2021). [AMOS]</w:t>
      </w:r>
    </w:p>
    <w:bookmarkEnd w:id="76"/>
    <w:bookmarkStart w:id="77"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3.0877</w:t>
            </w:r>
          </w:p>
        </w:tc>
        <w:tc>
          <w:tcPr>
            <w:tcW w:w="0" w:type="auto"/>
          </w:tcPr>
          <w:p>
            <w:pPr>
              <w:spacing w:line="240" w:lineRule="auto" w:before="0" w:after="0"/>
              <w:pStyle w:val="Compact"/>
            </w:pPr>
            <w:r>
              <w:rPr>
                <w:sz w:val="20"/>
                <w:szCs w:val="20"/>
              </w:rPr>
              <w:t xml:space="preserve">1.8464</w:t>
            </w:r>
          </w:p>
        </w:tc>
        <w:tc>
          <w:tcPr>
            <w:tcW w:w="0" w:type="auto"/>
          </w:tcPr>
          <w:p>
            <w:pPr>
              <w:spacing w:line="240" w:lineRule="auto" w:before="0" w:after="0"/>
              <w:pStyle w:val="Compact"/>
            </w:pPr>
            <w:r>
              <w:rPr>
                <w:sz w:val="20"/>
                <w:szCs w:val="20"/>
              </w:rPr>
              <w:t xml:space="preserve">1.6723</w:t>
            </w:r>
          </w:p>
        </w:tc>
        <w:tc>
          <w:tcPr>
            <w:tcW w:w="0" w:type="auto"/>
          </w:tcPr>
          <w:p>
            <w:pPr>
              <w:spacing w:line="240" w:lineRule="auto" w:before="0" w:after="0"/>
              <w:pStyle w:val="Compact"/>
            </w:pPr>
            <w:r>
              <w:rPr>
                <w:sz w:val="20"/>
                <w:szCs w:val="20"/>
              </w:rPr>
              <w:t xml:space="preserve">0.0945</w:t>
            </w:r>
          </w:p>
        </w:tc>
        <w:tc>
          <w:tcPr>
            <w:tcW w:w="0" w:type="auto"/>
          </w:tcPr>
          <w:p>
            <w:pPr>
              <w:spacing w:line="240" w:lineRule="auto" w:before="0" w:after="0"/>
              <w:pStyle w:val="Compact"/>
            </w:pPr>
            <w:r>
              <w:rPr>
                <w:sz w:val="20"/>
                <w:szCs w:val="20"/>
              </w:rPr>
              <w:t xml:space="preserve">[-0.5311, 6.7065]</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0.0974</w:t>
            </w:r>
          </w:p>
        </w:tc>
        <w:tc>
          <w:tcPr>
            <w:tcW w:w="0" w:type="auto"/>
          </w:tcPr>
          <w:p>
            <w:pPr>
              <w:spacing w:line="240" w:lineRule="auto" w:before="0" w:after="0"/>
              <w:pStyle w:val="Compact"/>
            </w:pPr>
            <w:r>
              <w:rPr>
                <w:sz w:val="20"/>
                <w:szCs w:val="20"/>
              </w:rPr>
              <w:t xml:space="preserve">0.0873</w:t>
            </w:r>
          </w:p>
        </w:tc>
        <w:tc>
          <w:tcPr>
            <w:tcW w:w="0" w:type="auto"/>
          </w:tcPr>
          <w:p>
            <w:pPr>
              <w:spacing w:line="240" w:lineRule="auto" w:before="0" w:after="0"/>
              <w:pStyle w:val="Compact"/>
            </w:pPr>
            <w:r>
              <w:rPr>
                <w:sz w:val="20"/>
                <w:szCs w:val="20"/>
              </w:rPr>
              <w:t xml:space="preserve">1.1152</w:t>
            </w:r>
          </w:p>
        </w:tc>
        <w:tc>
          <w:tcPr>
            <w:tcW w:w="0" w:type="auto"/>
          </w:tcPr>
          <w:p>
            <w:pPr>
              <w:spacing w:line="240" w:lineRule="auto" w:before="0" w:after="0"/>
              <w:pStyle w:val="Compact"/>
            </w:pPr>
            <w:r>
              <w:rPr>
                <w:sz w:val="20"/>
                <w:szCs w:val="20"/>
              </w:rPr>
              <w:t xml:space="preserve">0.2648</w:t>
            </w:r>
          </w:p>
        </w:tc>
        <w:tc>
          <w:tcPr>
            <w:tcW w:w="0" w:type="auto"/>
          </w:tcPr>
          <w:p>
            <w:pPr>
              <w:spacing w:line="240" w:lineRule="auto" w:before="0" w:after="0"/>
              <w:pStyle w:val="Compact"/>
            </w:pPr>
            <w:r>
              <w:rPr>
                <w:sz w:val="20"/>
                <w:szCs w:val="20"/>
              </w:rPr>
              <w:t xml:space="preserve">[-0.0737, 0.2684]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0.1308</w:t>
            </w:r>
          </w:p>
        </w:tc>
        <w:tc>
          <w:tcPr>
            <w:tcW w:w="0" w:type="auto"/>
          </w:tcPr>
          <w:p>
            <w:pPr>
              <w:spacing w:line="240" w:lineRule="auto" w:before="0" w:after="0"/>
              <w:pStyle w:val="Compact"/>
            </w:pPr>
            <w:r>
              <w:rPr>
                <w:sz w:val="20"/>
                <w:szCs w:val="20"/>
              </w:rPr>
              <w:t xml:space="preserve">0.0399</w:t>
            </w:r>
          </w:p>
        </w:tc>
        <w:tc>
          <w:tcPr>
            <w:tcW w:w="0" w:type="auto"/>
          </w:tcPr>
          <w:p>
            <w:pPr>
              <w:spacing w:line="240" w:lineRule="auto" w:before="0" w:after="0"/>
              <w:pStyle w:val="Compact"/>
            </w:pPr>
            <w:r>
              <w:rPr>
                <w:sz w:val="20"/>
                <w:szCs w:val="20"/>
              </w:rPr>
              <w:t xml:space="preserve">3.2804</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[0.0527, 0.209]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-0.9476</w:t>
            </w:r>
          </w:p>
        </w:tc>
        <w:tc>
          <w:tcPr>
            <w:tcW w:w="0" w:type="auto"/>
          </w:tcPr>
          <w:p>
            <w:pPr>
              <w:spacing w:line="240" w:lineRule="auto" w:before="0" w:after="0"/>
              <w:pStyle w:val="Compact"/>
            </w:pPr>
            <w:r>
              <w:rPr>
                <w:sz w:val="20"/>
                <w:szCs w:val="20"/>
              </w:rPr>
              <w:t xml:space="preserve">0.4848</w:t>
            </w:r>
          </w:p>
        </w:tc>
        <w:tc>
          <w:tcPr>
            <w:tcW w:w="0" w:type="auto"/>
          </w:tcPr>
          <w:p>
            <w:pPr>
              <w:spacing w:line="240" w:lineRule="auto" w:before="0" w:after="0"/>
              <w:pStyle w:val="Compact"/>
            </w:pPr>
            <w:r>
              <w:rPr>
                <w:sz w:val="20"/>
                <w:szCs w:val="20"/>
              </w:rPr>
              <w:t xml:space="preserve">-1.9546</w:t>
            </w:r>
          </w:p>
        </w:tc>
        <w:tc>
          <w:tcPr>
            <w:tcW w:w="0" w:type="auto"/>
          </w:tcPr>
          <w:p>
            <w:pPr>
              <w:spacing w:line="240" w:lineRule="auto" w:before="0" w:after="0"/>
              <w:pStyle w:val="Compact"/>
            </w:pPr>
            <w:r>
              <w:rPr>
                <w:sz w:val="20"/>
                <w:szCs w:val="20"/>
              </w:rPr>
              <w:t xml:space="preserve">0.0506</w:t>
            </w:r>
          </w:p>
        </w:tc>
        <w:tc>
          <w:tcPr>
            <w:tcW w:w="0" w:type="auto"/>
          </w:tcPr>
          <w:p>
            <w:pPr>
              <w:spacing w:line="240" w:lineRule="auto" w:before="0" w:after="0"/>
              <w:pStyle w:val="Compact"/>
            </w:pPr>
            <w:r>
              <w:rPr>
                <w:sz w:val="20"/>
                <w:szCs w:val="20"/>
              </w:rPr>
              <w:t xml:space="preserve">[-1.8978, 0.0026]</w:t>
            </w:r>
          </w:p>
        </w:tc>
      </w:tr>
    </w:tbl>
    <w:p>
      <w:pPr>
        <w:pStyle w:val="BodyText"/>
      </w:pPr>
      <w:r>
        <w:t xml:space="preserve">Fit: N = 30 R2 = 0.095 R2_adj = -0.0095 F = 9.8689 F_p = 0.0001606</w:t>
      </w:r>
    </w:p>
    <w:p>
      <w:pPr>
        <w:pStyle w:val="CaptionedFigure"/>
      </w:pPr>
      <w:r>
        <w:drawing>
          <wp:inline>
            <wp:extent cx="5669280" cy="3657600"/>
            <wp:effectExtent b="0" l="0" r="0" t="0"/>
            <wp:docPr descr="Figure 1. Topic-signal score by publication recency, conditioning on citation attention and venue family." title="" id="79" name="Picture"/>
            <a:graphic>
              <a:graphicData uri="http://schemas.openxmlformats.org/drawingml/2006/picture">
                <pic:pic>
                  <pic:nvPicPr>
                    <pic:cNvPr descr="D:\Claude_Code\brain\collegium\candidates\dissertations\SECURITY_DETERRENCE_05\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https://amostech.space/year/2016/assessment-for-operator-confidence-in-automated-space-situational-awareness-and-satellite-control-systems/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https://amostech.space/year/2018/ssa-decision-support-system-development-and-evaluation-using-cognitive-systems-engineering/</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https://amostech.space/year/2015/satellite-photometric-error-determination/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https://amostech.space/year/2006/maui-space-surveillance-system-satellite-categorization-laboratory/</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https://amostech.space/year/2021/safety-norms-for-space-security-how-the-development-of-stm-norms-can-strengthen-security-in-space/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https://amostech.space/year/2022/mirror-recoating-of-large-primary-optic/</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10.1016/j.actaastro.2026.01.049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10.1016/j.actaastro.2025.03.010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10.1016/j.actaastro.2024.12.029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10.1016/j.actaastro.2025.07.033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10.1016/j.actaastro.2025.07.007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10.1016/j.actaastro.2025.11.069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Abstract-only document presenting</w:t>
            </w:r>
            <w:r>
              <w:rPr>
                <w:sz w:val="20"/>
                <w:szCs w:val="20"/>
              </w:rPr>
              <w:t xml:space="preserve"> </w:t>
            </w:r>
            <w:r>
              <w:rPr>
                <w:sz w:val="20"/>
                <w:szCs w:val="20"/>
              </w:rPr>
              <w:t xml:space="preserve">“Astro-Economics”</w:t>
            </w:r>
            <w:r>
              <w:rPr>
                <w:sz w:val="20"/>
                <w:szCs w:val="20"/>
              </w:rPr>
              <w:t xml:space="preserve"> </w:t>
            </w:r>
            <w:r>
              <w:rPr>
                <w:sz w:val="20"/>
                <w:szCs w:val="20"/>
              </w:rPr>
              <w:t xml:space="preserve">as a framework for integrating the space economy into national deterrence strategy, with attention to the UK space sector, resource competition, and international norms. The source file contains only the abstract/summary (12 lines); no body text is available.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Verification and Validation of Orbital Capacity Assessment Tools (AMOS)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CMSY++ Method for Catch Time Series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JABBA: Just Another Bayesian Biomass Assessment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10.1016/j.fishres.2018.03.010</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3.0877</w:t>
            </w:r>
          </w:p>
        </w:tc>
        <w:tc>
          <w:tcPr>
            <w:tcW w:w="0" w:type="auto"/>
          </w:tcPr>
          <w:p>
            <w:pPr>
              <w:spacing w:line="240" w:lineRule="auto" w:before="0" w:after="0"/>
              <w:pStyle w:val="Compact"/>
            </w:pPr>
            <w:r>
              <w:rPr>
                <w:sz w:val="20"/>
                <w:szCs w:val="20"/>
              </w:rPr>
              <w:t xml:space="preserve">1.8464</w:t>
            </w:r>
          </w:p>
        </w:tc>
        <w:tc>
          <w:tcPr>
            <w:tcW w:w="0" w:type="auto"/>
          </w:tcPr>
          <w:p>
            <w:pPr>
              <w:spacing w:line="240" w:lineRule="auto" w:before="0" w:after="0"/>
              <w:pStyle w:val="Compact"/>
            </w:pPr>
            <w:r>
              <w:rPr>
                <w:sz w:val="20"/>
                <w:szCs w:val="20"/>
              </w:rPr>
              <w:t xml:space="preserve">1.6723</w:t>
            </w:r>
          </w:p>
        </w:tc>
        <w:tc>
          <w:tcPr>
            <w:tcW w:w="0" w:type="auto"/>
          </w:tcPr>
          <w:p>
            <w:pPr>
              <w:spacing w:line="240" w:lineRule="auto" w:before="0" w:after="0"/>
              <w:pStyle w:val="Compact"/>
            </w:pPr>
            <w:r>
              <w:rPr>
                <w:sz w:val="20"/>
                <w:szCs w:val="20"/>
              </w:rPr>
              <w:t xml:space="preserve">0.0945</w:t>
            </w:r>
          </w:p>
        </w:tc>
        <w:tc>
          <w:tcPr>
            <w:tcW w:w="0" w:type="auto"/>
          </w:tcPr>
          <w:p>
            <w:pPr>
              <w:spacing w:line="240" w:lineRule="auto" w:before="0" w:after="0"/>
              <w:pStyle w:val="Compact"/>
            </w:pPr>
            <w:r>
              <w:rPr>
                <w:sz w:val="20"/>
                <w:szCs w:val="20"/>
              </w:rPr>
              <w:t xml:space="preserve">[-0.5311, 6.7065]</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0.0974</w:t>
            </w:r>
          </w:p>
        </w:tc>
        <w:tc>
          <w:tcPr>
            <w:tcW w:w="0" w:type="auto"/>
          </w:tcPr>
          <w:p>
            <w:pPr>
              <w:spacing w:line="240" w:lineRule="auto" w:before="0" w:after="0"/>
              <w:pStyle w:val="Compact"/>
            </w:pPr>
            <w:r>
              <w:rPr>
                <w:sz w:val="20"/>
                <w:szCs w:val="20"/>
              </w:rPr>
              <w:t xml:space="preserve">0.0873</w:t>
            </w:r>
          </w:p>
        </w:tc>
        <w:tc>
          <w:tcPr>
            <w:tcW w:w="0" w:type="auto"/>
          </w:tcPr>
          <w:p>
            <w:pPr>
              <w:spacing w:line="240" w:lineRule="auto" w:before="0" w:after="0"/>
              <w:pStyle w:val="Compact"/>
            </w:pPr>
            <w:r>
              <w:rPr>
                <w:sz w:val="20"/>
                <w:szCs w:val="20"/>
              </w:rPr>
              <w:t xml:space="preserve">1.1152</w:t>
            </w:r>
          </w:p>
        </w:tc>
        <w:tc>
          <w:tcPr>
            <w:tcW w:w="0" w:type="auto"/>
          </w:tcPr>
          <w:p>
            <w:pPr>
              <w:spacing w:line="240" w:lineRule="auto" w:before="0" w:after="0"/>
              <w:pStyle w:val="Compact"/>
            </w:pPr>
            <w:r>
              <w:rPr>
                <w:sz w:val="20"/>
                <w:szCs w:val="20"/>
              </w:rPr>
              <w:t xml:space="preserve">0.2648</w:t>
            </w:r>
          </w:p>
        </w:tc>
        <w:tc>
          <w:tcPr>
            <w:tcW w:w="0" w:type="auto"/>
          </w:tcPr>
          <w:p>
            <w:pPr>
              <w:spacing w:line="240" w:lineRule="auto" w:before="0" w:after="0"/>
              <w:pStyle w:val="Compact"/>
            </w:pPr>
            <w:r>
              <w:rPr>
                <w:sz w:val="20"/>
                <w:szCs w:val="20"/>
              </w:rPr>
              <w:t xml:space="preserve">[-0.0737, 0.2684]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0.1308</w:t>
            </w:r>
          </w:p>
        </w:tc>
        <w:tc>
          <w:tcPr>
            <w:tcW w:w="0" w:type="auto"/>
          </w:tcPr>
          <w:p>
            <w:pPr>
              <w:spacing w:line="240" w:lineRule="auto" w:before="0" w:after="0"/>
              <w:pStyle w:val="Compact"/>
            </w:pPr>
            <w:r>
              <w:rPr>
                <w:sz w:val="20"/>
                <w:szCs w:val="20"/>
              </w:rPr>
              <w:t xml:space="preserve">0.0399</w:t>
            </w:r>
          </w:p>
        </w:tc>
        <w:tc>
          <w:tcPr>
            <w:tcW w:w="0" w:type="auto"/>
          </w:tcPr>
          <w:p>
            <w:pPr>
              <w:spacing w:line="240" w:lineRule="auto" w:before="0" w:after="0"/>
              <w:pStyle w:val="Compact"/>
            </w:pPr>
            <w:r>
              <w:rPr>
                <w:sz w:val="20"/>
                <w:szCs w:val="20"/>
              </w:rPr>
              <w:t xml:space="preserve">3.2804</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[0.0527, 0.209]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-0.9476</w:t>
            </w:r>
          </w:p>
        </w:tc>
        <w:tc>
          <w:tcPr>
            <w:tcW w:w="0" w:type="auto"/>
          </w:tcPr>
          <w:p>
            <w:pPr>
              <w:spacing w:line="240" w:lineRule="auto" w:before="0" w:after="0"/>
              <w:pStyle w:val="Compact"/>
            </w:pPr>
            <w:r>
              <w:rPr>
                <w:sz w:val="20"/>
                <w:szCs w:val="20"/>
              </w:rPr>
              <w:t xml:space="preserve">0.4848</w:t>
            </w:r>
          </w:p>
        </w:tc>
        <w:tc>
          <w:tcPr>
            <w:tcW w:w="0" w:type="auto"/>
          </w:tcPr>
          <w:p>
            <w:pPr>
              <w:spacing w:line="240" w:lineRule="auto" w:before="0" w:after="0"/>
              <w:pStyle w:val="Compact"/>
            </w:pPr>
            <w:r>
              <w:rPr>
                <w:sz w:val="20"/>
                <w:szCs w:val="20"/>
              </w:rPr>
              <w:t xml:space="preserve">-1.9546</w:t>
            </w:r>
          </w:p>
        </w:tc>
        <w:tc>
          <w:tcPr>
            <w:tcW w:w="0" w:type="auto"/>
          </w:tcPr>
          <w:p>
            <w:pPr>
              <w:spacing w:line="240" w:lineRule="auto" w:before="0" w:after="0"/>
              <w:pStyle w:val="Compact"/>
            </w:pPr>
            <w:r>
              <w:rPr>
                <w:sz w:val="20"/>
                <w:szCs w:val="20"/>
              </w:rPr>
              <w:t xml:space="preserve">0.0506</w:t>
            </w:r>
          </w:p>
        </w:tc>
        <w:tc>
          <w:tcPr>
            <w:tcW w:w="0" w:type="auto"/>
          </w:tcPr>
          <w:p>
            <w:pPr>
              <w:spacing w:line="240" w:lineRule="auto" w:before="0" w:after="0"/>
              <w:pStyle w:val="Compact"/>
            </w:pPr>
            <w:r>
              <w:rPr>
                <w:sz w:val="20"/>
                <w:szCs w:val="20"/>
              </w:rPr>
              <w:t xml:space="preserve">[-1.8978, 0.0026]</w:t>
            </w:r>
          </w:p>
        </w:tc>
      </w:tr>
    </w:tbl>
    <w:p>
      <w:pPr>
        <w:pStyle w:val="BodyText"/>
      </w:pPr>
      <w:r>
        <w:t xml:space="preserve">Fit: N = 30 R2 = 0.095 R2_adj = -0.0095 F = 9.8689 F_p = 0.0001606</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68" Target="https://doi.org/10.64861/EIBC5616"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64861/EIBC561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2026-06-29T09:42:20Z</dcterms:created>
  <dcterms:modified xsi:type="dcterms:W3CDTF">2026-06-29T09:42:20Z</dcterms:modified>
</cp:coreProperties>
</file>

<file path=docProps/custom.xml><?xml version="1.0" encoding="utf-8"?>
<Properties xmlns="http://schemas.openxmlformats.org/officeDocument/2006/custom-properties" xmlns:vt="http://schemas.openxmlformats.org/officeDocument/2006/docPropsVTypes"/>
</file>