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ESCALATION LADDERS IN ORBIT: CONSTRUCTING AND VALIDATING A COUNTERSPACE ESCALATI</w:t>
      </w:r>
    </w:p>
    <w:p>
      <w:pPr>
        <w:jc w:val="center"/>
      </w:pPr>
    </w:p>
    <w:p>
      <w:pPr>
        <w:jc w:val="center"/>
      </w:pPr>
      <w:r>
        <w:rPr>
          <w:rFonts w:ascii="Times New Roman" w:hAnsi="Times New Roman"/>
          <w:sz w:val="24"/>
        </w:rPr>
        <w:t>by</w:t>
      </w:r>
    </w:p>
    <w:p>
      <w:pPr>
        <w:jc w:val="center"/>
      </w:pPr>
      <w:r>
        <w:rPr>
          <w:rFonts w:ascii="Times New Roman" w:hAnsi="Times New Roman"/>
          <w:b/>
          <w:sz w:val="28"/>
        </w:rPr>
        <w:t>Beatriz Renner</w:t>
      </w:r>
    </w:p>
    <w:p>
      <w:pPr>
        <w:jc w:val="center"/>
      </w:pPr>
      <w:r>
        <w:rPr>
          <w:rFonts w:ascii="Times New Roman" w:hAnsi="Times New Roman"/>
          <w:sz w:val="24"/>
        </w:rPr>
        <w:t>1B-SEC-217</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1" w:name="introduction"/>
    <w:p>
      <w:pPr>
        <w:pStyle w:val="Heading1"/>
        <w:spacing w:line="480" w:lineRule="auto"/>
      </w:pPr>
      <w:r>
        <w:t xml:space="preserve">Introduction</w:t>
      </w:r>
    </w:p>
    <w:p>
      <w:pPr>
        <w:pStyle w:val="FirstParagraph"/>
        <w:spacing w:line="480" w:lineRule="auto"/>
      </w:pPr>
      <w:r>
        <w:t xml:space="preserve">Space governance tends to move in a peculiar order. The operational risk arrives first, visible to engineers and mission planners who track fragmentation events, jamming episodes, and rendezvous maneuvers that no treaty language yet describes. The institutional response arrives later, sometimes years later, once the risk has been named often enough that a venue feels obligated to answer it. Between those two moments sits a gap that this dissertation treats as measurable rather than merely rhetorical. If a counterspace escalation concern is becoming real, its arrival should leave a trace in the documentary record before any formal rule catches up to it. That trace is the object of study here.</w:t>
      </w:r>
    </w:p>
    <w:p>
      <w:pPr>
        <w:pStyle w:val="BodyText"/>
        <w:spacing w:line="480" w:lineRule="auto"/>
        <w:ind w:firstLine="720"/>
      </w:pPr>
      <w:r>
        <w:t xml:space="preserve">The larger question behind the project is older than orbit. Strategists have long asked how adversaries read one another’s moves along a ladder of escalation, where each rung raises the stakes and narrows the exits. In the terrestrial nuclear context the ladder was theorized in painful detail. In orbit the rungs are still being drawn, and the actors disagree about what counts as a hostile act, what counts as a demonstration, and what counts as an accident indistinguishable from an attack</w:t>
      </w:r>
      <w:r>
        <w:t xml:space="preserve"> </w:t>
      </w:r>
      <w:hyperlink w:anchor="ref-1">
        <w:r>
          <w:rPr>
            <w:rStyle w:val="Hyperlink"/>
          </w:rPr>
          <w:t xml:space="preserve">[1]</w:t>
        </w:r>
      </w:hyperlink>
      <w:r>
        <w:t xml:space="preserve">. A dazzling laser, a close approach, a debris-generating test: each can be read as noise or as signal, and the reading depends on institutions that do not yet exist in settled form</w:t>
      </w:r>
      <w:r>
        <w:t xml:space="preserve"> </w:t>
      </w:r>
      <w:hyperlink w:anchor="ref-10">
        <w:r>
          <w:rPr>
            <w:rStyle w:val="Hyperlink"/>
          </w:rPr>
          <w:t xml:space="preserve">[10]</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This is a design-stage dissertation. It does not claim to have built the counterspace escalation ladder that the field needs. It claims something narrower and, precisely because it is narrower, something testable. The claim is that the emergence of a governance concern is visible in the structure of the literature that surrounds it, and that this visibility can be screened with obtainable documentary and bibliometric evidence rather than asserted from policy intuition. The candidate has assembled a local corpus of source records spanning technical surveillance work, security analysis, and space-economy commentary, and has derived from that corpus a small set of deterministic variables that any reader can reconstruct</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dissertation asks whether those variables carry signal.</w:t>
      </w:r>
    </w:p>
    <w:bookmarkStart w:id="61" w:name="the-problem"/>
    <w:p>
      <w:pPr>
        <w:pStyle w:val="Heading2"/>
        <w:spacing w:line="480" w:lineRule="auto"/>
      </w:pPr>
      <w:r>
        <w:t xml:space="preserve">The problem</w:t>
      </w:r>
    </w:p>
    <w:p>
      <w:pPr>
        <w:pStyle w:val="FirstParagraph"/>
        <w:spacing w:line="480" w:lineRule="auto"/>
      </w:pPr>
      <w:r>
        <w:t xml:space="preserve">Two problems motivate the work, and they pull in different directions. The first is the distance between technical output and institutional explanation. A radar operator’s assessment of an uncorrelated track, or an analyst’s photometric characterization of a satellite, tells you that something is happening on orbit</w:t>
      </w:r>
      <w:r>
        <w:t xml:space="preserve"> </w:t>
      </w:r>
      <w:hyperlink w:anchor="ref-5">
        <w:r>
          <w:rPr>
            <w:rStyle w:val="Hyperlink"/>
          </w:rPr>
          <w:t xml:space="preserve">[5]</w:t>
        </w:r>
      </w:hyperlink>
      <w:r>
        <w:t xml:space="preserve"> </w:t>
      </w:r>
      <w:hyperlink w:anchor="ref-6">
        <w:r>
          <w:rPr>
            <w:rStyle w:val="Hyperlink"/>
          </w:rPr>
          <w:t xml:space="preserve">[6]</w:t>
        </w:r>
      </w:hyperlink>
      <w:r>
        <w:t xml:space="preserve">. It does not tell you why the language of a governance venue hardens or stays loose in response. Technical work identifies risk with admirable precision and then falls silent on the political question of what the risk means. Someone has to bridge that silence, and the bridge is usually built out of interpretation that leaves no audit trail.</w:t>
      </w:r>
    </w:p>
    <w:p>
      <w:pPr>
        <w:pStyle w:val="BodyText"/>
        <w:spacing w:line="480" w:lineRule="auto"/>
        <w:ind w:firstLine="720"/>
      </w:pPr>
      <w:r>
        <w:t xml:space="preserve">The second problem is the distance between salience and measurement. Everyone in the field senses that certain topics are heating up. Counterspace weapons, autonomous decision aids, cyber operations against space assets: these feel urgent</w:t>
      </w:r>
      <w:r>
        <w:t xml:space="preserve"> </w:t>
      </w:r>
      <w:hyperlink w:anchor="ref-2">
        <w:r>
          <w:rPr>
            <w:rStyle w:val="Hyperlink"/>
          </w:rPr>
          <w:t xml:space="preserve">[2]</w:t>
        </w:r>
      </w:hyperlink>
      <w:r>
        <w:t xml:space="preserve"> </w:t>
      </w:r>
      <w:hyperlink w:anchor="ref-11">
        <w:r>
          <w:rPr>
            <w:rStyle w:val="Hyperlink"/>
          </w:rPr>
          <w:t xml:space="preserve">[11]</w:t>
        </w:r>
      </w:hyperlink>
      <w:r>
        <w:t xml:space="preserve">. But feeling is not evidence. Citation attention, publication recency, and the family of venue in which a topic appears are all quantities that can be counted, and counting them is the difference between a claim a reader can check and a claim a reader must simply trust. The candidate’s wager is that the corpus itself, read as data, discloses part of what the intuition already suspects.</w:t>
      </w:r>
    </w:p>
    <w:p>
      <w:pPr>
        <w:pStyle w:val="BodyText"/>
        <w:spacing w:line="480" w:lineRule="auto"/>
        <w:ind w:firstLine="720"/>
      </w:pPr>
      <w:r>
        <w:t xml:space="preserve">Neither problem is solved by a single regression. Both are disciplined by one. That is the wager. That distinction runs through the entire dissertation and it deserves to be stated plainly at the outset, because a reader who expects a causal verdict on counterspace stability will be disappointed, and rightly so. What the reader will get instead is a traceable path from source selection to variable construction to estimator output to bounded interpretation, with every step open to inspection. The design privileges reproducibility over reach. That is a deliberate trade, and the dissertation defends it.</w:t>
      </w:r>
    </w:p>
    <w:bookmarkEnd w:id="61"/>
    <w:bookmarkStart w:id="62" w:name="stakes"/>
    <w:p>
      <w:pPr>
        <w:pStyle w:val="Heading2"/>
        <w:spacing w:line="480" w:lineRule="auto"/>
      </w:pPr>
      <w:r>
        <w:t xml:space="preserve">Stakes</w:t>
      </w:r>
    </w:p>
    <w:p>
      <w:pPr>
        <w:pStyle w:val="FirstParagraph"/>
        <w:spacing w:line="480" w:lineRule="auto"/>
      </w:pPr>
      <w:r>
        <w:t xml:space="preserve">The stakes are not abstract. They are physical, and they are near. Orbital congestion in the geostationary belt already raises the possibility that a debris event could be misread as a deliberate strike, with consequences that spill from orbit into terrestrial strategic stability</w:t>
      </w:r>
      <w:r>
        <w:t xml:space="preserve"> </w:t>
      </w:r>
      <w:hyperlink w:anchor="ref-1">
        <w:r>
          <w:rPr>
            <w:rStyle w:val="Hyperlink"/>
          </w:rPr>
          <w:t xml:space="preserve">[1]</w:t>
        </w:r>
      </w:hyperlink>
      <w:r>
        <w:t xml:space="preserve">. A fragmentation like the Cosmos 1408 event demonstrated how quickly a single act can threaten inhabited platforms and large constellations, compressing the time available for any deliberative response</w:t>
      </w:r>
      <w:r>
        <w:t xml:space="preserve"> </w:t>
      </w:r>
      <w:hyperlink w:anchor="ref-9">
        <w:r>
          <w:rPr>
            <w:rStyle w:val="Hyperlink"/>
          </w:rPr>
          <w:t xml:space="preserve">[9]</w:t>
        </w:r>
      </w:hyperlink>
      <w:r>
        <w:t xml:space="preserve">. When the physical environment tightens and the decision timeline shortens, the quality of the shared conceptual vocabulary matters more, not less. An escalation ladder is at bottom a shared vocabulary: a way for two wary parties to agree, in advance, on what each rung means.</w:t>
      </w:r>
    </w:p>
    <w:p>
      <w:pPr>
        <w:pStyle w:val="BodyText"/>
        <w:spacing w:line="480" w:lineRule="auto"/>
        <w:ind w:firstLine="720"/>
      </w:pPr>
      <w:r>
        <w:t xml:space="preserve">Building that vocabulary well requires knowing where the field’s attention actually sits, as opposed to where commentators assert it sits. If the security literature is clustering around autonomy and escalation control, that clustering should be observable</w:t>
      </w:r>
      <w:r>
        <w:t xml:space="preserve"> </w:t>
      </w:r>
      <w:hyperlink w:anchor="ref-2">
        <w:r>
          <w:rPr>
            <w:rStyle w:val="Hyperlink"/>
          </w:rPr>
          <w:t xml:space="preserve">[2]</w:t>
        </w:r>
      </w:hyperlink>
      <w:r>
        <w:t xml:space="preserve">. If space-economy framing is entering the deterrence conversation, that entry should register in the venue structure of the corpus. A dissertation that can show, transparently, which of these movements are present in the documentary record and which are merely presumed does a real service, even when its own estimates are modest. Modesty about a screen is not the same as modesty about the question. The question is large. The screen is small. The honest reporting of the small screen is the contribution.</w:t>
      </w:r>
    </w:p>
    <w:p>
      <w:pPr>
        <w:pStyle w:val="BodyText"/>
        <w:spacing w:line="480" w:lineRule="auto"/>
        <w:ind w:firstLine="720"/>
      </w:pPr>
      <w:r>
        <w:t xml:space="preserve">There is a second stake, internal to the practice of building evidence. A doctoral project that manufactures confidence out of thin metadata corrodes the trust that later projects depend on. By binding every assertion to a workbook result, the dissertation models a discipline that scales. The reproducibility is not a stylistic flourish. It is the mechanism by which a small corpus can be trusted to say only what it actually supports</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62"/>
    <w:bookmarkStart w:id="63" w:name="the-falsifiable-contribution"/>
    <w:p>
      <w:pPr>
        <w:pStyle w:val="Heading2"/>
        <w:spacing w:line="480" w:lineRule="auto"/>
      </w:pPr>
      <w:r>
        <w:t xml:space="preserve">The falsifiable contribution</w:t>
      </w:r>
    </w:p>
    <w:p>
      <w:pPr>
        <w:pStyle w:val="FirstParagraph"/>
        <w:spacing w:line="480" w:lineRule="auto"/>
      </w:pPr>
      <w:r>
        <w:t xml:space="preserve">The dissertation reduces its ambition to a single falsifiable proposition, which it then subjects to two independent empirical tests drawn from the candidate’s own workbooks.</w:t>
      </w:r>
    </w:p>
    <w:p>
      <w:pPr>
        <w:pStyle w:val="BodyText"/>
        <w:spacing w:line="480" w:lineRule="auto"/>
        <w:ind w:firstLine="720"/>
      </w:pPr>
      <w:r>
        <w:t xml:space="preserve">The null hypothesis holds that the candidate topic signal is unrelated to publication recency, to citation attention, and to venue family within the retrieved source corpus. The alternative holds that the signal is systematically related to those three quantities. This is a hypothesis about corpus structure, not about the strategic behavior of states, and the dissertation is disciplined throughout about not letting the former masquerade as the latter.</w:t>
      </w:r>
    </w:p>
    <w:p>
      <w:pPr>
        <w:pStyle w:val="BodyText"/>
        <w:spacing w:line="480" w:lineRule="auto"/>
        <w:ind w:firstLine="720"/>
      </w:pPr>
      <w:r>
        <w:t xml:space="preserve">The first test estimates an ordinary least squares model of topic-signal intensity on recency, citation count, and venue family across thirty source records. The second estimates a log-log learning-curve model of citation accumulation on article age across the same thirty records. The two tests interrogate different faces of the same corpus. One asks where the topic signal is strong. The other asks how attention accrues over time. Read together they let the dissertation say, with numbers a reader can verify, which parts of the emergence story the retrieved corpus can support and which parts it cannot. Where a coefficient is signed and precise, the corpus shows structure. Where a coefficient is imprecise, the honest conclusion is that the screen has found no strong claim to license.</w:t>
      </w:r>
    </w:p>
    <w:bookmarkEnd w:id="63"/>
    <w:bookmarkStart w:id="64" w:name="what-this-dissertation-does-not-claim"/>
    <w:p>
      <w:pPr>
        <w:pStyle w:val="Heading2"/>
        <w:spacing w:line="480" w:lineRule="auto"/>
      </w:pPr>
      <w:r>
        <w:t xml:space="preserve">What this dissertation does not claim</w:t>
      </w:r>
    </w:p>
    <w:p>
      <w:pPr>
        <w:pStyle w:val="FirstParagraph"/>
        <w:spacing w:line="480" w:lineRule="auto"/>
      </w:pPr>
      <w:r>
        <w:t xml:space="preserve">A boundary drawn early saves confusion later. This project does not measure the actual escalatory behavior of any state. It does not resolve whether a given counterspace capability is stabilizing or destabilizing. It does not adjudicate between competing normative frameworks for space security, though it cites the venues where that adjudication is underway</w:t>
      </w:r>
      <w:r>
        <w:t xml:space="preserve"> </w:t>
      </w:r>
      <w:hyperlink w:anchor="ref-8">
        <w:r>
          <w:rPr>
            <w:rStyle w:val="Hyperlink"/>
          </w:rPr>
          <w:t xml:space="preserve">[8]</w:t>
        </w:r>
      </w:hyperlink>
      <w:r>
        <w:t xml:space="preserve"> </w:t>
      </w:r>
      <w:hyperlink w:anchor="ref-7">
        <w:r>
          <w:rPr>
            <w:rStyle w:val="Hyperlink"/>
          </w:rPr>
          <w:t xml:space="preserve">[7]</w:t>
        </w:r>
      </w:hyperlink>
      <w:r>
        <w:t xml:space="preserve">. The citation counts it uses are local index measures, not universal bibliometric totals, and the venue-family coding is ordinal and coarse. These are screening variables, and screening is a preliminary act. The dissertation earns its doctoral standing not by overclaiming but by making its evidentiary chain fully inspectable, so that a later document-coding study can pick up exactly where this one stops.</w:t>
      </w:r>
    </w:p>
    <w:bookmarkEnd w:id="64"/>
    <w:bookmarkStart w:id="65" w:name="roadmap"/>
    <w:p>
      <w:pPr>
        <w:pStyle w:val="Heading2"/>
        <w:spacing w:line="480" w:lineRule="auto"/>
      </w:pPr>
      <w:r>
        <w:t xml:space="preserve">Roadmap</w:t>
      </w:r>
    </w:p>
    <w:p>
      <w:pPr>
        <w:pStyle w:val="FirstParagraph"/>
        <w:spacing w:line="480" w:lineRule="auto"/>
      </w:pPr>
      <w:r>
        <w:t xml:space="preserve">The chapters proceed in the order a skeptical reader would demand. Chapter two situates the project against prior work, drawing the boundary between technical surveillance research, security and deterrence analysis, and the governance scholarship that must eventually knit them together</w:t>
      </w:r>
      <w:r>
        <w:t xml:space="preserve"> </w:t>
      </w:r>
      <w:hyperlink w:anchor="ref-3">
        <w:r>
          <w:rPr>
            <w:rStyle w:val="Hyperlink"/>
          </w:rPr>
          <w:t xml:space="preserve">[3]</w:t>
        </w:r>
      </w:hyperlink>
      <w:r>
        <w:t xml:space="preserve"> </w:t>
      </w:r>
      <w:hyperlink w:anchor="ref-8">
        <w:r>
          <w:rPr>
            <w:rStyle w:val="Hyperlink"/>
          </w:rPr>
          <w:t xml:space="preserve">[8]</w:t>
        </w:r>
      </w:hyperlink>
      <w:r>
        <w:t xml:space="preserve">. Chapter three states the theory: why an emerging governance concern should leave a bibliometric footprint, and what testable predictions follow. Chapter four sets out the two estimators and explains the sense in which each identifies the effect it targets. Chapter five documents the dataset, the provenance of every record, and the deterministic construction of each variable, with the sample size stated exactly. Chapter six reports the estimator output for both papers verbatim, coefficient by coefficient, and interprets the signs and magnitudes without inflating them. Chapter seven turns to discussion and limitations, naming the threats to validity that a design-stage screen cannot escape. Chapter eight draws the contribution together, connects it to governance and program relevance, and specifies the document-coding study that should follow.</w:t>
      </w:r>
    </w:p>
    <w:p>
      <w:pPr>
        <w:pStyle w:val="BodyText"/>
        <w:spacing w:line="480" w:lineRule="auto"/>
        <w:ind w:firstLine="720"/>
      </w:pPr>
      <w:r>
        <w:t xml:space="preserve">Throughout, the guiding commitment is the same one that motivates the project. A reader should be able to trace every claim back to a source, a variable, and a number. Where the numbers are strong the dissertation says so. Where they are weak it says that too, and it resists the temptation to dress weakness as nuance. This is what a design-stage screen owes the field it hopes to serve</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End w:id="65"/>
    <w:bookmarkStart w:id="66" w:name="why-the-corpus-and-not-a-case-study"/>
    <w:p>
      <w:pPr>
        <w:pStyle w:val="Heading2"/>
        <w:spacing w:line="480" w:lineRule="auto"/>
      </w:pPr>
      <w:r>
        <w:t xml:space="preserve">Why the corpus and not a case study</w:t>
      </w:r>
    </w:p>
    <w:p>
      <w:pPr>
        <w:pStyle w:val="FirstParagraph"/>
        <w:spacing w:line="480" w:lineRule="auto"/>
      </w:pPr>
      <w:r>
        <w:t xml:space="preserve">A reader steeped in security studies might reasonably ask why the dissertation screens a corpus rather than reconstructing a specific orbital crisis in narrative detail. The answer turns on what each approach can license. A single case, closely read, can generate a vivid hypothesis about how an escalation sequence might unfold, but it cannot tell you whether the concern that animates the case is idiosyncratic to that case or characteristic of the field’s broader attention</w:t>
      </w:r>
      <w:r>
        <w:t xml:space="preserve"> </w:t>
      </w:r>
      <w:hyperlink w:anchor="ref-1">
        <w:r>
          <w:rPr>
            <w:rStyle w:val="Hyperlink"/>
          </w:rPr>
          <w:t xml:space="preserve">[1]</w:t>
        </w:r>
      </w:hyperlink>
      <w:r>
        <w:t xml:space="preserve">. Case studies are generative and particular; screens are disciplining and general. The two are complements, and the sequence in which they are best deployed is not arbitrary. A screen that establishes whether a topic is even structured in the record belongs upstream of the case work that would code its content, because it tells the case researcher whether the phenomenon they are about to read for is one the field has begun to register at all</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There is also a practical reason rooted in the state of the subject. The counterspace domain is young enough that the canonical crises have not yet accumulated, and the events that do exist, a fragmentation here, a proximity operation there, are contested in their very interpretation</w:t>
      </w:r>
      <w:r>
        <w:t xml:space="preserve"> </w:t>
      </w:r>
      <w:hyperlink w:anchor="ref-9">
        <w:r>
          <w:rPr>
            <w:rStyle w:val="Hyperlink"/>
          </w:rPr>
          <w:t xml:space="preserve">[9]</w:t>
        </w:r>
      </w:hyperlink>
      <w:r>
        <w:t xml:space="preserve">. Building a dissertation on the close reading of a handful of ambiguous incidents would inherit all of that ambiguity without any external check. The corpus offers a check the individual incident cannot: it lets the candidate ask whether the field’s collective attention, expressed through what it writes and cites, shows the structure that a genuinely emergent concern should show. That question can be answered with obtainable evidence today, whereas a definitive reading of any single incident may have to wait years for declassification and hindsight</w:t>
      </w:r>
      <w:r>
        <w:t xml:space="preserve"> </w:t>
      </w:r>
      <w:hyperlink w:anchor="ref-12">
        <w:r>
          <w:rPr>
            <w:rStyle w:val="Hyperlink"/>
          </w:rPr>
          <w:t xml:space="preserve">[12]</w:t>
        </w:r>
      </w:hyperlink>
      <w:r>
        <w:t xml:space="preserve">.</w:t>
      </w:r>
    </w:p>
    <w:bookmarkEnd w:id="66"/>
    <w:bookmarkStart w:id="67" w:name="the-pipeline-and-the-standard-of-proof"/>
    <w:p>
      <w:pPr>
        <w:pStyle w:val="Heading2"/>
        <w:spacing w:line="480" w:lineRule="auto"/>
      </w:pPr>
      <w:r>
        <w:t xml:space="preserve">The pipeline and the standard of proof</w:t>
      </w:r>
    </w:p>
    <w:p>
      <w:pPr>
        <w:pStyle w:val="FirstParagraph"/>
        <w:spacing w:line="480" w:lineRule="auto"/>
      </w:pPr>
      <w:r>
        <w:t xml:space="preserve">This dissertation belongs to a structured program of candidate research, and that context shapes its standard of proof in a way worth making explicit. The program’s governing rule is that a doctoral project must leave behind an inspectable chain from source to number, so that a later reader, or a later project, can audit exactly what was done and build on it without re-litigating the foundations</w:t>
      </w:r>
      <w:r>
        <w:t xml:space="preserve"> </w:t>
      </w:r>
      <w:hyperlink w:anchor="ref-4">
        <w:r>
          <w:rPr>
            <w:rStyle w:val="Hyperlink"/>
          </w:rPr>
          <w:t xml:space="preserve">[4]</w:t>
        </w:r>
      </w:hyperlink>
      <w:r>
        <w:t xml:space="preserve"> </w:t>
      </w:r>
      <w:hyperlink w:anchor="ref-5">
        <w:r>
          <w:rPr>
            <w:rStyle w:val="Hyperlink"/>
          </w:rPr>
          <w:t xml:space="preserve">[5]</w:t>
        </w:r>
      </w:hyperlink>
      <w:r>
        <w:t xml:space="preserve">. That rule is why the dissertation reports raw estimator output rather than rounded summaries, why every data row keeps its source, and why the interpretation is bounded to what the coefficients can bear. The standard is not the standard of a polished policy essay, which persuades through rhetorical command. It is the standard of a reproducible screen, which persuades through the possibility of being checked and, if wrong, being caught. A project that meets the second standard can be trusted precisely because it does not ask to be trusted</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End w:id="67"/>
    <w:bookmarkStart w:id="68" w:name="the-shape-of-the-argument-to-come"/>
    <w:p>
      <w:pPr>
        <w:pStyle w:val="Heading2"/>
        <w:spacing w:line="480" w:lineRule="auto"/>
      </w:pPr>
      <w:r>
        <w:t xml:space="preserve">The shape of the argument to come</w:t>
      </w:r>
    </w:p>
    <w:p>
      <w:pPr>
        <w:pStyle w:val="FirstParagraph"/>
        <w:spacing w:line="480" w:lineRule="auto"/>
      </w:pPr>
      <w:r>
        <w:t xml:space="preserve">By the final chapter the dissertation will have made a claim smaller than its title and more durable than a policy essay could offer. It will have shown, with two independent tests over a documented corpus, that the counterspace-escalation topic carries measurable structure in the attention dimension, that recency does not carry the emergence story on its own, and that a surprising temporal result dissolves under scrutiny into a fact about how a local index scores records rather than a fact about the field</w:t>
      </w:r>
      <w:r>
        <w:t xml:space="preserve"> </w:t>
      </w:r>
      <w:hyperlink w:anchor="ref-5">
        <w:r>
          <w:rPr>
            <w:rStyle w:val="Hyperlink"/>
          </w:rPr>
          <w:t xml:space="preserve">[5]</w:t>
        </w:r>
      </w:hyperlink>
      <w:r>
        <w:t xml:space="preserve"> </w:t>
      </w:r>
      <w:hyperlink w:anchor="ref-6">
        <w:r>
          <w:rPr>
            <w:rStyle w:val="Hyperlink"/>
          </w:rPr>
          <w:t xml:space="preserve">[6]</w:t>
        </w:r>
      </w:hyperlink>
      <w:r>
        <w:t xml:space="preserve">. None of that builds the escalation ladder the domain needs. All of it lays one verified rail of the frame and marks, without embellishment, where the next study should take hold. The introduction ends where the method begins: with a promise that every subsequent claim will be answerable to a source, a variable, and a number that the reader is free to check</w:t>
      </w:r>
      <w:r>
        <w:t xml:space="preserve"> </w:t>
      </w:r>
      <w:hyperlink w:anchor="ref-3">
        <w:r>
          <w:rPr>
            <w:rStyle w:val="Hyperlink"/>
          </w:rPr>
          <w:t xml:space="preserve">[3]</w:t>
        </w:r>
      </w:hyperlink>
      <w:r>
        <w:t xml:space="preserve">.</w:t>
      </w:r>
    </w:p>
    <w:bookmarkEnd w:id="68"/>
    <w:bookmarkStart w:id="69" w:name="Xd1715d6f49ce021e9d03dd51a4735ab799197c9"/>
    <w:p>
      <w:pPr>
        <w:pStyle w:val="Heading2"/>
        <w:spacing w:line="480" w:lineRule="auto"/>
      </w:pPr>
      <w:r>
        <w:t xml:space="preserve">The escalation ladder as an object of measurement</w:t>
      </w:r>
    </w:p>
    <w:p>
      <w:pPr>
        <w:pStyle w:val="FirstParagraph"/>
        <w:spacing w:line="480" w:lineRule="auto"/>
      </w:pPr>
      <w:r>
        <w:t xml:space="preserve">The phrase escalation ladder carries a heavy inheritance, and it is worth pausing on what the dissertation does and does not take from it. In its original strategic use the ladder was a device for making the unthinkable thinkable in ordered steps, so that adversaries could recognize where they stood and what a further step would signify. The device presupposed a shared reading of the rungs. Two parties could deter one another only if each understood the other’s ladder well enough to know which move meant what</w:t>
      </w:r>
      <w:r>
        <w:t xml:space="preserve"> </w:t>
      </w:r>
      <w:hyperlink w:anchor="ref-1">
        <w:r>
          <w:rPr>
            <w:rStyle w:val="Hyperlink"/>
          </w:rPr>
          <w:t xml:space="preserve">[1]</w:t>
        </w:r>
      </w:hyperlink>
      <w:r>
        <w:t xml:space="preserve">. Transplanting the device to orbit exposes how much of that shared reading is missing. There is no agreement on whether a proximity operation is a threat or a service, whether a dazzling event is a warning or an accident, whether a debris-generating test is a demonstration or mere recklessness</w:t>
      </w:r>
      <w:r>
        <w:t xml:space="preserve"> </w:t>
      </w:r>
      <w:hyperlink w:anchor="ref-10">
        <w:r>
          <w:rPr>
            <w:rStyle w:val="Hyperlink"/>
          </w:rPr>
          <w:t xml:space="preserve">[10]</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The dissertation does not try to supply the missing agreement. It asks a prior and more tractable question: before anyone can code the rungs, is the concern that would motivate the coding even present in the field’s documentary record in a structured way? A ladder assembled from a literature that has not yet organized around the topic would be a ladder built on sand. By screening for structure first, the dissertation checks the ground before the building begins, and it treats the ladder itself as a downstream object that a later, content-coding study must construct once the ground is known to be firm</w:t>
      </w:r>
      <w:r>
        <w:t xml:space="preserve"> </w:t>
      </w:r>
      <w:hyperlink w:anchor="ref-2">
        <w:r>
          <w:rPr>
            <w:rStyle w:val="Hyperlink"/>
          </w:rPr>
          <w:t xml:space="preserve">[2]</w:t>
        </w:r>
      </w:hyperlink>
      <w:r>
        <w:t xml:space="preserve">.</w:t>
      </w:r>
    </w:p>
    <w:bookmarkEnd w:id="69"/>
    <w:bookmarkStart w:id="70" w:name="Xaa381337e157796e299ed6f1d3872070bd89cc9"/>
    <w:p>
      <w:pPr>
        <w:pStyle w:val="Heading2"/>
        <w:spacing w:line="480" w:lineRule="auto"/>
      </w:pPr>
      <w:r>
        <w:t xml:space="preserve">Reproducibility as the load-bearing commitment</w:t>
      </w:r>
    </w:p>
    <w:p>
      <w:pPr>
        <w:pStyle w:val="FirstParagraph"/>
        <w:spacing w:line="480" w:lineRule="auto"/>
      </w:pPr>
      <w:r>
        <w:t xml:space="preserve">If a single commitment holds the dissertation together, it is reproducibility, and the introduction states it as a commitment rather than a slogan. Every number reported in the results chapter is the raw output of a workbook that operates on a documented dataset, and every variable in that dataset is built by a deterministic rule that a second analyst could apply to the same sources and obtain the same values</w:t>
      </w:r>
      <w:r>
        <w:t xml:space="preserve"> </w:t>
      </w:r>
      <w:hyperlink w:anchor="ref-4">
        <w:r>
          <w:rPr>
            <w:rStyle w:val="Hyperlink"/>
          </w:rPr>
          <w:t xml:space="preserve">[4]</w:t>
        </w:r>
      </w:hyperlink>
      <w:r>
        <w:t xml:space="preserve"> </w:t>
      </w:r>
      <w:hyperlink w:anchor="ref-5">
        <w:r>
          <w:rPr>
            <w:rStyle w:val="Hyperlink"/>
          </w:rPr>
          <w:t xml:space="preserve">[5]</w:t>
        </w:r>
      </w:hyperlink>
      <w:r>
        <w:t xml:space="preserve">. This is a stronger standard than transparency alone. A transparent study shows its work; a reproducible study lets someone else redo the work and check that the answer holds. The difference matters most exactly where the temptation to overclaim is greatest, in a domain as consequential as space security, where a confident sentence can travel further than the evidence behind it.</w:t>
      </w:r>
    </w:p>
    <w:p>
      <w:pPr>
        <w:pStyle w:val="BodyText"/>
        <w:spacing w:line="480" w:lineRule="auto"/>
        <w:ind w:firstLine="720"/>
      </w:pPr>
      <w:r>
        <w:t xml:space="preserve">The commitment has a cost the introduction does not hide. Reproducibility forces the dissertation to renounce the interpretive freedom that a purely narrative treatment would enjoy. It cannot reach for a striking causal claim, because no causal claim survives the audit. It cannot smooth over an awkward result, because the awkward result is in the workbook for anyone to find. What it gains in exchange is a kind of durability that narrative cannot match: a finding that has been checked, or that at least can be, does not depend on the reader’s trust in the author, and it therefore remains standing when the author is no longer present to defend it. That durability is the whole reason a design-stage screen is worth writing, and it is the standard against which every following chapter should be read</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70"/>
    <w:bookmarkEnd w:id="71"/>
    <w:bookmarkStart w:id="84" w:name="literature-review"/>
    <w:p>
      <w:pPr>
        <w:pStyle w:val="Heading1"/>
        <w:spacing w:line="480" w:lineRule="auto"/>
      </w:pPr>
      <w:r>
        <w:t xml:space="preserve">Literature Review</w:t>
      </w:r>
    </w:p>
    <w:p>
      <w:pPr>
        <w:pStyle w:val="FirstParagraph"/>
        <w:spacing w:line="480" w:lineRule="auto"/>
      </w:pPr>
      <w:r>
        <w:t xml:space="preserve">The scholarship that surrounds counterspace escalation does not form a single conversation. It forms three, and they rarely sit at the same table. One conversation belongs to the engineers who observe and characterize what happens on orbit. A second belongs to the strategists and security analysts who ask what those events mean for deterrence and stability. A third belongs to the governance scholars who try to write rules that both of the other groups can live with. This chapter reads across all three, because the dissertation’s central wager is that the seams between them are where an emerging concern first becomes visible.</w:t>
      </w:r>
    </w:p>
    <w:bookmarkStart w:id="72" w:name="technical-surveillance-as-the-substrate"/>
    <w:p>
      <w:pPr>
        <w:pStyle w:val="Heading2"/>
        <w:spacing w:line="480" w:lineRule="auto"/>
      </w:pPr>
      <w:r>
        <w:t xml:space="preserve">Technical surveillance as the substrate</w:t>
      </w:r>
    </w:p>
    <w:p>
      <w:pPr>
        <w:pStyle w:val="FirstParagraph"/>
        <w:spacing w:line="480" w:lineRule="auto"/>
      </w:pPr>
      <w:r>
        <w:t xml:space="preserve">Everything begins with observation. Nothing else works without it. Before any state can be deterred or any norm written, someone has to know what is on orbit, where it is, and whether its behavior has changed. The surveillance literature is where that knowledge is manufactured, and it is unglamorous, exacting work. Photometric characterization of resident space objects, the determination of measurement error, the categorization of satellites by their optical signatures: these are the load-bearing tasks that make higher-order claims possible</w:t>
      </w:r>
      <w:r>
        <w:t xml:space="preserve"> </w:t>
      </w:r>
      <w:hyperlink w:anchor="ref-5">
        <w:r>
          <w:rPr>
            <w:rStyle w:val="Hyperlink"/>
          </w:rPr>
          <w:t xml:space="preserve">[5]</w:t>
        </w:r>
      </w:hyperlink>
      <w:r>
        <w:t xml:space="preserve"> </w:t>
      </w:r>
      <w:hyperlink w:anchor="ref-6">
        <w:r>
          <w:rPr>
            <w:rStyle w:val="Hyperlink"/>
          </w:rPr>
          <w:t xml:space="preserve">[6]</w:t>
        </w:r>
      </w:hyperlink>
      <w:r>
        <w:t xml:space="preserve">. When a paper reports the error budget of a photometric method, it is not making a policy argument. It is establishing the floor of confidence beneath which any escalation claim would collapse.</w:t>
      </w:r>
    </w:p>
    <w:p>
      <w:pPr>
        <w:pStyle w:val="BodyText"/>
        <w:spacing w:line="480" w:lineRule="auto"/>
        <w:ind w:firstLine="720"/>
      </w:pPr>
      <w:r>
        <w:t xml:space="preserve">Decision support sits one layer up. Operators do not consume raw tracks. They consume products, and the quality of those products depends on how well the supporting systems fuse data, flag anomalies, and present uncertainty. The cognitive-systems-engineering literature treats operator confidence as itself an object of study, asking when an automated space situational awareness system earns trust and when it should defer to a human</w:t>
      </w:r>
      <w:r>
        <w:t xml:space="preserve"> </w:t>
      </w:r>
      <w:hyperlink w:anchor="ref-3">
        <w:r>
          <w:rPr>
            <w:rStyle w:val="Hyperlink"/>
          </w:rPr>
          <w:t xml:space="preserve">[3]</w:t>
        </w:r>
      </w:hyperlink>
      <w:r>
        <w:t xml:space="preserve"> </w:t>
      </w:r>
      <w:hyperlink w:anchor="ref-4">
        <w:r>
          <w:rPr>
            <w:rStyle w:val="Hyperlink"/>
          </w:rPr>
          <w:t xml:space="preserve">[4]</w:t>
        </w:r>
      </w:hyperlink>
      <w:r>
        <w:t xml:space="preserve">. This matters enormously for escalation, because a misplaced confidence in an automated attribution is exactly the kind of error that turns an accident into a crisis. The operator who believes a false positive may recommend a response that the true state of the world never warranted.</w:t>
      </w:r>
    </w:p>
    <w:p>
      <w:pPr>
        <w:pStyle w:val="BodyText"/>
        <w:spacing w:line="480" w:lineRule="auto"/>
        <w:ind w:firstLine="720"/>
      </w:pPr>
      <w:r>
        <w:t xml:space="preserve">The substrate literature has a characteristic silence. It stops at the point where the technical question ends and the political question begins. A satellite categorization laboratory can tell you that an object’s signature is consistent with a maneuverable platform</w:t>
      </w:r>
      <w:r>
        <w:t xml:space="preserve"> </w:t>
      </w:r>
      <w:hyperlink w:anchor="ref-6">
        <w:r>
          <w:rPr>
            <w:rStyle w:val="Hyperlink"/>
          </w:rPr>
          <w:t xml:space="preserve">[6]</w:t>
        </w:r>
      </w:hyperlink>
      <w:r>
        <w:t xml:space="preserve">. It cannot tell you whether that platform’s approach to a neighbor is a threat, a demonstration, or routine station-keeping. That silence is not a failure of the technical work. It is the boundary of its remit, and the dissertation treats crossing that boundary as the field’s genuine open problem.</w:t>
      </w:r>
    </w:p>
    <w:bookmarkEnd w:id="72"/>
    <w:bookmarkStart w:id="73" w:name="Xeb281a5c1df7eadb3eb6d4794f18783cf1a1a74"/>
    <w:p>
      <w:pPr>
        <w:pStyle w:val="Heading2"/>
        <w:spacing w:line="480" w:lineRule="auto"/>
      </w:pPr>
      <w:r>
        <w:t xml:space="preserve">Security, deterrence, and the escalation question</w:t>
      </w:r>
    </w:p>
    <w:p>
      <w:pPr>
        <w:pStyle w:val="FirstParagraph"/>
        <w:spacing w:line="480" w:lineRule="auto"/>
      </w:pPr>
      <w:r>
        <w:t xml:space="preserve">The second conversation picks up where the first goes quiet. Here the object is not the track but the meaning of the track. Analysts working on artificial intelligence and autonomy in space have argued that the introduction of machine speed into orbital decision-making changes the escalation calculus in ways that are not yet well understood, because autonomy compresses the time available for the deliberation that deterrence has historically relied upon</w:t>
      </w:r>
      <w:r>
        <w:t xml:space="preserve"> </w:t>
      </w:r>
      <w:hyperlink w:anchor="ref-2">
        <w:r>
          <w:rPr>
            <w:rStyle w:val="Hyperlink"/>
          </w:rPr>
          <w:t xml:space="preserve">[2]</w:t>
        </w:r>
      </w:hyperlink>
      <w:r>
        <w:t xml:space="preserve">. When a system can act faster than a human can reconsider, the classical picture of an escalation ladder, with its implicit assumption of pauses between rungs, starts to strain.</w:t>
      </w:r>
    </w:p>
    <w:p>
      <w:pPr>
        <w:pStyle w:val="BodyText"/>
        <w:spacing w:line="480" w:lineRule="auto"/>
        <w:ind w:firstLine="720"/>
      </w:pPr>
      <w:r>
        <w:t xml:space="preserve">The debris dimension enters the security conversation through a specific and unsettling mechanism. Work on space debris and nuclear strategic stability has shown that collision risk and attribution difficulty in the geostationary belt can couple orbital events to terrestrial nuclear reasoning, because an actor unable to distinguish an accidental fragmentation from a deliberate strike may respond as though the worst case were true</w:t>
      </w:r>
      <w:r>
        <w:t xml:space="preserve"> </w:t>
      </w:r>
      <w:hyperlink w:anchor="ref-1">
        <w:r>
          <w:rPr>
            <w:rStyle w:val="Hyperlink"/>
          </w:rPr>
          <w:t xml:space="preserve">[1]</w:t>
        </w:r>
      </w:hyperlink>
      <w:r>
        <w:t xml:space="preserve">. The Cosmos 1408 fragmentation gave the field a concrete referent: a single event that produced a debris field threatening inhabited platforms and large constellations, on a timescale that left little room for measured response</w:t>
      </w:r>
      <w:r>
        <w:t xml:space="preserve"> </w:t>
      </w:r>
      <w:hyperlink w:anchor="ref-9">
        <w:r>
          <w:rPr>
            <w:rStyle w:val="Hyperlink"/>
          </w:rPr>
          <w:t xml:space="preserve">[9]</w:t>
        </w:r>
      </w:hyperlink>
      <w:r>
        <w:t xml:space="preserve">. These are the raw materials of an escalation ladder that no one has yet finished building.</w:t>
      </w:r>
    </w:p>
    <w:p>
      <w:pPr>
        <w:pStyle w:val="BodyText"/>
        <w:spacing w:line="480" w:lineRule="auto"/>
        <w:ind w:firstLine="720"/>
      </w:pPr>
      <w:r>
        <w:t xml:space="preserve">New capability categories keep widening the security agenda. The institutional questions raised by laser use in outer space remain unresolved, with the governance framework lagging behind the technology it is meant to constrain</w:t>
      </w:r>
      <w:r>
        <w:t xml:space="preserve"> </w:t>
      </w:r>
      <w:hyperlink w:anchor="ref-10">
        <w:r>
          <w:rPr>
            <w:rStyle w:val="Hyperlink"/>
          </w:rPr>
          <w:t xml:space="preserve">[10]</w:t>
        </w:r>
      </w:hyperlink>
      <w:r>
        <w:t xml:space="preserve">. Cyber operations against space systems raise a parallel problem, since the command structures responsible for space and for cyber were built separately and now must coordinate across a seam that adversaries can exploit</w:t>
      </w:r>
      <w:r>
        <w:t xml:space="preserve"> </w:t>
      </w:r>
      <w:hyperlink w:anchor="ref-12">
        <w:r>
          <w:rPr>
            <w:rStyle w:val="Hyperlink"/>
          </w:rPr>
          <w:t xml:space="preserve">[12]</w:t>
        </w:r>
      </w:hyperlink>
      <w:r>
        <w:t xml:space="preserve">. Hybrid threats that blend kinetic, electronic, and informational means against both space and ground segments have pushed at least one major bloc toward an integrated defense-and-security posture</w:t>
      </w:r>
      <w:r>
        <w:t xml:space="preserve"> </w:t>
      </w:r>
      <w:hyperlink w:anchor="ref-11">
        <w:r>
          <w:rPr>
            <w:rStyle w:val="Hyperlink"/>
          </w:rPr>
          <w:t xml:space="preserve">[11]</w:t>
        </w:r>
      </w:hyperlink>
      <w:r>
        <w:t xml:space="preserve">. Each of these strands adds a rung, or a whole side, to the ladder, and each is young enough that its documentary footprint should still be growing.</w:t>
      </w:r>
    </w:p>
    <w:bookmarkEnd w:id="73"/>
    <w:bookmarkStart w:id="74" w:name="governance-and-the-problem-of-norms"/>
    <w:p>
      <w:pPr>
        <w:pStyle w:val="Heading2"/>
        <w:spacing w:line="480" w:lineRule="auto"/>
      </w:pPr>
      <w:r>
        <w:t xml:space="preserve">Governance and the problem of norms</w:t>
      </w:r>
    </w:p>
    <w:p>
      <w:pPr>
        <w:pStyle w:val="FirstParagraph"/>
        <w:spacing w:line="480" w:lineRule="auto"/>
      </w:pPr>
      <w:r>
        <w:t xml:space="preserve">The third conversation asks what rules could plausibly hold. Norm entrepreneurs have argued that safety-oriented space traffic management norms, developed for reasons that look purely operational, can do double duty as security-strengthening measures, because a shared expectation about safe conduct narrows the space for ambiguous provocation</w:t>
      </w:r>
      <w:r>
        <w:t xml:space="preserve"> </w:t>
      </w:r>
      <w:hyperlink w:anchor="ref-8">
        <w:r>
          <w:rPr>
            <w:rStyle w:val="Hyperlink"/>
          </w:rPr>
          <w:t xml:space="preserve">[8]</w:t>
        </w:r>
      </w:hyperlink>
      <w:r>
        <w:t xml:space="preserve">. The claim is attractive precisely because it routes around the deadlock of formal arms control by building from technical practice upward.</w:t>
      </w:r>
    </w:p>
    <w:p>
      <w:pPr>
        <w:pStyle w:val="BodyText"/>
        <w:spacing w:line="480" w:lineRule="auto"/>
        <w:ind w:firstLine="720"/>
      </w:pPr>
      <w:r>
        <w:t xml:space="preserve">National and regional strategy documents supply another window. Analysis of an emerging middle-power space policy has shown how a state can frame its space situational awareness contribution as burden-sharing within an alliance, converting a technical capability into a currency of strategic reassurance</w:t>
      </w:r>
      <w:r>
        <w:t xml:space="preserve"> </w:t>
      </w:r>
      <w:hyperlink w:anchor="ref-7">
        <w:r>
          <w:rPr>
            <w:rStyle w:val="Hyperlink"/>
          </w:rPr>
          <w:t xml:space="preserve">[7]</w:t>
        </w:r>
      </w:hyperlink>
      <w:r>
        <w:t xml:space="preserve">. This reframing is itself a signal: when a technical activity acquires a security vocabulary, the governance conversation has begun to absorb it. The venue in which such framing appears carries information about how far the absorption has gone.</w:t>
      </w:r>
    </w:p>
    <w:p>
      <w:pPr>
        <w:pStyle w:val="BodyText"/>
        <w:spacing w:line="480" w:lineRule="auto"/>
        <w:ind w:firstLine="720"/>
      </w:pPr>
      <w:r>
        <w:t xml:space="preserve">Governance scholarship shares the security literature’s difficulty with measurement. It can describe a norm’s logic and trace its diffusion anecdotally, but it struggles to say, in numbers, whether a topic is gaining or losing institutional attention. That difficulty is the opening the dissertation tries to occupy, not by resolving the normative debates but by measuring the corpus in which they take place.</w:t>
      </w:r>
    </w:p>
    <w:bookmarkEnd w:id="74"/>
    <w:bookmarkStart w:id="75" w:name="the-measurement-gap"/>
    <w:p>
      <w:pPr>
        <w:pStyle w:val="Heading2"/>
        <w:spacing w:line="480" w:lineRule="auto"/>
      </w:pPr>
      <w:r>
        <w:t xml:space="preserve">The measurement gap</w:t>
      </w:r>
    </w:p>
    <w:p>
      <w:pPr>
        <w:pStyle w:val="FirstParagraph"/>
        <w:spacing w:line="480" w:lineRule="auto"/>
      </w:pPr>
      <w:r>
        <w:t xml:space="preserve">Across all three conversations a common weakness recurs. Each can establish that a topic matters. None routinely establishes, with reproducible quantities, where the field’s attention is concentrated and how it is moving. Salience is asserted from reading rather than demonstrated from counting. The candidate topic, counterspace escalation, is a hard case for exactly this reason: it lives at the seam between technical, security, and governance writing, and its salience is easy to feel and hard to prove.</w:t>
      </w:r>
    </w:p>
    <w:p>
      <w:pPr>
        <w:pStyle w:val="BodyText"/>
        <w:spacing w:line="480" w:lineRule="auto"/>
        <w:ind w:firstLine="720"/>
      </w:pPr>
      <w:r>
        <w:t xml:space="preserve">This is where a bibliometric screen earns its keep. Publication recency, citation attention, and venue family are humble variables, but they are countable, and counting them converts an impression into a testable proposition</w:t>
      </w:r>
      <w:r>
        <w:t xml:space="preserve"> </w:t>
      </w:r>
      <w:hyperlink w:anchor="ref-4">
        <w:r>
          <w:rPr>
            <w:rStyle w:val="Hyperlink"/>
          </w:rPr>
          <w:t xml:space="preserve">[4]</w:t>
        </w:r>
      </w:hyperlink>
      <w:r>
        <w:t xml:space="preserve"> </w:t>
      </w:r>
      <w:hyperlink w:anchor="ref-6">
        <w:r>
          <w:rPr>
            <w:rStyle w:val="Hyperlink"/>
          </w:rPr>
          <w:t xml:space="preserve">[6]</w:t>
        </w:r>
      </w:hyperlink>
      <w:r>
        <w:t xml:space="preserve">. The dissertation does not present these variables as a substitute for close reading of the substantive literature reviewed above. It presents them as a discipline on the reading, a way to check whether the topics the field talks about most are also the topics its documentary record actually foregrounds.</w:t>
      </w:r>
    </w:p>
    <w:bookmarkEnd w:id="75"/>
    <w:bookmarkStart w:id="76" w:name="positioning-the-contribution"/>
    <w:p>
      <w:pPr>
        <w:pStyle w:val="Heading2"/>
        <w:spacing w:line="480" w:lineRule="auto"/>
      </w:pPr>
      <w:r>
        <w:t xml:space="preserve">Positioning the contribution</w:t>
      </w:r>
    </w:p>
    <w:p>
      <w:pPr>
        <w:pStyle w:val="FirstParagraph"/>
        <w:spacing w:line="480" w:lineRule="auto"/>
      </w:pPr>
      <w:r>
        <w:t xml:space="preserve">The contribution of this dissertation is located precisely at the measurement gap, and its modesty is deliberate. It does not add a new deterrence theory to the security literature</w:t>
      </w:r>
      <w:r>
        <w:t xml:space="preserve"> </w:t>
      </w:r>
      <w:hyperlink w:anchor="ref-2">
        <w:r>
          <w:rPr>
            <w:rStyle w:val="Hyperlink"/>
          </w:rPr>
          <w:t xml:space="preserve">[2]</w:t>
        </w:r>
      </w:hyperlink>
      <w:r>
        <w:t xml:space="preserve">. It does not propose a new norm to the governance literature</w:t>
      </w:r>
      <w:r>
        <w:t xml:space="preserve"> </w:t>
      </w:r>
      <w:hyperlink w:anchor="ref-8">
        <w:r>
          <w:rPr>
            <w:rStyle w:val="Hyperlink"/>
          </w:rPr>
          <w:t xml:space="preserve">[8]</w:t>
        </w:r>
      </w:hyperlink>
      <w:r>
        <w:t xml:space="preserve">. It does not improve a photometric method for the technical literature</w:t>
      </w:r>
      <w:r>
        <w:t xml:space="preserve"> </w:t>
      </w:r>
      <w:hyperlink w:anchor="ref-5">
        <w:r>
          <w:rPr>
            <w:rStyle w:val="Hyperlink"/>
          </w:rPr>
          <w:t xml:space="preserve">[5]</w:t>
        </w:r>
      </w:hyperlink>
      <w:r>
        <w:t xml:space="preserve">. What it adds is a reproducible screen that takes a corpus assembled from all three conversations and asks whether the candidate topic’s signal is structured by recency, attention, and venue. A positive answer tells the field that its intuition about salience has a documentary basis. A null answer tells the field that the intuition, whatever its merits, is not yet legible in the retrieved record. Either outcome is useful, and both are honest, which is the standard a design-stage screen must meet before it earns the right to inform anything larger</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End w:id="76"/>
    <w:bookmarkStart w:id="77" w:name="X518313544ff1fcf1ed6cb9a89ae28ec2ea33d91"/>
    <w:p>
      <w:pPr>
        <w:pStyle w:val="Heading2"/>
        <w:spacing w:line="480" w:lineRule="auto"/>
      </w:pPr>
      <w:r>
        <w:t xml:space="preserve">The attribution problem as a connective thread</w:t>
      </w:r>
    </w:p>
    <w:p>
      <w:pPr>
        <w:pStyle w:val="FirstParagraph"/>
        <w:spacing w:line="480" w:lineRule="auto"/>
      </w:pPr>
      <w:r>
        <w:t xml:space="preserve">One thread runs through all three conversations and binds them more tightly than any of the participants usually acknowledges: attribution. The technical literature exists in part to make attribution possible, since characterizing an object well enough to say what it is and how it is behaving is the precondition for saying who did what</w:t>
      </w:r>
      <w:r>
        <w:t xml:space="preserve"> </w:t>
      </w:r>
      <w:hyperlink w:anchor="ref-5">
        <w:r>
          <w:rPr>
            <w:rStyle w:val="Hyperlink"/>
          </w:rPr>
          <w:t xml:space="preserve">[5]</w:t>
        </w:r>
      </w:hyperlink>
      <w:r>
        <w:t xml:space="preserve"> </w:t>
      </w:r>
      <w:hyperlink w:anchor="ref-6">
        <w:r>
          <w:rPr>
            <w:rStyle w:val="Hyperlink"/>
          </w:rPr>
          <w:t xml:space="preserve">[6]</w:t>
        </w:r>
      </w:hyperlink>
      <w:r>
        <w:t xml:space="preserve">. The security literature turns on attribution because deterrence collapses when a defender cannot credibly identify an attacker, and an escalation ladder with unattributable rungs is a ladder no one can climb deliberately</w:t>
      </w:r>
      <w:r>
        <w:t xml:space="preserve"> </w:t>
      </w:r>
      <w:hyperlink w:anchor="ref-1">
        <w:r>
          <w:rPr>
            <w:rStyle w:val="Hyperlink"/>
          </w:rPr>
          <w:t xml:space="preserve">[1]</w:t>
        </w:r>
      </w:hyperlink>
      <w:r>
        <w:t xml:space="preserve">. The governance literature confronts attribution because norms without the ability to detect and assign violations are norms without teeth</w:t>
      </w:r>
      <w:r>
        <w:t xml:space="preserve"> </w:t>
      </w:r>
      <w:hyperlink w:anchor="ref-8">
        <w:r>
          <w:rPr>
            <w:rStyle w:val="Hyperlink"/>
          </w:rPr>
          <w:t xml:space="preserve">[8]</w:t>
        </w:r>
      </w:hyperlink>
      <w:r>
        <w:t xml:space="preserve">.</w:t>
      </w:r>
    </w:p>
    <w:p>
      <w:pPr>
        <w:pStyle w:val="BodyText"/>
        <w:spacing w:line="480" w:lineRule="auto"/>
        <w:ind w:firstLine="720"/>
      </w:pPr>
      <w:r>
        <w:t xml:space="preserve">The debris case makes the stakes of attribution vivid. In the geostationary belt, where collision risk and the difficulty of distinguishing accident from attack couple orbital events to strategic reasoning, the inability to attribute a fragmentation is not a technical inconvenience but a pathway to inadvertent escalation</w:t>
      </w:r>
      <w:r>
        <w:t xml:space="preserve"> </w:t>
      </w:r>
      <w:hyperlink w:anchor="ref-1">
        <w:r>
          <w:rPr>
            <w:rStyle w:val="Hyperlink"/>
          </w:rPr>
          <w:t xml:space="preserve">[1]</w:t>
        </w:r>
      </w:hyperlink>
      <w:r>
        <w:t xml:space="preserve">. The Cosmos 1408 event demonstrated the same dynamic in low orbit, where a single fragmentation produced a hazard to inhabited platforms on a timescale that left little room to establish, calmly, what had happened and why</w:t>
      </w:r>
      <w:r>
        <w:t xml:space="preserve"> </w:t>
      </w:r>
      <w:hyperlink w:anchor="ref-9">
        <w:r>
          <w:rPr>
            <w:rStyle w:val="Hyperlink"/>
          </w:rPr>
          <w:t xml:space="preserve">[9]</w:t>
        </w:r>
      </w:hyperlink>
      <w:r>
        <w:t xml:space="preserve">. When attribution is slow and the physical consequences are fast, the gap between the two is exactly where an escalation ladder is most needed and least available. That the three literatures each circle this problem from a different side, without a shared measurement of how the concern is distributed across them, is one more instance of the seam this dissertation examines.</w:t>
      </w:r>
    </w:p>
    <w:bookmarkEnd w:id="77"/>
    <w:bookmarkStart w:id="78" w:name="Xa12eb147345c2462ff1fe293f267f55b62ac9a5"/>
    <w:p>
      <w:pPr>
        <w:pStyle w:val="Heading2"/>
        <w:spacing w:line="480" w:lineRule="auto"/>
      </w:pPr>
      <w:r>
        <w:t xml:space="preserve">Autonomy, speed, and the strain on classical models</w:t>
      </w:r>
    </w:p>
    <w:p>
      <w:pPr>
        <w:pStyle w:val="FirstParagraph"/>
        <w:spacing w:line="480" w:lineRule="auto"/>
      </w:pPr>
      <w:r>
        <w:t xml:space="preserve">A further strand deserves separate treatment because it threatens the assumptions on which the escalation-ladder metaphor itself rests. Classical escalation theory presumed human deliberation between rungs, a pause in which each side could reconsider before raising the stakes. Autonomy removes the pause. When decision aids and, potentially, decision authority operate at machine speed, the interval in which reconsideration was supposed to happen can shrink below the threshold at which a human could intervene meaningfully</w:t>
      </w:r>
      <w:r>
        <w:t xml:space="preserve"> </w:t>
      </w:r>
      <w:hyperlink w:anchor="ref-2">
        <w:r>
          <w:rPr>
            <w:rStyle w:val="Hyperlink"/>
          </w:rPr>
          <w:t xml:space="preserve">[2]</w:t>
        </w:r>
      </w:hyperlink>
      <w:r>
        <w:t xml:space="preserve">. The security literature has begun to register this as a first-order problem for escalation control, arguing that the introduction of autonomy changes not just the speed of the ladder but its very topology, since rungs that were once sequential can become simultaneous</w:t>
      </w:r>
      <w:r>
        <w:t xml:space="preserve"> </w:t>
      </w:r>
      <w:hyperlink w:anchor="ref-2">
        <w:r>
          <w:rPr>
            <w:rStyle w:val="Hyperlink"/>
          </w:rPr>
          <w:t xml:space="preserve">[2]</w:t>
        </w:r>
      </w:hyperlink>
      <w:r>
        <w:t xml:space="preserve">.</w:t>
      </w:r>
    </w:p>
    <w:p>
      <w:pPr>
        <w:pStyle w:val="BodyText"/>
        <w:spacing w:line="480" w:lineRule="auto"/>
        <w:ind w:firstLine="720"/>
      </w:pPr>
      <w:r>
        <w:t xml:space="preserve">The operator-confidence literature supplies the counterweight. Work on when an automated space situational awareness system earns an operator’s trust, and when it should defer, is precisely the study of how to keep a human meaningfully in the loop as autonomy grows</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These two strands, the security concern about speed and the human-factors concern about trust, are two halves of the same question, and they belong in the same corpus even though they are usually published in different venues. A screen that measures how attention is distributed across such venue families is, among other things, a way of asking whether the field has begun to knit these halves together or whether they remain apart.</w:t>
      </w:r>
    </w:p>
    <w:bookmarkEnd w:id="78"/>
    <w:bookmarkStart w:id="79" w:name="Xf695706942148df79c10793e13485657feb04f6"/>
    <w:p>
      <w:pPr>
        <w:pStyle w:val="Heading2"/>
        <w:spacing w:line="480" w:lineRule="auto"/>
      </w:pPr>
      <w:r>
        <w:t xml:space="preserve">What a bibliometric screen borrows and what it must not</w:t>
      </w:r>
    </w:p>
    <w:p>
      <w:pPr>
        <w:pStyle w:val="FirstParagraph"/>
        <w:spacing w:line="480" w:lineRule="auto"/>
      </w:pPr>
      <w:r>
        <w:t xml:space="preserve">The screen this dissertation runs borrows a logic from the study of how scientific attention accumulates, treating citations and recency as observable traces of a field’s evolving agenda</w:t>
      </w:r>
      <w:r>
        <w:t xml:space="preserve"> </w:t>
      </w:r>
      <w:hyperlink w:anchor="ref-4">
        <w:r>
          <w:rPr>
            <w:rStyle w:val="Hyperlink"/>
          </w:rPr>
          <w:t xml:space="preserve">[4]</w:t>
        </w:r>
      </w:hyperlink>
      <w:r>
        <w:t xml:space="preserve"> </w:t>
      </w:r>
      <w:hyperlink w:anchor="ref-6">
        <w:r>
          <w:rPr>
            <w:rStyle w:val="Hyperlink"/>
          </w:rPr>
          <w:t xml:space="preserve">[6]</w:t>
        </w:r>
      </w:hyperlink>
      <w:r>
        <w:t xml:space="preserve">. That borrowing is legitimate only within strict limits, and naming the limits here prevents the literature review from overselling the method. Bibliometric signals are informative about where a conversation is concentrated; they are silent about whether the conversation is correct. A topic can command attention and be wrong, or be neglected and be right. The screen measures the distribution of attention, not the validity of the claims that attention rewards</w:t>
      </w:r>
      <w:r>
        <w:t xml:space="preserve"> </w:t>
      </w:r>
      <w:hyperlink w:anchor="ref-5">
        <w:r>
          <w:rPr>
            <w:rStyle w:val="Hyperlink"/>
          </w:rPr>
          <w:t xml:space="preserve">[5]</w:t>
        </w:r>
      </w:hyperlink>
      <w:r>
        <w:t xml:space="preserve">. Read with that boundary in place, the measurement literature supplies a genuine tool for the measurement gap. Read without it, the same tool becomes a way of mistaking popularity for truth, which is the error a careful screen is built to avoid</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End w:id="79"/>
    <w:bookmarkStart w:id="80" w:name="X5fb20c1461c696d8b6f788722d915f2f20bd1ad"/>
    <w:p>
      <w:pPr>
        <w:pStyle w:val="Heading2"/>
        <w:spacing w:line="480" w:lineRule="auto"/>
      </w:pPr>
      <w:r>
        <w:t xml:space="preserve">Norms from safety and the alternative to arms control</w:t>
      </w:r>
    </w:p>
    <w:p>
      <w:pPr>
        <w:pStyle w:val="FirstParagraph"/>
        <w:spacing w:line="480" w:lineRule="auto"/>
      </w:pPr>
      <w:r>
        <w:t xml:space="preserve">A distinctive strand of the governance literature deserves fuller treatment because it offers the most plausible near-term path toward the shared vocabulary an escalation ladder requires. Formal arms control in orbit has stalled repeatedly, foundering on verification difficulties and on disagreement about what even counts as a weapon in a domain where most hardware is dual-use. Against that deadlock, the argument that safety-oriented traffic management norms can strengthen security has real appeal, because it builds from technical practice rather than from treaty negotiation</w:t>
      </w:r>
      <w:r>
        <w:t xml:space="preserve"> </w:t>
      </w:r>
      <w:hyperlink w:anchor="ref-8">
        <w:r>
          <w:rPr>
            <w:rStyle w:val="Hyperlink"/>
          </w:rPr>
          <w:t xml:space="preserve">[8]</w:t>
        </w:r>
      </w:hyperlink>
      <w:r>
        <w:t xml:space="preserve">. A shared expectation about safe conduct, developed for the uncontroversial purpose of avoiding collisions, incidentally narrows the space in which an ambiguous act can be staged without notice. Norms that everyone accepts for safety reasons become, without anyone intending it, a baseline against which deviations read as signals.</w:t>
      </w:r>
    </w:p>
    <w:p>
      <w:pPr>
        <w:pStyle w:val="BodyText"/>
        <w:spacing w:line="480" w:lineRule="auto"/>
        <w:ind w:firstLine="720"/>
      </w:pPr>
      <w:r>
        <w:t xml:space="preserve">This is an attractive route precisely because it sidesteps the definitional quarrels that paralyze arms control. It does not require states to agree that a given capability is a weapon. It requires only that they agree on what safe operation looks like, and it lets the security benefit follow as a byproduct. The strand connects directly to the dissertation’s measurement concern, because if safety norms are indeed becoming a vehicle for security, that migration should show up as the safety and security vocabularies begin to co-occur across the corpus</w:t>
      </w:r>
      <w:r>
        <w:t xml:space="preserve"> </w:t>
      </w:r>
      <w:hyperlink w:anchor="ref-7">
        <w:r>
          <w:rPr>
            <w:rStyle w:val="Hyperlink"/>
          </w:rPr>
          <w:t xml:space="preserve">[7]</w:t>
        </w:r>
      </w:hyperlink>
      <w:r>
        <w:t xml:space="preserve"> </w:t>
      </w:r>
      <w:hyperlink w:anchor="ref-8">
        <w:r>
          <w:rPr>
            <w:rStyle w:val="Hyperlink"/>
          </w:rPr>
          <w:t xml:space="preserve">[8]</w:t>
        </w:r>
      </w:hyperlink>
      <w:r>
        <w:t xml:space="preserve">. A screen that measures where attention concentrates is, among other things, a way of asking whether this hoped-for convergence has begun to register in the record or remains an aspiration of a few norm entrepreneurs.</w:t>
      </w:r>
    </w:p>
    <w:bookmarkEnd w:id="80"/>
    <w:bookmarkStart w:id="81" w:name="the-reentry-and-infrastructure-frontier"/>
    <w:p>
      <w:pPr>
        <w:pStyle w:val="Heading2"/>
        <w:spacing w:line="480" w:lineRule="auto"/>
      </w:pPr>
      <w:r>
        <w:t xml:space="preserve">The reentry and infrastructure frontier</w:t>
      </w:r>
    </w:p>
    <w:p>
      <w:pPr>
        <w:pStyle w:val="FirstParagraph"/>
        <w:spacing w:line="480" w:lineRule="auto"/>
      </w:pPr>
      <w:r>
        <w:t xml:space="preserve">Two newer strands are worth surfacing because they show the topic’s boundaries expanding in real time, which is exactly the kind of movement a screen should be able to detect. The first concerns the risk that uncontrolled reentries pose to people on the ground and to aircraft in the air, a risk whose recent growth has prompted the question of whether the trend should be considered genuinely worrying</w:t>
      </w:r>
      <w:r>
        <w:t xml:space="preserve"> </w:t>
      </w:r>
      <w:hyperlink w:anchor="ref-13">
        <w:r>
          <w:rPr>
            <w:rStyle w:val="Hyperlink"/>
          </w:rPr>
          <w:t xml:space="preserve">[13]</w:t>
        </w:r>
      </w:hyperlink>
      <w:r>
        <w:t xml:space="preserve">. This is not obviously an escalation topic, yet it bears on the same attribution and responsibility questions: an uncontrolled reentry that causes harm raises the problem of who is accountable and what response is warranted, which is escalation logic in a civil guise.</w:t>
      </w:r>
    </w:p>
    <w:p>
      <w:pPr>
        <w:pStyle w:val="BodyText"/>
        <w:spacing w:line="480" w:lineRule="auto"/>
        <w:ind w:firstLine="720"/>
      </w:pPr>
      <w:r>
        <w:t xml:space="preserve">The second concerns in-orbit assembly of high-value modular infrastructure, a capability whose maturation changes the strategic value of what sits in orbit and therefore the stakes of any act against it</w:t>
      </w:r>
      <w:r>
        <w:t xml:space="preserve"> </w:t>
      </w:r>
      <w:hyperlink w:anchor="ref-14">
        <w:r>
          <w:rPr>
            <w:rStyle w:val="Hyperlink"/>
          </w:rPr>
          <w:t xml:space="preserve">[14]</w:t>
        </w:r>
      </w:hyperlink>
      <w:r>
        <w:t xml:space="preserve">. As orbital assets become more valuable and more consolidated, the incentive structure around protecting and threatening them shifts, and the escalation conversation must expand to include them. Both strands illustrate a field whose edges are moving, and both are the sort of adjacent, maturing literature whose entry into the counterspace conversation a bibliometric screen is well suited to notice. Their presence in the corpus, however faint, is part of what the dissertation’s measurement is designed to register</w:t>
      </w:r>
      <w:r>
        <w:t xml:space="preserve"> </w:t>
      </w:r>
      <w:hyperlink w:anchor="ref-13">
        <w:r>
          <w:rPr>
            <w:rStyle w:val="Hyperlink"/>
          </w:rPr>
          <w:t xml:space="preserve">[13]</w:t>
        </w:r>
      </w:hyperlink>
      <w:r>
        <w:t xml:space="preserve"> </w:t>
      </w:r>
      <w:hyperlink w:anchor="ref-14">
        <w:r>
          <w:rPr>
            <w:rStyle w:val="Hyperlink"/>
          </w:rPr>
          <w:t xml:space="preserve">[14]</w:t>
        </w:r>
      </w:hyperlink>
      <w:r>
        <w:t xml:space="preserve">.</w:t>
      </w:r>
    </w:p>
    <w:bookmarkEnd w:id="81"/>
    <w:bookmarkStart w:id="82" w:name="X700a2ea14353e0031a2c1034453562d40f20ad5"/>
    <w:p>
      <w:pPr>
        <w:pStyle w:val="Heading2"/>
        <w:spacing w:line="480" w:lineRule="auto"/>
      </w:pPr>
      <w:r>
        <w:t xml:space="preserve">Where this dissertation sits among its neighbors</w:t>
      </w:r>
    </w:p>
    <w:p>
      <w:pPr>
        <w:pStyle w:val="FirstParagraph"/>
        <w:spacing w:line="480" w:lineRule="auto"/>
      </w:pPr>
      <w:r>
        <w:t xml:space="preserve">Set against these strands, the dissertation’s position is easy to state. It is not a contribution to the safety-norms argument, the reentry-risk literature, or the in-orbit assembly literature, though it draws on all of them to populate its corpus</w:t>
      </w:r>
      <w:r>
        <w:t xml:space="preserve"> </w:t>
      </w:r>
      <w:hyperlink w:anchor="ref-8">
        <w:r>
          <w:rPr>
            <w:rStyle w:val="Hyperlink"/>
          </w:rPr>
          <w:t xml:space="preserve">[8]</w:t>
        </w:r>
      </w:hyperlink>
      <w:r>
        <w:t xml:space="preserve"> </w:t>
      </w:r>
      <w:hyperlink w:anchor="ref-13">
        <w:r>
          <w:rPr>
            <w:rStyle w:val="Hyperlink"/>
          </w:rPr>
          <w:t xml:space="preserve">[13]</w:t>
        </w:r>
      </w:hyperlink>
      <w:r>
        <w:t xml:space="preserve"> </w:t>
      </w:r>
      <w:hyperlink w:anchor="ref-14">
        <w:r>
          <w:rPr>
            <w:rStyle w:val="Hyperlink"/>
          </w:rPr>
          <w:t xml:space="preserve">[14]</w:t>
        </w:r>
      </w:hyperlink>
      <w:r>
        <w:t xml:space="preserve">. It is a contribution to the meta-question that sits above them: given a field pulling in these many directions at once, where is its attention actually concentrated, and is the counterspace-escalation theme structured within that attention or merely scattered through it? No neighbor in the literature answers that question with reproducible quantities, and answering it is the specific service this dissertation offers, upstream of every substantive debate it cites</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End w:id="82"/>
    <w:bookmarkStart w:id="83" w:name="X2744307300d6418bd1b3dbaa1d0e0396fcee329"/>
    <w:p>
      <w:pPr>
        <w:pStyle w:val="Heading2"/>
        <w:spacing w:line="480" w:lineRule="auto"/>
      </w:pPr>
      <w:r>
        <w:t xml:space="preserve">The literature’s silence on its own structure</w:t>
      </w:r>
    </w:p>
    <w:p>
      <w:pPr>
        <w:pStyle w:val="FirstParagraph"/>
        <w:spacing w:line="480" w:lineRule="auto"/>
      </w:pPr>
      <w:r>
        <w:t xml:space="preserve">A closing observation ties the review to the chapters that follow. For all its richness, the literature reviewed here is nearly silent about its own structure. It debates capabilities, norms, and risks with energy, but it rarely stops to ask, in measurable terms, where its collective attention has settled or how that attention has moved</w:t>
      </w:r>
      <w:r>
        <w:t xml:space="preserve"> </w:t>
      </w:r>
      <w:hyperlink w:anchor="ref-2">
        <w:r>
          <w:rPr>
            <w:rStyle w:val="Hyperlink"/>
          </w:rPr>
          <w:t xml:space="preserve">[2]</w:t>
        </w:r>
      </w:hyperlink>
      <w:r>
        <w:t xml:space="preserve"> </w:t>
      </w:r>
      <w:hyperlink w:anchor="ref-4">
        <w:r>
          <w:rPr>
            <w:rStyle w:val="Hyperlink"/>
          </w:rPr>
          <w:t xml:space="preserve">[4]</w:t>
        </w:r>
      </w:hyperlink>
      <w:r>
        <w:t xml:space="preserve">. The field knows a great deal about counterspace escalation and very little about the shape of its own conversation on the subject. That second kind of knowledge, reflexive and quantitative, is what a bibliometric screen supplies, and its absence is precisely the opening the following chapters occupy. The theory chapter turns the intuition behind this review into a testable mechanism, and the results chapter reports what the corpus, read as data, actually shows</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83"/>
    <w:bookmarkEnd w:id="84"/>
    <w:bookmarkStart w:id="96" w:name="theory-and-hypotheses"/>
    <w:p>
      <w:pPr>
        <w:pStyle w:val="Heading1"/>
        <w:spacing w:line="480" w:lineRule="auto"/>
      </w:pPr>
      <w:r>
        <w:t xml:space="preserve">Theory and Hypotheses</w:t>
      </w:r>
    </w:p>
    <w:p>
      <w:pPr>
        <w:pStyle w:val="FirstParagraph"/>
        <w:spacing w:line="480" w:lineRule="auto"/>
      </w:pPr>
      <w:r>
        <w:t xml:space="preserve">A theory earns its keep by risk. A theory that cannot say in advance what would count against it is not doing much work. This chapter states a mechanism, derives predictions from it, and commits to what the data would have to show for the mechanism to be judged absent. The mechanism is deliberately spare, because the evidence available to test it is spare, and a theory that outruns its evidence is the very failure the dissertation is built to avoid. Spare, then, by design.</w:t>
      </w:r>
    </w:p>
    <w:bookmarkStart w:id="85" w:name="the-emergence-mechanism"/>
    <w:p>
      <w:pPr>
        <w:pStyle w:val="Heading2"/>
        <w:spacing w:line="480" w:lineRule="auto"/>
      </w:pPr>
      <w:r>
        <w:t xml:space="preserve">The emergence mechanism</w:t>
      </w:r>
    </w:p>
    <w:p>
      <w:pPr>
        <w:pStyle w:val="FirstParagraph"/>
        <w:spacing w:line="480" w:lineRule="auto"/>
      </w:pPr>
      <w:r>
        <w:t xml:space="preserve">Start from a simple premise about how attention works in a technical field. When a problem becomes consequential, the people who work near it write about it more, cite the work that frames it, and route their writing toward the venues where their intended audience gathers. None of these behaviors is mysterious. Each is a way of participating in a conversation, and each leaves a mark in the metadata of the resulting documents</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From that premise a testable consequence follows. If the candidate topic, counterspace escalation, has genuinely emerged as a consequential concern within the retrieved corpus, then the intensity of the topic’s signal should not be distributed at random across the records. It should co-vary with the observable features that track participation in a live conversation: how recent a record is, how much citation attention it has drawn, and which family of venue it appears in. The theory does not insist that all three features move together, or that they move in any particular relative magnitude. It insists only that a genuinely emergent topic leaves structure where a dormant topic would leave noise.</w:t>
      </w:r>
    </w:p>
    <w:p>
      <w:pPr>
        <w:pStyle w:val="BodyText"/>
        <w:spacing w:line="480" w:lineRule="auto"/>
        <w:ind w:firstLine="720"/>
      </w:pPr>
      <w:r>
        <w:t xml:space="preserve">The mechanism has a mirror image that the theory takes equally seriously. Suppose the candidate topic is not emergent within this corpus but merely present, scattered across records for reasons unrelated to its salience. Then the topic signal should show no reliable relationship to recency, attention, or venue. The signal would be there, but it would be structureless. This mirror image is what makes the theory falsifiable rather than decorative. A structureless result is a real possible outcome, and the dissertation is prepared to report it if that is what the workbooks return.</w:t>
      </w:r>
    </w:p>
    <w:bookmarkEnd w:id="85"/>
    <w:bookmarkStart w:id="86" w:name="why-each-observable-is-a-plausible-trace"/>
    <w:p>
      <w:pPr>
        <w:pStyle w:val="Heading2"/>
        <w:spacing w:line="480" w:lineRule="auto"/>
      </w:pPr>
      <w:r>
        <w:t xml:space="preserve">Why each observable is a plausible trace</w:t>
      </w:r>
    </w:p>
    <w:p>
      <w:pPr>
        <w:pStyle w:val="FirstParagraph"/>
        <w:spacing w:line="480" w:lineRule="auto"/>
      </w:pPr>
      <w:r>
        <w:t xml:space="preserve">Recency earns its place because emergence is a temporal phenomenon. A concern that is genuinely rising should be more prominent in newer records than in older ones, all else equal, because newer records are written after the concern has entered the field’s working vocabulary</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Recency is not a proxy for quality or for truth. It is a proxy for the field’s evolving agenda, and an emergent topic should ride that agenda upward.</w:t>
      </w:r>
    </w:p>
    <w:p>
      <w:pPr>
        <w:pStyle w:val="BodyText"/>
        <w:spacing w:line="480" w:lineRule="auto"/>
        <w:ind w:firstLine="720"/>
      </w:pPr>
      <w:r>
        <w:t xml:space="preserve">Citation attention earns its place through a different logic. Citations are the currency by which a field marks what it considers worth building on. A record that accumulates attention is one the field has decided to engage, and topics that command engagement are, by construction, the topics the field treats as live</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theory predicts that records carrying more of the candidate topic’s signal should, on average, sit among the more cited records, because salience and engagement tend to travel together.</w:t>
      </w:r>
    </w:p>
    <w:p>
      <w:pPr>
        <w:pStyle w:val="BodyText"/>
        <w:spacing w:line="480" w:lineRule="auto"/>
        <w:ind w:firstLine="720"/>
      </w:pPr>
      <w:r>
        <w:t xml:space="preserve">Venue family earns its place as a marker of where a conversation has settled. A topic that appears mostly in one kind of venue is embedded differently from a topic that has spread across venue families. The dissertation encodes venue as an ordinal marker of family rather than of prestige, and it is careful to read the resulting coefficient as information about location in the field rather than about worth</w:t>
      </w:r>
      <w:r>
        <w:t xml:space="preserve"> </w:t>
      </w:r>
      <w:hyperlink w:anchor="ref-7">
        <w:r>
          <w:rPr>
            <w:rStyle w:val="Hyperlink"/>
          </w:rPr>
          <w:t xml:space="preserve">[7]</w:t>
        </w:r>
      </w:hyperlink>
      <w:r>
        <w:t xml:space="preserve"> </w:t>
      </w:r>
      <w:hyperlink w:anchor="ref-8">
        <w:r>
          <w:rPr>
            <w:rStyle w:val="Hyperlink"/>
          </w:rPr>
          <w:t xml:space="preserve">[8]</w:t>
        </w:r>
      </w:hyperlink>
      <w:r>
        <w:t xml:space="preserve">. Where a topic sits is itself a fact about how the field has organized around it.</w:t>
      </w:r>
    </w:p>
    <w:bookmarkEnd w:id="86"/>
    <w:bookmarkStart w:id="87" w:name="two-predictions-two-papers"/>
    <w:p>
      <w:pPr>
        <w:pStyle w:val="Heading2"/>
        <w:spacing w:line="480" w:lineRule="auto"/>
      </w:pPr>
      <w:r>
        <w:t xml:space="preserve">Two predictions, two papers</w:t>
      </w:r>
    </w:p>
    <w:p>
      <w:pPr>
        <w:pStyle w:val="FirstParagraph"/>
        <w:spacing w:line="480" w:lineRule="auto"/>
      </w:pPr>
      <w:r>
        <w:t xml:space="preserve">The theory yields two predictions that the dissertation tests separately, because they concern different faces of emergence and a single model would blur them.</w:t>
      </w:r>
    </w:p>
    <w:p>
      <w:pPr>
        <w:pStyle w:val="BodyText"/>
        <w:spacing w:line="480" w:lineRule="auto"/>
        <w:ind w:firstLine="720"/>
      </w:pPr>
      <w:r>
        <w:t xml:space="preserve">The first prediction is cross-sectional. If the topic has emerged, then across the retrieved records the topic-signal score should be systematically associated with recency, citation attention, and venue family taken together. This is the prediction that the first paper’s ordinary least squares model puts to the test. The null form of the prediction holds that the signal score is unrelated to all three predictors jointly. The alternative holds that the signal score increases with recency and with citation attention, with venue entering as a control whose sign the theory does not pin down in advance</w:t>
      </w:r>
      <w:r>
        <w:t xml:space="preserve"> </w:t>
      </w:r>
      <w:hyperlink w:anchor="ref-4">
        <w:r>
          <w:rPr>
            <w:rStyle w:val="Hyperlink"/>
          </w:rPr>
          <w:t xml:space="preserve">[4]</w:t>
        </w:r>
      </w:hyperlink>
      <w:r>
        <w:t xml:space="preserve">. Committing to the direction on recency and attention, while leaving venue open, is a way of pre-registering the strong claim and refusing to over-specify the weak one.</w:t>
      </w:r>
    </w:p>
    <w:p>
      <w:pPr>
        <w:pStyle w:val="BodyText"/>
        <w:spacing w:line="480" w:lineRule="auto"/>
        <w:ind w:firstLine="720"/>
      </w:pPr>
      <w:r>
        <w:t xml:space="preserve">The second prediction is temporal, and it concerns how attention itself accrues. If the field’s engagement with this literature follows the ordinary pattern by which older documents have had more time to gather citations, then citation accumulation should be structured by article age in a regular, measurable way</w:t>
      </w:r>
      <w:r>
        <w:t xml:space="preserve"> </w:t>
      </w:r>
      <w:hyperlink w:anchor="ref-6">
        <w:r>
          <w:rPr>
            <w:rStyle w:val="Hyperlink"/>
          </w:rPr>
          <w:t xml:space="preserve">[6]</w:t>
        </w:r>
      </w:hyperlink>
      <w:r>
        <w:t xml:space="preserve">. The learning-curve form of this prediction expects a smooth relationship between the log of accumulated attention and the log of age, so that the elasticity of attention with respect to age can be read off a single coefficient. The null form holds that citation accumulation is unrelated to age within this corpus. The alternative holds that a measurable age-based attention curve exists. This is the prediction the second paper tests.</w:t>
      </w:r>
    </w:p>
    <w:bookmarkEnd w:id="87"/>
    <w:bookmarkStart w:id="88" w:name="what-the-theory-deliberately-excludes"/>
    <w:p>
      <w:pPr>
        <w:pStyle w:val="Heading2"/>
        <w:spacing w:line="480" w:lineRule="auto"/>
      </w:pPr>
      <w:r>
        <w:t xml:space="preserve">What the theory deliberately excludes</w:t>
      </w:r>
    </w:p>
    <w:p>
      <w:pPr>
        <w:pStyle w:val="FirstParagraph"/>
        <w:spacing w:line="480" w:lineRule="auto"/>
      </w:pPr>
      <w:r>
        <w:t xml:space="preserve">The mechanism is silent on causation in the strategic sense, and that silence is principled. The theory does not claim that a higher topic signal causes a state to escalate, or that citation attention causes anything at all in the physical world. It claims only that emergence, if real, is legible in corpus structure. The gap between legibility and causation is exactly the gap that a design-stage screen is honest about not crossing</w:t>
      </w:r>
      <w:r>
        <w:t xml:space="preserve"> </w:t>
      </w:r>
      <w:hyperlink w:anchor="ref-2">
        <w:r>
          <w:rPr>
            <w:rStyle w:val="Hyperlink"/>
          </w:rPr>
          <w:t xml:space="preserve">[2]</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The theory is also silent on the content of the escalation ladder itself. It does not predict which rungs will appear, what a given capability means, or how a particular actor will read a particular move</w:t>
      </w:r>
      <w:r>
        <w:t xml:space="preserve"> </w:t>
      </w:r>
      <w:hyperlink w:anchor="ref-1">
        <w:r>
          <w:rPr>
            <w:rStyle w:val="Hyperlink"/>
          </w:rPr>
          <w:t xml:space="preserve">[1]</w:t>
        </w:r>
      </w:hyperlink>
      <w:r>
        <w:t xml:space="preserve">. Those are questions for a document-coding study that reads the records rather than counting their metadata, and the concluding chapter specifies exactly that follow-on. The present theory is upstream of all of it. It asks a prior question: is the topic even structured in the record, in the way an emergent concern should be? Only if the answer is yes does the harder coding work become worth its cost.</w:t>
      </w:r>
    </w:p>
    <w:bookmarkEnd w:id="88"/>
    <w:bookmarkStart w:id="89" w:name="X5bc67a3af5ca56c1984e5af62787e887b86217e"/>
    <w:p>
      <w:pPr>
        <w:pStyle w:val="Heading2"/>
        <w:spacing w:line="480" w:lineRule="auto"/>
      </w:pPr>
      <w:r>
        <w:t xml:space="preserve">Auxiliary expectations and robustness of the theory</w:t>
      </w:r>
    </w:p>
    <w:p>
      <w:pPr>
        <w:pStyle w:val="FirstParagraph"/>
        <w:spacing w:line="480" w:lineRule="auto"/>
      </w:pPr>
      <w:r>
        <w:t xml:space="preserve">A careful theory anticipates the ways its predictions could be confounded. Three auxiliary expectations follow from the mechanism and shape how the results should be read. First, because the corpus mixes venue families with very different citation cultures, the venue coefficient may absorb some of what looks like an attention effect, and the theory expects recency and attention to be interpreted with venue held fixed rather than in isolation</w:t>
      </w:r>
      <w:r>
        <w:t xml:space="preserve"> </w:t>
      </w:r>
      <w:hyperlink w:anchor="ref-7">
        <w:r>
          <w:rPr>
            <w:rStyle w:val="Hyperlink"/>
          </w:rPr>
          <w:t xml:space="preserve">[7]</w:t>
        </w:r>
      </w:hyperlink>
      <w:r>
        <w:t xml:space="preserve">. Second, because a small corpus contains records whose signal is idiosyncratic, the theory expects that a few high-signal records could dominate a cross-sectional fit, and it treats sensitivity to individual records as part of the test rather than a nuisance. Third, because citation counts here are local index measures, the theory expects the attention relationship to be weaker and noisier than a universal citation database would show, and it declines to inflate a local measure into a global claim</w:t>
      </w:r>
      <w:r>
        <w:t xml:space="preserve"> </w:t>
      </w:r>
      <w:hyperlink w:anchor="ref-5">
        <w:r>
          <w:rPr>
            <w:rStyle w:val="Hyperlink"/>
          </w:rPr>
          <w:t xml:space="preserve">[5]</w:t>
        </w:r>
      </w:hyperlink>
      <w:r>
        <w:t xml:space="preserve"> </w:t>
      </w:r>
      <w:hyperlink w:anchor="ref-6">
        <w:r>
          <w:rPr>
            <w:rStyle w:val="Hyperlink"/>
          </w:rPr>
          <w:t xml:space="preserve">[6]</w:t>
        </w:r>
      </w:hyperlink>
      <w:r>
        <w:t xml:space="preserve">. These expectations do not weaken the theory. They sharpen it, by telling the reader in advance which patterns would be genuine and which would be artifacts of a thin corpus.</w:t>
      </w:r>
    </w:p>
    <w:p>
      <w:pPr>
        <w:pStyle w:val="BodyText"/>
        <w:spacing w:line="480" w:lineRule="auto"/>
        <w:ind w:firstLine="720"/>
      </w:pPr>
      <w:r>
        <w:t xml:space="preserve">Taken together, the mechanism and its two predictions give the dissertation a clean spine. If both papers return structure, the emergence story has documentary support. If neither does, the story is not yet legible and the field should say so. If one returns structure and the other does not, the dissertation reports the split honestly, because a partial signal is a real finding about which face of emergence the corpus can and cannot see</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End w:id="89"/>
    <w:bookmarkStart w:id="90" w:name="the-mechanism-formalized"/>
    <w:p>
      <w:pPr>
        <w:pStyle w:val="Heading2"/>
        <w:spacing w:line="480" w:lineRule="auto"/>
      </w:pPr>
      <w:r>
        <w:t xml:space="preserve">The mechanism formalized</w:t>
      </w:r>
    </w:p>
    <w:p>
      <w:pPr>
        <w:pStyle w:val="FirstParagraph"/>
        <w:spacing w:line="480" w:lineRule="auto"/>
      </w:pPr>
      <w:r>
        <w:t xml:space="preserve">It helps to state the mechanism with a little more precision, because a vague mechanism invites vague tests. Let the topic signal of a record be a latent quantity reflecting how heavily that record engages the candidate theme, observed through a deterministic term-hit score. The emergence mechanism claims that this latent quantity is not exogenous to the record’s position in the field. A record written more recently sits in a conversation that has already absorbed the theme, so its expected signal is higher; a record that has drawn engagement sits at a node the field has chosen to build on, so its expected signal is higher again; and a record’s venue family locates it within a particular community whose baseline engagement with the theme differs from others</w:t>
      </w:r>
      <w:r>
        <w:t xml:space="preserve"> </w:t>
      </w:r>
      <w:hyperlink w:anchor="ref-4">
        <w:r>
          <w:rPr>
            <w:rStyle w:val="Hyperlink"/>
          </w:rPr>
          <w:t xml:space="preserve">[4]</w:t>
        </w:r>
      </w:hyperlink>
      <w:r>
        <w:t xml:space="preserve"> </w:t>
      </w:r>
      <w:hyperlink w:anchor="ref-7">
        <w:r>
          <w:rPr>
            <w:rStyle w:val="Hyperlink"/>
          </w:rPr>
          <w:t xml:space="preserve">[7]</w:t>
        </w:r>
      </w:hyperlink>
      <w:r>
        <w:t xml:space="preserve">. The observed signal is thus a function of position, plus record-specific idiosyncrasy that the model treats as error.</w:t>
      </w:r>
    </w:p>
    <w:p>
      <w:pPr>
        <w:pStyle w:val="BodyText"/>
        <w:spacing w:line="480" w:lineRule="auto"/>
        <w:ind w:firstLine="720"/>
      </w:pPr>
      <w:r>
        <w:t xml:space="preserve">This formalization clarifies what the coefficients mean and what they do not. A positive recency coefficient would say that, holding attention and venue fixed, later position in the corpus’s time span is associated with higher expected signal. It would not say that time causes signal, only that the two co-vary in the way the mechanism predicts</w:t>
      </w:r>
      <w:r>
        <w:t xml:space="preserve"> </w:t>
      </w:r>
      <w:hyperlink w:anchor="ref-10">
        <w:r>
          <w:rPr>
            <w:rStyle w:val="Hyperlink"/>
          </w:rPr>
          <w:t xml:space="preserve">[10]</w:t>
        </w:r>
      </w:hyperlink>
      <w:r>
        <w:t xml:space="preserve">. The same reading applies to attention and venue. The mechanism is a claim about co-variation driven by shared position in a field, not a claim about causal force, and keeping that distinction sharp is what allows the theory to be tested without overreaching.</w:t>
      </w:r>
    </w:p>
    <w:bookmarkEnd w:id="90"/>
    <w:bookmarkStart w:id="91" w:name="rival-accounts-the-theory-must-beat"/>
    <w:p>
      <w:pPr>
        <w:pStyle w:val="Heading2"/>
        <w:spacing w:line="480" w:lineRule="auto"/>
      </w:pPr>
      <w:r>
        <w:t xml:space="preserve">Rival accounts the theory must beat</w:t>
      </w:r>
    </w:p>
    <w:p>
      <w:pPr>
        <w:pStyle w:val="FirstParagraph"/>
        <w:spacing w:line="480" w:lineRule="auto"/>
      </w:pPr>
      <w:r>
        <w:t xml:space="preserve">A theory earns confidence by naming the rivals it must outperform, and here there are two. The first rival is pure noise: the possibility that the topic signal is scattered across records for reasons unconnected to recency, attention, or venue, so that any apparent relationship is an artifact of a small sample</w:t>
      </w:r>
      <w:r>
        <w:t xml:space="preserve"> </w:t>
      </w:r>
      <w:hyperlink w:anchor="ref-3">
        <w:r>
          <w:rPr>
            <w:rStyle w:val="Hyperlink"/>
          </w:rPr>
          <w:t xml:space="preserve">[3]</w:t>
        </w:r>
      </w:hyperlink>
      <w:r>
        <w:t xml:space="preserve">. The mechanism beats this rival only if at least one predictor returns a coefficient precise enough to distinguish from zero under a variance estimate that does not assume away the corpus’s evident heteroskedasticity. If every coefficient is imprecise, the noise account wins, and the dissertation is committed to saying so.</w:t>
      </w:r>
    </w:p>
    <w:p>
      <w:pPr>
        <w:pStyle w:val="BodyText"/>
        <w:spacing w:line="480" w:lineRule="auto"/>
        <w:ind w:firstLine="720"/>
      </w:pPr>
      <w:r>
        <w:t xml:space="preserve">The second rival is a composition account: the possibility that any structure the model finds reflects not the theme’s emergence but the mechanical fact that certain venue families both carry more of the theme and, separately, carry more of whatever else the model is picking up</w:t>
      </w:r>
      <w:r>
        <w:t xml:space="preserve"> </w:t>
      </w:r>
      <w:hyperlink w:anchor="ref-7">
        <w:r>
          <w:rPr>
            <w:rStyle w:val="Hyperlink"/>
          </w:rPr>
          <w:t xml:space="preserve">[7]</w:t>
        </w:r>
      </w:hyperlink>
      <w:r>
        <w:t xml:space="preserve"> </w:t>
      </w:r>
      <w:hyperlink w:anchor="ref-8">
        <w:r>
          <w:rPr>
            <w:rStyle w:val="Hyperlink"/>
          </w:rPr>
          <w:t xml:space="preserve">[8]</w:t>
        </w:r>
      </w:hyperlink>
      <w:r>
        <w:t xml:space="preserve">. This rival is more dangerous than pure noise because it can masquerade as a real finding. The theory guards against it by including venue as an explicit control and by committing, in advance, to reading a temporal result skeptically if it turns out to be driven by which venue family the time variable happens to track</w:t>
      </w:r>
      <w:r>
        <w:t xml:space="preserve"> </w:t>
      </w:r>
      <w:hyperlink w:anchor="ref-5">
        <w:r>
          <w:rPr>
            <w:rStyle w:val="Hyperlink"/>
          </w:rPr>
          <w:t xml:space="preserve">[5]</w:t>
        </w:r>
      </w:hyperlink>
      <w:r>
        <w:t xml:space="preserve"> </w:t>
      </w:r>
      <w:hyperlink w:anchor="ref-6">
        <w:r>
          <w:rPr>
            <w:rStyle w:val="Hyperlink"/>
          </w:rPr>
          <w:t xml:space="preserve">[6]</w:t>
        </w:r>
      </w:hyperlink>
      <w:r>
        <w:t xml:space="preserve">. Naming this rival before the results are seen is what converts a later skeptical reading from post-hoc rationalization into a pre-registered check.</w:t>
      </w:r>
    </w:p>
    <w:bookmarkEnd w:id="91"/>
    <w:bookmarkStart w:id="92" w:name="X3fbe3f24851cac47bd533e273a2dda99741246b"/>
    <w:p>
      <w:pPr>
        <w:pStyle w:val="Heading2"/>
        <w:spacing w:line="480" w:lineRule="auto"/>
      </w:pPr>
      <w:r>
        <w:t xml:space="preserve">Predictions restated as falsifiable claims</w:t>
      </w:r>
    </w:p>
    <w:p>
      <w:pPr>
        <w:pStyle w:val="FirstParagraph"/>
        <w:spacing w:line="480" w:lineRule="auto"/>
      </w:pPr>
      <w:r>
        <w:t xml:space="preserve">The two predictions can now be stated as claims that specific numbers would refute. For the cross-sectional prediction, the alternative hypothesis is refuted if the citation coefficient is statistically indistinguishable from zero, because attention is the predictor the theory most strongly expects to carry signal</w:t>
      </w:r>
      <w:r>
        <w:t xml:space="preserve"> </w:t>
      </w:r>
      <w:hyperlink w:anchor="ref-1">
        <w:r>
          <w:rPr>
            <w:rStyle w:val="Hyperlink"/>
          </w:rPr>
          <w:t xml:space="preserve">[1]</w:t>
        </w:r>
      </w:hyperlink>
      <w:r>
        <w:t xml:space="preserve"> </w:t>
      </w:r>
      <w:hyperlink w:anchor="ref-2">
        <w:r>
          <w:rPr>
            <w:rStyle w:val="Hyperlink"/>
          </w:rPr>
          <w:t xml:space="preserve">[2]</w:t>
        </w:r>
      </w:hyperlink>
      <w:r>
        <w:t xml:space="preserve">. A null on recency alone would weaken but not refute the alternative, since the theory pre-committed to the strong claim on attention and left recency’s precision as an open empirical question. For the temporal prediction, the alternative is refuted if the age elasticity is indistinguishable from zero, and it is complicated, rather than cleanly confirmed, if the elasticity is precise but carries a sign that a composition account can explain</w:t>
      </w:r>
      <w:r>
        <w:t xml:space="preserve"> </w:t>
      </w:r>
      <w:hyperlink w:anchor="ref-6">
        <w:r>
          <w:rPr>
            <w:rStyle w:val="Hyperlink"/>
          </w:rPr>
          <w:t xml:space="preserve">[6]</w:t>
        </w:r>
      </w:hyperlink>
      <w:r>
        <w:t xml:space="preserve">. Setting these refutation conditions in advance is the discipline that separates a falsifiable theory from a narrative that would have claimed victory whatever the data returned. The results chapter will hold the numbers to exactly these conditions</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End w:id="92"/>
    <w:bookmarkStart w:id="93" w:name="scope-conditions-on-the-mechanism"/>
    <w:p>
      <w:pPr>
        <w:pStyle w:val="Heading2"/>
        <w:spacing w:line="480" w:lineRule="auto"/>
      </w:pPr>
      <w:r>
        <w:t xml:space="preserve">Scope conditions on the mechanism</w:t>
      </w:r>
    </w:p>
    <w:p>
      <w:pPr>
        <w:pStyle w:val="FirstParagraph"/>
        <w:spacing w:line="480" w:lineRule="auto"/>
      </w:pPr>
      <w:r>
        <w:t xml:space="preserve">Every mechanism holds within a range of conditions and fails outside it, and stating the scope conditions guards the theory against being tested where it was never meant to apply. The first scope condition is that the corpus must be a genuine sample of the field’s active conversation rather than an arbitrary pull unrelated to how the field organizes itself. If the retrieval that produced the corpus were random with respect to venue, attention, and time, the emergence mechanism would predict nothing, because there would be no field structure for the metadata to reflect</w:t>
      </w:r>
      <w:r>
        <w:t xml:space="preserve"> </w:t>
      </w:r>
      <w:hyperlink w:anchor="ref-4">
        <w:r>
          <w:rPr>
            <w:rStyle w:val="Hyperlink"/>
          </w:rPr>
          <w:t xml:space="preserve">[4]</w:t>
        </w:r>
      </w:hyperlink>
      <w:r>
        <w:t xml:space="preserve">. The mechanism assumes the corpus inherits the field’s organization, and the audit trail on every record is what lets a reader judge whether that assumption holds.</w:t>
      </w:r>
    </w:p>
    <w:p>
      <w:pPr>
        <w:pStyle w:val="BodyText"/>
        <w:spacing w:line="480" w:lineRule="auto"/>
        <w:ind w:firstLine="720"/>
      </w:pPr>
      <w:r>
        <w:t xml:space="preserve">The second scope condition concerns the maturity of the topic. The mechanism describes emergence, the phase in which a concern is rising into a field’s agenda. For a topic already fully mature, attention would have saturated and the recency gradient would flatten, not because the mechanism failed but because the phase it describes had passed</w:t>
      </w:r>
      <w:r>
        <w:t xml:space="preserve"> </w:t>
      </w:r>
      <w:hyperlink w:anchor="ref-10">
        <w:r>
          <w:rPr>
            <w:rStyle w:val="Hyperlink"/>
          </w:rPr>
          <w:t xml:space="preserve">[10]</w:t>
        </w:r>
      </w:hyperlink>
      <w:r>
        <w:t xml:space="preserve">. For a topic not yet emergent at all, there would be too little signal to structure. Counterspace escalation is plausibly in the emergence phase, young but no longer absent, which is what makes it a suitable case; but the theory is explicit that its predictions are phase-specific, and a null result could reflect a topic that is either pre-emergent or post-emergent rather than one for which the mechanism is simply wrong</w:t>
      </w:r>
      <w:r>
        <w:t xml:space="preserve"> </w:t>
      </w:r>
      <w:hyperlink w:anchor="ref-2">
        <w:r>
          <w:rPr>
            <w:rStyle w:val="Hyperlink"/>
          </w:rPr>
          <w:t xml:space="preserve">[2]</w:t>
        </w:r>
      </w:hyperlink>
      <w:r>
        <w:t xml:space="preserve">.</w:t>
      </w:r>
    </w:p>
    <w:bookmarkEnd w:id="93"/>
    <w:bookmarkStart w:id="94" w:name="X380e7d869e4e28ca46826846326b986b29f748b"/>
    <w:p>
      <w:pPr>
        <w:pStyle w:val="Heading2"/>
        <w:spacing w:line="480" w:lineRule="auto"/>
      </w:pPr>
      <w:r>
        <w:t xml:space="preserve">The role of venue as a conditioning variable</w:t>
      </w:r>
    </w:p>
    <w:p>
      <w:pPr>
        <w:pStyle w:val="FirstParagraph"/>
        <w:spacing w:line="480" w:lineRule="auto"/>
      </w:pPr>
      <w:r>
        <w:t xml:space="preserve">Venue occupies an unusual place in the theory, and it repays a separate word. Unlike recency and attention, which the theory expects to relate positively to signal, venue enters as a conditioning variable whose sign the theory declines to predict. This is deliberate. Venue family marks where a conversation sits, and different communities engage a topic to different degrees for reasons that have nothing to do with the topic’s overall trajectory</w:t>
      </w:r>
      <w:r>
        <w:t xml:space="preserve"> </w:t>
      </w:r>
      <w:hyperlink w:anchor="ref-7">
        <w:r>
          <w:rPr>
            <w:rStyle w:val="Hyperlink"/>
          </w:rPr>
          <w:t xml:space="preserve">[7]</w:t>
        </w:r>
      </w:hyperlink>
      <w:r>
        <w:t xml:space="preserve"> </w:t>
      </w:r>
      <w:hyperlink w:anchor="ref-8">
        <w:r>
          <w:rPr>
            <w:rStyle w:val="Hyperlink"/>
          </w:rPr>
          <w:t xml:space="preserve">[8]</w:t>
        </w:r>
      </w:hyperlink>
      <w:r>
        <w:t xml:space="preserve">. A negative venue coefficient would say the theme concentrates in the lower-coded family; a positive one would say it concentrates in the higher-coded family; and neither would bear on whether the topic is emerging, only on where its emergence is currently housed.</w:t>
      </w:r>
    </w:p>
    <w:p>
      <w:pPr>
        <w:pStyle w:val="BodyText"/>
        <w:spacing w:line="480" w:lineRule="auto"/>
        <w:ind w:firstLine="720"/>
      </w:pPr>
      <w:r>
        <w:t xml:space="preserve">Treating venue this way protects the two directional predictions from contamination. If venue were left out, and if the theme happened to concentrate in a particular family, the recency and attention coefficients could absorb that concentration and appear to carry emergence signal they do not deserve</w:t>
      </w:r>
      <w:r>
        <w:t xml:space="preserve"> </w:t>
      </w:r>
      <w:hyperlink w:anchor="ref-5">
        <w:r>
          <w:rPr>
            <w:rStyle w:val="Hyperlink"/>
          </w:rPr>
          <w:t xml:space="preserve">[5]</w:t>
        </w:r>
      </w:hyperlink>
      <w:r>
        <w:t xml:space="preserve">. Including venue as a control lets recency and attention be read with venue held fixed, which is the condition under which their coefficients mean what the theory intends. The price is that venue’s own coefficient becomes hard to interpret cleanly in a small sample, but that price is worth paying to keep the strong predictions uncontaminated, and the results chapter reads the venue coefficient with exactly this modest ambition</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94"/>
    <w:bookmarkStart w:id="95" w:name="from-mechanism-to-measurable-prediction"/>
    <w:p>
      <w:pPr>
        <w:pStyle w:val="Heading2"/>
        <w:spacing w:line="480" w:lineRule="auto"/>
      </w:pPr>
      <w:r>
        <w:t xml:space="preserve">From mechanism to measurable prediction</w:t>
      </w:r>
    </w:p>
    <w:p>
      <w:pPr>
        <w:pStyle w:val="FirstParagraph"/>
        <w:spacing w:line="480" w:lineRule="auto"/>
      </w:pPr>
      <w:r>
        <w:t xml:space="preserve">The theory chapter closes by fixing the bridge to the empirical work that follows. The mechanism claims emergence leaves a metadata trace; the two predictions translate that claim into statements about coefficients; the refutation conditions specify the numbers that would overturn each statement</w:t>
      </w:r>
      <w:r>
        <w:t xml:space="preserve"> </w:t>
      </w:r>
      <w:hyperlink w:anchor="ref-3">
        <w:r>
          <w:rPr>
            <w:rStyle w:val="Hyperlink"/>
          </w:rPr>
          <w:t xml:space="preserve">[3]</w:t>
        </w:r>
      </w:hyperlink>
      <w:r>
        <w:t xml:space="preserve">. Nothing in this chain requires the reader to trust the candidate’s intuition about the field. It requires only that the reader accept the mechanism as a reasonable account of how attention behaves and then follow the coefficients where they lead. The methodology chapter now specifies the estimators that will produce those coefficients, and the results chapter reports them against the refutation conditions set here. The theory has done its job when it has told the reader, in advance, exactly what the data would have to show for the emergence account to stand and what it would have to show for the account to fall</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End w:id="95"/>
    <w:bookmarkEnd w:id="96"/>
    <w:bookmarkStart w:id="109" w:name="methodology-and-identification"/>
    <w:p>
      <w:pPr>
        <w:pStyle w:val="Heading1"/>
        <w:spacing w:line="480" w:lineRule="auto"/>
      </w:pPr>
      <w:r>
        <w:t xml:space="preserve">Methodology and Identification</w:t>
      </w:r>
    </w:p>
    <w:p>
      <w:pPr>
        <w:pStyle w:val="FirstParagraph"/>
        <w:spacing w:line="480" w:lineRule="auto"/>
      </w:pPr>
      <w:r>
        <w:t xml:space="preserve">The dissertation rests on two estimators, and this chapter explains what each one does, why it is the right tool for its question, and in what limited sense it identifies the effect it targets. Words matter here. The word identification is used carefully. Neither model claims randomized assignment, and neither claims to recover a strategic causal parameter. Each claims something more modest and more defensible: that a specified relationship in the retrieved corpus is either present and precise, or absent and imprecise, and that the data can tell the two apart.</w:t>
      </w:r>
    </w:p>
    <w:bookmarkStart w:id="97" w:name="X06622fb166e6f6ac98c3c6a983e8b4d55dc3256"/>
    <w:p>
      <w:pPr>
        <w:pStyle w:val="Heading2"/>
        <w:spacing w:line="480" w:lineRule="auto"/>
      </w:pPr>
      <w:r>
        <w:t xml:space="preserve">The first estimator: ordinary least squares</w:t>
      </w:r>
    </w:p>
    <w:p>
      <w:pPr>
        <w:pStyle w:val="FirstParagraph"/>
        <w:spacing w:line="480" w:lineRule="auto"/>
      </w:pPr>
      <w:r>
        <w:t xml:space="preserve">The first paper estimates an ordinary least squares regression of the topic-signal score on three predictors. In the notation recorded with the workbook, the model is</w:t>
      </w:r>
    </w:p>
    <w:p>
      <w:pPr>
        <w:pStyle w:val="BodyText"/>
        <w:spacing w:line="480" w:lineRule="auto"/>
        <w:ind w:firstLine="720"/>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r>
            <m:rPr>
              <m:sty m:val="p"/>
            </m:rPr>
            <m:t>.</m:t>
          </m:r>
        </m:oMath>
      </m:oMathPara>
    </w:p>
    <w:p>
      <w:pPr>
        <w:pStyle w:val="FirstParagraph"/>
        <w:spacing w:line="480" w:lineRule="auto"/>
      </w:pPr>
      <w:r>
        <w:t xml:space="preserve">Here the outcome is the composite topic-signal score for record</w:t>
      </w:r>
      <w:r>
        <w:t xml:space="preserve"> </w:t>
      </w:r>
      <m:oMath>
        <m:r>
          <m:t>i</m:t>
        </m:r>
      </m:oMath>
      <w:r>
        <w:t xml:space="preserve">. The three predictors are the recency index, the reported citation count, and the ordinal venue-family score. The coefficients</w:t>
      </w:r>
      <w:r>
        <w:t xml:space="preserve"> </w:t>
      </w:r>
      <m:oMath>
        <m:sSub>
          <m:e>
            <m:r>
              <m:t>β</m:t>
            </m:r>
          </m:e>
          <m:sub>
            <m:r>
              <m:t>1</m:t>
            </m:r>
          </m:sub>
        </m:sSub>
      </m:oMath>
      <w:r>
        <w:t xml:space="preserve">,</w:t>
      </w:r>
      <w:r>
        <w:t xml:space="preserve"> </w:t>
      </w:r>
      <m:oMath>
        <m:sSub>
          <m:e>
            <m:r>
              <m:t>β</m:t>
            </m:r>
          </m:e>
          <m:sub>
            <m:r>
              <m:t>2</m:t>
            </m:r>
          </m:sub>
        </m:sSub>
      </m:oMath>
      <w:r>
        <w:t xml:space="preserve">, and</w:t>
      </w:r>
      <w:r>
        <w:t xml:space="preserve"> </w:t>
      </w:r>
      <m:oMath>
        <m:sSub>
          <m:e>
            <m:r>
              <m:t>β</m:t>
            </m:r>
          </m:e>
          <m:sub>
            <m:r>
              <m:t>3</m:t>
            </m:r>
          </m:sub>
        </m:sSub>
      </m:oMath>
      <w:r>
        <w:t xml:space="preserve"> </w:t>
      </w:r>
      <w:r>
        <w:t xml:space="preserve">are the quantities of interest, and each answers a distinct question. Does the signal rise with recency? Does it rise with attention? Does it differ across venue families?</w:t>
      </w:r>
    </w:p>
    <w:p>
      <w:pPr>
        <w:pStyle w:val="BodyText"/>
        <w:spacing w:line="480" w:lineRule="auto"/>
        <w:ind w:firstLine="720"/>
      </w:pPr>
      <w:r>
        <w:t xml:space="preserve">Ordinary least squares is the appropriate estimator for this cross-sectional question because the outcome is a count-like continuous score and the theoretical prediction concerns linear association, not threshold or survival behavior</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alternative estimators a reviewer might propose, such as a count model, would buy little here because the object is the direction and precision of association across a small sample, and the linear model states that association in units a reader can interpret directly. A one-unit increase in the recency index is associated with a</w:t>
      </w:r>
      <w:r>
        <w:t xml:space="preserve"> </w:t>
      </w:r>
      <m:oMath>
        <m:sSub>
          <m:e>
            <m:r>
              <m:t>β</m:t>
            </m:r>
          </m:e>
          <m:sub>
            <m:r>
              <m:t>1</m:t>
            </m:r>
          </m:sub>
        </m:sSub>
      </m:oMath>
      <w:r>
        <w:t xml:space="preserve">-unit change in the signal score, holding attention and venue fixed. That interpretability is worth more, in a screening exercise, than a marginally better fit from a more elaborate functional form.</w:t>
      </w:r>
    </w:p>
    <w:p>
      <w:pPr>
        <w:pStyle w:val="BodyText"/>
        <w:spacing w:line="480" w:lineRule="auto"/>
        <w:ind w:firstLine="720"/>
      </w:pPr>
      <w:r>
        <w:t xml:space="preserve">Standard errors are computed with the heteroskedasticity-consistent HC1 correction. This choice is not cosmetic. It is load-bearing. A corpus that mixes venue families with different citation and signal cultures is almost certain to violate the homoskedasticity assumption, and the HC1 correction keeps the reported precision honest under that violation</w:t>
      </w:r>
      <w:r>
        <w:t xml:space="preserve"> </w:t>
      </w:r>
      <w:hyperlink w:anchor="ref-5">
        <w:r>
          <w:rPr>
            <w:rStyle w:val="Hyperlink"/>
          </w:rPr>
          <w:t xml:space="preserve">[5]</w:t>
        </w:r>
      </w:hyperlink>
      <w:r>
        <w:t xml:space="preserve">. The p-values reported in the results chapter therefore reflect a variance estimate that does not pretend the errors are identically distributed across records they plainly are not.</w:t>
      </w:r>
    </w:p>
    <w:bookmarkEnd w:id="97"/>
    <w:bookmarkStart w:id="98" w:name="what-the-first-model-identifies"/>
    <w:p>
      <w:pPr>
        <w:pStyle w:val="Heading2"/>
        <w:spacing w:line="480" w:lineRule="auto"/>
      </w:pPr>
      <w:r>
        <w:t xml:space="preserve">What the first model identifies</w:t>
      </w:r>
    </w:p>
    <w:p>
      <w:pPr>
        <w:pStyle w:val="FirstParagraph"/>
        <w:spacing w:line="480" w:lineRule="auto"/>
      </w:pPr>
      <w:r>
        <w:t xml:space="preserve">The sense in which this model identifies an effect is conditional and corpus-bound. Under the maintained assumption that the three predictors are measured deterministically from source metadata, which they are, the coefficients recover the partial association between each predictor and the topic signal within this specific retrieved corpus. That is the whole of the claim. The model does not identify what would happen to the signal if the field’s behavior changed, and it does not identify a parameter that would generalize to a differently assembled corpus.</w:t>
      </w:r>
    </w:p>
    <w:p>
      <w:pPr>
        <w:pStyle w:val="BodyText"/>
        <w:spacing w:line="480" w:lineRule="auto"/>
        <w:ind w:firstLine="720"/>
      </w:pPr>
      <w:r>
        <w:t xml:space="preserve">Two threats to even this modest identification are worth naming at the design stage. The first is omitted structure: a feature of the records that drives both the signal and one of the predictors, left out of the model, would bias the corresponding coefficient. The dissertation cannot rule this out with three predictors and thirty records, and it does not pretend to</w:t>
      </w:r>
      <w:r>
        <w:t xml:space="preserve"> </w:t>
      </w:r>
      <w:hyperlink w:anchor="ref-1">
        <w:r>
          <w:rPr>
            <w:rStyle w:val="Hyperlink"/>
          </w:rPr>
          <w:t xml:space="preserve">[1]</w:t>
        </w:r>
      </w:hyperlink>
      <w:r>
        <w:t xml:space="preserve">. The second is collinearity between recency and venue, since newer records in this corpus lean toward particular venue families. Where two predictors carry overlapping information, each one’s coefficient becomes harder to estimate precisely, and the results chapter reads the affected coefficients with that fragility in mind</w:t>
      </w:r>
      <w:r>
        <w:t xml:space="preserve"> </w:t>
      </w:r>
      <w:hyperlink w:anchor="ref-7">
        <w:r>
          <w:rPr>
            <w:rStyle w:val="Hyperlink"/>
          </w:rPr>
          <w:t xml:space="preserve">[7]</w:t>
        </w:r>
      </w:hyperlink>
      <w:r>
        <w:t xml:space="preserve">.</w:t>
      </w:r>
    </w:p>
    <w:p>
      <w:pPr>
        <w:pStyle w:val="BodyText"/>
        <w:spacing w:line="480" w:lineRule="auto"/>
        <w:ind w:firstLine="720"/>
      </w:pPr>
      <w:r>
        <w:t xml:space="preserve">The honest posture is to treat a precise coefficient as evidence of structure and an imprecise coefficient as evidence of its absence, without inventing a causal story to explain either. This is what separates a screen from an overreach. A screen reports what the conditional association is and stops. The concluding chapter, not this one, specifies the design that could move from association toward something stronger.</w:t>
      </w:r>
    </w:p>
    <w:bookmarkEnd w:id="98"/>
    <w:bookmarkStart w:id="99" w:name="the-second-estimator-the-learning-curve"/>
    <w:p>
      <w:pPr>
        <w:pStyle w:val="Heading2"/>
        <w:spacing w:line="480" w:lineRule="auto"/>
      </w:pPr>
      <w:r>
        <w:t xml:space="preserve">The second estimator: the learning curve</w:t>
      </w:r>
    </w:p>
    <w:p>
      <w:pPr>
        <w:pStyle w:val="FirstParagraph"/>
        <w:spacing w:line="480" w:lineRule="auto"/>
      </w:pPr>
      <w:r>
        <w:t xml:space="preserve">The second paper turns from cross-sectional structure to temporal accumulation, and it uses a different functional form because the question has a different shape. Citation accumulation against age is a classic setting for a learning-curve, or log-log, specification, in which both the outcome and the regressor enter in logarithms:</w:t>
      </w:r>
    </w:p>
    <w:p>
      <w:pPr>
        <w:pStyle w:val="BodyText"/>
        <w:spacing w:line="480" w:lineRule="auto"/>
        <w:ind w:firstLine="720"/>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r>
            <m:rPr>
              <m:sty m:val="p"/>
            </m:rPr>
            <m:t>.</m:t>
          </m:r>
        </m:oMath>
      </m:oMathPara>
    </w:p>
    <w:p>
      <w:pPr>
        <w:pStyle w:val="FirstParagraph"/>
        <w:spacing w:line="480" w:lineRule="auto"/>
      </w:pPr>
      <w:r>
        <w:t xml:space="preserve">Its outcome is the log of citation count plus one, where the plus-one transformation is what allows uncited records to enter a logarithmic model at all</w:t>
      </w:r>
      <w:r>
        <w:t xml:space="preserve"> </w:t>
      </w:r>
      <w:hyperlink w:anchor="ref-6">
        <w:r>
          <w:rPr>
            <w:rStyle w:val="Hyperlink"/>
          </w:rPr>
          <w:t xml:space="preserve">[6]</w:t>
        </w:r>
      </w:hyperlink>
      <w:r>
        <w:t xml:space="preserve">. The regressor is the log of the age index, defined so that older documents carry larger values. The coefficient</w:t>
      </w:r>
      <w:r>
        <w:t xml:space="preserve"> </w:t>
      </w:r>
      <m:oMath>
        <m:sSub>
          <m:e>
            <m:r>
              <m:t>β</m:t>
            </m:r>
          </m:e>
          <m:sub>
            <m:r>
              <m:t>1</m:t>
            </m:r>
          </m:sub>
        </m:sSub>
      </m:oMath>
      <w:r>
        <w:t xml:space="preserve"> </w:t>
      </w:r>
      <w:r>
        <w:t xml:space="preserve">is an elasticity: it reports the percentage change in accumulated attention associated with a one-percent change in age. That single number carries the entire temporal claim, which is why the log-log form is the natural choice.</w:t>
      </w:r>
    </w:p>
    <w:p>
      <w:pPr>
        <w:pStyle w:val="BodyText"/>
        <w:spacing w:line="480" w:lineRule="auto"/>
        <w:ind w:firstLine="720"/>
      </w:pPr>
      <w:r>
        <w:t xml:space="preserve">The elasticity has a second reading that the workbook records explicitly, the progress ratio, computed as two raised to the power of the elasticity. In the learning-curve tradition the progress ratio expresses what happens to the outcome as the age index doubles. A ratio below one means that doubling age is associated with a less-than-proportional change in accumulated attention, which is the pattern one expects when attention saturates or when the local index undercounts the citations of older records. The dissertation reports the progress ratio alongside the elasticity so the reader can interpret the coefficient in the field’s own vocabulary rather than in bare logarithmic units.</w:t>
      </w:r>
    </w:p>
    <w:bookmarkEnd w:id="99"/>
    <w:bookmarkStart w:id="100" w:name="what-the-second-model-identifies"/>
    <w:p>
      <w:pPr>
        <w:pStyle w:val="Heading2"/>
        <w:spacing w:line="480" w:lineRule="auto"/>
      </w:pPr>
      <w:r>
        <w:t xml:space="preserve">What the second model identifies</w:t>
      </w:r>
    </w:p>
    <w:p>
      <w:pPr>
        <w:pStyle w:val="FirstParagraph"/>
        <w:spacing w:line="480" w:lineRule="auto"/>
      </w:pPr>
      <w:r>
        <w:t xml:space="preserve">Like the first, the second model identifies a conditional, corpus-bound quantity. Under the maintained assumptions that age is measured deterministically from publication year and that the plus-one transformation is applied uniformly, the elasticity recovers the average log-log relationship between age and accumulated attention across these thirty records. It does not identify a causal effect of age on citations in any deep sense, because age is entangled with everything that has changed in the field over the covered years</w:t>
      </w:r>
      <w:r>
        <w:t xml:space="preserve"> </w:t>
      </w:r>
      <w:hyperlink w:anchor="ref-9">
        <w:r>
          <w:rPr>
            <w:rStyle w:val="Hyperlink"/>
          </w:rPr>
          <w:t xml:space="preserve">[9]</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By far the most important threat to the second model is the nature of the citation measure. The counts come from a local index rather than a universal citation database, so records that are genuinely well cited in the wider literature may register as uncited here, and the plus-one flooring compresses exactly those cases</w:t>
      </w:r>
      <w:r>
        <w:t xml:space="preserve"> </w:t>
      </w:r>
      <w:hyperlink w:anchor="ref-5">
        <w:r>
          <w:rPr>
            <w:rStyle w:val="Hyperlink"/>
          </w:rPr>
          <w:t xml:space="preserve">[5]</w:t>
        </w:r>
      </w:hyperlink>
      <w:r>
        <w:t xml:space="preserve">. This measurement floor will tend to flatten the estimated elasticity, biasing it toward zero. The dissertation therefore treats a precise nonzero elasticity as a stronger finding than its magnitude alone would suggest, and treats a null elasticity as consistent with either a genuinely flat accumulation or a measurement floor that has swallowed the signal. Naming the direction of the likely bias is part of stating the identification honestly.</w:t>
      </w:r>
    </w:p>
    <w:bookmarkEnd w:id="100"/>
    <w:bookmarkStart w:id="101" w:name="why-two-estimators-rather-than-one"/>
    <w:p>
      <w:pPr>
        <w:pStyle w:val="Heading2"/>
        <w:spacing w:line="480" w:lineRule="auto"/>
      </w:pPr>
      <w:r>
        <w:t xml:space="preserve">Why two estimators rather than one</w:t>
      </w:r>
    </w:p>
    <w:p>
      <w:pPr>
        <w:pStyle w:val="FirstParagraph"/>
        <w:spacing w:line="480" w:lineRule="auto"/>
      </w:pPr>
      <w:r>
        <w:t xml:space="preserve">A reviewer might ask why the dissertation does not fold both questions into a single richer model. The answer is that the two predictions concern different objects and a combined model would obscure both. Cross-sectional signal structure and temporal attention accumulation are distinct claims about emergence, and forcing them into one specification would trade interpretability for a false economy</w:t>
      </w:r>
      <w:r>
        <w:t xml:space="preserve"> </w:t>
      </w:r>
      <w:hyperlink w:anchor="ref-2">
        <w:r>
          <w:rPr>
            <w:rStyle w:val="Hyperlink"/>
          </w:rPr>
          <w:t xml:space="preserve">[2]</w:t>
        </w:r>
      </w:hyperlink>
      <w:r>
        <w:t xml:space="preserve"> </w:t>
      </w:r>
      <w:hyperlink w:anchor="ref-4">
        <w:r>
          <w:rPr>
            <w:rStyle w:val="Hyperlink"/>
          </w:rPr>
          <w:t xml:space="preserve">[4]</w:t>
        </w:r>
      </w:hyperlink>
      <w:r>
        <w:t xml:space="preserve">. By keeping the estimators separate, the dissertation can report a clean verdict on each, and it can report a split verdict, one model structured and the other not, without having to reconcile the two prematurely. That separation is a feature of the design, and it is what lets the results chapter speak plainly about what the corpus supports and what it does not.</w:t>
      </w:r>
    </w:p>
    <w:bookmarkEnd w:id="101"/>
    <w:bookmarkStart w:id="102" w:name="Xf5633bc350fa96b8f3591f081b12a6b97e5674c"/>
    <w:p>
      <w:pPr>
        <w:pStyle w:val="Heading2"/>
        <w:spacing w:line="480" w:lineRule="auto"/>
      </w:pPr>
      <w:r>
        <w:t xml:space="preserve">Standard errors and the meaning of a p-value here</w:t>
      </w:r>
    </w:p>
    <w:p>
      <w:pPr>
        <w:pStyle w:val="FirstParagraph"/>
        <w:spacing w:line="480" w:lineRule="auto"/>
      </w:pPr>
      <w:r>
        <w:t xml:space="preserve">Because both models report p-values, it is worth stating precisely what a p-value licenses in this setting, so that the results chapter is not read as claiming more than the inference supports. A p-value here is the probability, under the null of no association and under the maintained assumptions of the model, of observing a coefficient at least as extreme as the one estimated. It is a statement about the compatibility of the data with a null, not a statement about the probability that the null is true, and it is certainly not a measure of the effect’s real-world importance</w:t>
      </w:r>
      <w:r>
        <w:t xml:space="preserve"> </w:t>
      </w:r>
      <w:hyperlink w:anchor="ref-3">
        <w:r>
          <w:rPr>
            <w:rStyle w:val="Hyperlink"/>
          </w:rPr>
          <w:t xml:space="preserve">[3]</w:t>
        </w:r>
      </w:hyperlink>
      <w:r>
        <w:t xml:space="preserve">. A coefficient can be highly significant and substantively small, or substantively large and imprecise, and the results chapter reads magnitude and precision as separate facts precisely because the p-value conflates neither.</w:t>
      </w:r>
    </w:p>
    <w:p>
      <w:pPr>
        <w:pStyle w:val="BodyText"/>
        <w:spacing w:line="480" w:lineRule="auto"/>
        <w:ind w:firstLine="720"/>
      </w:pPr>
      <w:r>
        <w:t xml:space="preserve">The HC1 correction changes the p-values but not this interpretation. By allowing the error variance to differ across records, the correction produces standard errors that are typically larger, and therefore p-values that are typically more conservative, than the classical alternative would yield</w:t>
      </w:r>
      <w:r>
        <w:t xml:space="preserve"> </w:t>
      </w:r>
      <w:hyperlink w:anchor="ref-5">
        <w:r>
          <w:rPr>
            <w:rStyle w:val="Hyperlink"/>
          </w:rPr>
          <w:t xml:space="preserve">[5]</w:t>
        </w:r>
      </w:hyperlink>
      <w:r>
        <w:t xml:space="preserve">. When a coefficient clears significance under HC1, it has cleared a higher bar than a naive standard error would have set. This matters most for the borderline venue coefficient in the first paper, whose precision is exactly the kind that a variance assumption can flip, and the dissertation’s choice of the conservative correction is what keeps that borderline call honest rather than flattering.</w:t>
      </w:r>
    </w:p>
    <w:bookmarkEnd w:id="102"/>
    <w:bookmarkStart w:id="103" w:name="functional-form-as-a-testable-commitment"/>
    <w:p>
      <w:pPr>
        <w:pStyle w:val="Heading2"/>
        <w:spacing w:line="480" w:lineRule="auto"/>
      </w:pPr>
      <w:r>
        <w:t xml:space="preserve">Functional form as a testable commitment</w:t>
      </w:r>
    </w:p>
    <w:p>
      <w:pPr>
        <w:pStyle w:val="FirstParagraph"/>
        <w:spacing w:line="480" w:lineRule="auto"/>
      </w:pPr>
      <w:r>
        <w:t xml:space="preserve">Each estimator embeds a commitment about functional form, and those commitments are themselves open to challenge. The first paper commits to linearity in the predictors, so that the association between recency and signal, for instance, is assumed constant across the recency range rather than accelerating or saturating</w:t>
      </w:r>
      <w:r>
        <w:t xml:space="preserve"> </w:t>
      </w:r>
      <w:hyperlink w:anchor="ref-4">
        <w:r>
          <w:rPr>
            <w:rStyle w:val="Hyperlink"/>
          </w:rPr>
          <w:t xml:space="preserve">[4]</w:t>
        </w:r>
      </w:hyperlink>
      <w:r>
        <w:t xml:space="preserve">. This is a defensible default for a screen, because a small sample cannot support the estimation of curvature without overfitting, but it is a commitment a larger study should relax. If the true relationship between recency and signal is threshold-like, appearing only after a topic crosses into the field’s active agenda, a linear model would understate it, and the recency null this dissertation reports would then be a form-induced null rather than a true one</w:t>
      </w:r>
      <w:r>
        <w:t xml:space="preserve"> </w:t>
      </w:r>
      <w:hyperlink w:anchor="ref-10">
        <w:r>
          <w:rPr>
            <w:rStyle w:val="Hyperlink"/>
          </w:rPr>
          <w:t xml:space="preserve">[10]</w:t>
        </w:r>
      </w:hyperlink>
      <w:r>
        <w:t xml:space="preserve">.</w:t>
      </w:r>
    </w:p>
    <w:p>
      <w:pPr>
        <w:pStyle w:val="BodyText"/>
        <w:spacing w:line="480" w:lineRule="auto"/>
        <w:ind w:firstLine="720"/>
      </w:pPr>
      <w:r>
        <w:t xml:space="preserve">The second paper commits to a constant elasticity, the defining assumption of the log-log form, so that the proportional relationship between age and accumulated attention is assumed the same at every age</w:t>
      </w:r>
      <w:r>
        <w:t xml:space="preserve"> </w:t>
      </w:r>
      <w:hyperlink w:anchor="ref-6">
        <w:r>
          <w:rPr>
            <w:rStyle w:val="Hyperlink"/>
          </w:rPr>
          <w:t xml:space="preserve">[6]</w:t>
        </w:r>
      </w:hyperlink>
      <w:r>
        <w:t xml:space="preserve">. This is the natural form for a learning-curve question and it yields a single interpretable elasticity, but it too is a commitment. If attention accrues in bursts, or if the local index scores recent records categorically differently from older ones, a constant-elasticity model will average across a discontinuity it cannot represent. The methodology flags this not to disown the form but to mark, in advance, the specific way the second model could mislead, so that a surprising elasticity is read against a form whose limits were named before the number was seen</w:t>
      </w:r>
      <w:r>
        <w:t xml:space="preserve"> </w:t>
      </w:r>
      <w:hyperlink w:anchor="ref-5">
        <w:r>
          <w:rPr>
            <w:rStyle w:val="Hyperlink"/>
          </w:rPr>
          <w:t xml:space="preserve">[5]</w:t>
        </w:r>
      </w:hyperlink>
      <w:r>
        <w:t xml:space="preserve">.</w:t>
      </w:r>
    </w:p>
    <w:bookmarkEnd w:id="103"/>
    <w:bookmarkStart w:id="104" w:name="why-identification-stops-where-it-does"/>
    <w:p>
      <w:pPr>
        <w:pStyle w:val="Heading2"/>
        <w:spacing w:line="480" w:lineRule="auto"/>
      </w:pPr>
      <w:r>
        <w:t xml:space="preserve">Why identification stops where it does</w:t>
      </w:r>
    </w:p>
    <w:p>
      <w:pPr>
        <w:pStyle w:val="FirstParagraph"/>
        <w:spacing w:line="480" w:lineRule="auto"/>
      </w:pPr>
      <w:r>
        <w:t xml:space="preserve">It is worth being explicit about the ceiling on identification, because a reader trained in causal inference will want to know how high the design reaches. It reaches to conditional association within a fixed corpus and no higher. There is no instrument, no natural experiment, and no source of exogenous variation that would let either model recover a causal parameter, and the dissertation does not manufacture one</w:t>
      </w:r>
      <w:r>
        <w:t xml:space="preserve"> </w:t>
      </w:r>
      <w:hyperlink w:anchor="ref-1">
        <w:r>
          <w:rPr>
            <w:rStyle w:val="Hyperlink"/>
          </w:rPr>
          <w:t xml:space="preserve">[1]</w:t>
        </w:r>
      </w:hyperlink>
      <w:r>
        <w:t xml:space="preserve"> </w:t>
      </w:r>
      <w:hyperlink w:anchor="ref-2">
        <w:r>
          <w:rPr>
            <w:rStyle w:val="Hyperlink"/>
          </w:rPr>
          <w:t xml:space="preserve">[2]</w:t>
        </w:r>
      </w:hyperlink>
      <w:r>
        <w:t xml:space="preserve">. What the design does offer is a clean separation between the questions it can answer, whether the specified associations are present and precise, and the questions it cannot, whether those associations reflect causal force or would generalize beyond this corpus. Keeping that ceiling visible is not a weakness of the methodology; it is the discipline that makes the results trustworthy at the altitude they actually occupy</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End w:id="104"/>
    <w:bookmarkStart w:id="105" w:name="Xf4e908fd831bac445ca8f48eb497edfec12fbda"/>
    <w:p>
      <w:pPr>
        <w:pStyle w:val="Heading2"/>
        <w:spacing w:line="480" w:lineRule="auto"/>
      </w:pPr>
      <w:r>
        <w:t xml:space="preserve">Estimation mechanics and the reproducibility guarantee</w:t>
      </w:r>
    </w:p>
    <w:p>
      <w:pPr>
        <w:pStyle w:val="FirstParagraph"/>
        <w:spacing w:line="480" w:lineRule="auto"/>
      </w:pPr>
      <w:r>
        <w:t xml:space="preserve">Both models are estimated by ordinary least squares in a standard statistical environment, and the mechanics are worth recording so that the reproducibility guarantee is concrete rather than gestural. Each model reads a fixed dataset, constructs its design matrix from columns defined by the configuration, fits the coefficients by minimizing the sum of squared residuals, and computes the HC1 variance estimate from the residuals and the design matrix</w:t>
      </w:r>
      <w:r>
        <w:t xml:space="preserve"> </w:t>
      </w:r>
      <w:hyperlink w:anchor="ref-5">
        <w:r>
          <w:rPr>
            <w:rStyle w:val="Hyperlink"/>
          </w:rPr>
          <w:t xml:space="preserve">[5]</w:t>
        </w:r>
      </w:hyperlink>
      <w:r>
        <w:t xml:space="preserve">. There is no iterative optimization that could land in a different local solution on a different run, no random seed that could shift the answer, and no tuning parameter chosen by the analyst. The estimation is deterministic end to end, which means the coefficients reported in the results chapter are not one draw among many but the unique output of the specified procedure on the specified data.</w:t>
      </w:r>
    </w:p>
    <w:p>
      <w:pPr>
        <w:pStyle w:val="BodyText"/>
        <w:spacing w:line="480" w:lineRule="auto"/>
        <w:ind w:firstLine="720"/>
      </w:pPr>
      <w:r>
        <w:t xml:space="preserve">This determinism is the operational meaning of the reproducibility commitment. A second analyst who obtains the same dataset and applies the same specification will obtain the same coefficients to the last decimal, and the results chapter reports those coefficients at full precision precisely to make that check possible</w:t>
      </w:r>
      <w:r>
        <w:t xml:space="preserve"> </w:t>
      </w:r>
      <w:hyperlink w:anchor="ref-4">
        <w:r>
          <w:rPr>
            <w:rStyle w:val="Hyperlink"/>
          </w:rPr>
          <w:t xml:space="preserve">[4]</w:t>
        </w:r>
      </w:hyperlink>
      <w:r>
        <w:t xml:space="preserve">. Rounding would frustrate the check by leaving ambiguity about whether a reproduction matched; full precision removes the ambiguity. The choice to report unrounded output is therefore not a stylistic tic but a functional part of the design, the feature that lets a skeptic move from doubting the numbers to re-deriving them.</w:t>
      </w:r>
    </w:p>
    <w:bookmarkEnd w:id="105"/>
    <w:bookmarkStart w:id="106" w:name="diagnostics-the-sample-permits"/>
    <w:p>
      <w:pPr>
        <w:pStyle w:val="Heading2"/>
        <w:spacing w:line="480" w:lineRule="auto"/>
      </w:pPr>
      <w:r>
        <w:t xml:space="preserve">Diagnostics the sample permits</w:t>
      </w:r>
    </w:p>
    <w:p>
      <w:pPr>
        <w:pStyle w:val="FirstParagraph"/>
        <w:spacing w:line="480" w:lineRule="auto"/>
      </w:pPr>
      <w:r>
        <w:t xml:space="preserve">A conscientious methodology names the diagnostics it can and cannot run. The sample permits inspection of the residuals for gross departures from the model’s assumptions, and it permits the HC1 correction that guards against the heteroskedasticity such inspection would reveal</w:t>
      </w:r>
      <w:r>
        <w:t xml:space="preserve"> </w:t>
      </w:r>
      <w:hyperlink w:anchor="ref-5">
        <w:r>
          <w:rPr>
            <w:rStyle w:val="Hyperlink"/>
          </w:rPr>
          <w:t xml:space="preserve">[5]</w:t>
        </w:r>
      </w:hyperlink>
      <w:r>
        <w:t xml:space="preserve">. It permits examination of whether any single record exerts outsized leverage on the fit, which the results and discussion chapters take up in the case of the corpus’s one high-signal record</w:t>
      </w:r>
      <w:r>
        <w:t xml:space="preserve"> </w:t>
      </w:r>
      <w:hyperlink w:anchor="ref-7">
        <w:r>
          <w:rPr>
            <w:rStyle w:val="Hyperlink"/>
          </w:rPr>
          <w:t xml:space="preserve">[7]</w:t>
        </w:r>
      </w:hyperlink>
      <w:r>
        <w:t xml:space="preserve">. These are the diagnostics a sample of thirty can support without collapsing into noise.</w:t>
      </w:r>
    </w:p>
    <w:p>
      <w:pPr>
        <w:pStyle w:val="BodyText"/>
        <w:spacing w:line="480" w:lineRule="auto"/>
        <w:ind w:firstLine="720"/>
      </w:pPr>
      <w:r>
        <w:t xml:space="preserve">The sample does not permit the fuller diagnostic suite a larger study would run. There is no room for a formal test of functional form against a flexible alternative, because estimating the alternative would exhaust the degrees of freedom</w:t>
      </w:r>
      <w:r>
        <w:t xml:space="preserve"> </w:t>
      </w:r>
      <w:hyperlink w:anchor="ref-3">
        <w:r>
          <w:rPr>
            <w:rStyle w:val="Hyperlink"/>
          </w:rPr>
          <w:t xml:space="preserve">[3]</w:t>
        </w:r>
      </w:hyperlink>
      <w:r>
        <w:t xml:space="preserve">. There is no room for cross-validation, no room for a placebo outcome, and no room to test the citation result’s stability across resampled subsets without the resamples becoming too small to inform anything</w:t>
      </w:r>
      <w:r>
        <w:t xml:space="preserve"> </w:t>
      </w:r>
      <w:hyperlink w:anchor="ref-9">
        <w:r>
          <w:rPr>
            <w:rStyle w:val="Hyperlink"/>
          </w:rPr>
          <w:t xml:space="preserve">[9]</w:t>
        </w:r>
      </w:hyperlink>
      <w:r>
        <w:t xml:space="preserve">. The methodology names these absences rather than papering over them, because a reader deciding how much weight to place on the coefficients needs to know which checks stand behind them and which do not. A screen that is honest about its diagnostics is more useful than one that implies checks it never ran, and this design chooses the former at every turn</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End w:id="106"/>
    <w:bookmarkStart w:id="107" w:name="the-two-estimators-as-a-matched-pair"/>
    <w:p>
      <w:pPr>
        <w:pStyle w:val="Heading2"/>
        <w:spacing w:line="480" w:lineRule="auto"/>
      </w:pPr>
      <w:r>
        <w:t xml:space="preserve">The two estimators as a matched pair</w:t>
      </w:r>
    </w:p>
    <w:p>
      <w:pPr>
        <w:pStyle w:val="FirstParagraph"/>
        <w:spacing w:line="480" w:lineRule="auto"/>
      </w:pPr>
      <w:r>
        <w:t xml:space="preserve">Read as a pair, the two estimators cover the two faces of the emergence claim without overlapping, and that complementarity is the methodological payoff. The ordinary least squares model answers a cross-sectional question about where signal concentrates; the learning-curve model answers a temporal question about how attention accrues</w:t>
      </w:r>
      <w:r>
        <w:t xml:space="preserve"> </w:t>
      </w:r>
      <w:hyperlink w:anchor="ref-2">
        <w:r>
          <w:rPr>
            <w:rStyle w:val="Hyperlink"/>
          </w:rPr>
          <w:t xml:space="preserve">[2]</w:t>
        </w:r>
      </w:hyperlink>
      <w:r>
        <w:t xml:space="preserve"> </w:t>
      </w:r>
      <w:hyperlink w:anchor="ref-6">
        <w:r>
          <w:rPr>
            <w:rStyle w:val="Hyperlink"/>
          </w:rPr>
          <w:t xml:space="preserve">[6]</w:t>
        </w:r>
      </w:hyperlink>
      <w:r>
        <w:t xml:space="preserve">. Neither could stand in for the other, and neither is redundant given the other. A reader who accepts the identification limits stated above can therefore read the two results as independent readings of the same corpus taken from different angles, and can weigh their agreement or disagreement as evidence in its own right. The methodology delivers to the results chapter exactly two clean, interpretable, reproducible coefficients of interest, one per model, each with a stated meaning and a stated limit, which is the most a screen of this size should promise and precisely what it should deliver</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End w:id="107"/>
    <w:bookmarkStart w:id="108" w:name="anticipating-the-reviewers-objections"/>
    <w:p>
      <w:pPr>
        <w:pStyle w:val="Heading2"/>
        <w:spacing w:line="480" w:lineRule="auto"/>
      </w:pPr>
      <w:r>
        <w:t xml:space="preserve">Anticipating the reviewer’s objections</w:t>
      </w:r>
    </w:p>
    <w:p>
      <w:pPr>
        <w:pStyle w:val="FirstParagraph"/>
        <w:spacing w:line="480" w:lineRule="auto"/>
      </w:pPr>
      <w:r>
        <w:t xml:space="preserve">A methodology chapter earns its keep by meeting objections before they are raised, and three deserve a direct answer. The first objection is that ordinary least squares on a count-like outcome is crude, and a count model would be preferable. The answer is that with thirty records and a screening purpose, the interpretability of a linear coefficient outweighs the marginal fit a count model might buy, and the linear estimate can be read directly in the outcome’s own units without a link function to translate</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second objection is that the plus-one flooring in the second model distorts the outcome. The answer is that the distortion is uniform, applied identically to every record, and it is the standard device for admitting zero-count observations into a logarithmic model; its effect is named in advance and read into the elasticity’s interpretation rather than hidden</w:t>
      </w:r>
      <w:r>
        <w:t xml:space="preserve"> </w:t>
      </w:r>
      <w:hyperlink w:anchor="ref-6">
        <w:r>
          <w:rPr>
            <w:rStyle w:val="Hyperlink"/>
          </w:rPr>
          <w:t xml:space="preserve">[6]</w:t>
        </w:r>
      </w:hyperlink>
      <w:r>
        <w:t xml:space="preserve">.</w:t>
      </w:r>
    </w:p>
    <w:p>
      <w:pPr>
        <w:pStyle w:val="BodyText"/>
        <w:spacing w:line="480" w:lineRule="auto"/>
        <w:ind w:firstLine="720"/>
      </w:pPr>
      <w:r>
        <w:t xml:space="preserve">The third objection is the most serious: that with so few records and modest fits, the whole exercise risks reporting noise as signal. The answer is the design’s entire posture. The conservative HC1 variance treatment raises the bar a coefficient must clear, the refutation conditions were fixed before the numbers were seen, and the results chapter reports imprecise coefficients as imprecise rather than promoting their signs into claims</w:t>
      </w:r>
      <w:r>
        <w:t xml:space="preserve"> </w:t>
      </w:r>
      <w:hyperlink w:anchor="ref-5">
        <w:r>
          <w:rPr>
            <w:rStyle w:val="Hyperlink"/>
          </w:rPr>
          <w:t xml:space="preserve">[5]</w:t>
        </w:r>
      </w:hyperlink>
      <w:r>
        <w:t xml:space="preserve">. A screen that could not distinguish signal from noise would be worthless, and the methodology’s answer to the noise objection is not a denial but a set of guardrails that make the distinction, coefficient by coefficient, in full view of the reader</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End w:id="108"/>
    <w:bookmarkEnd w:id="109"/>
    <w:bookmarkStart w:id="122" w:name="data-and-measurement"/>
    <w:p>
      <w:pPr>
        <w:pStyle w:val="Heading1"/>
        <w:spacing w:line="480" w:lineRule="auto"/>
      </w:pPr>
      <w:r>
        <w:t xml:space="preserve">Data and Measurement</w:t>
      </w:r>
    </w:p>
    <w:p>
      <w:pPr>
        <w:pStyle w:val="FirstParagraph"/>
        <w:spacing w:line="480" w:lineRule="auto"/>
      </w:pPr>
      <w:r>
        <w:t xml:space="preserve">A screen is only as trustworthy as the records it screens. Provenance is everything. This chapter documents the dataset in full: where the records come from, how many there are, and how each variable is built from raw metadata into a number a model can use. The governing principle is that nothing in the pipeline should be hidden. Every row carries a source field, every variable has a deterministic definition, and any reader with the workbook can reconstruct the entire dataset without consulting the author.</w:t>
      </w:r>
    </w:p>
    <w:bookmarkStart w:id="110" w:name="the-corpus"/>
    <w:p>
      <w:pPr>
        <w:pStyle w:val="Heading2"/>
        <w:spacing w:line="480" w:lineRule="auto"/>
      </w:pPr>
      <w:r>
        <w:t xml:space="preserve">The corpus</w:t>
      </w:r>
    </w:p>
    <w:p>
      <w:pPr>
        <w:pStyle w:val="FirstParagraph"/>
        <w:spacing w:line="480" w:lineRule="auto"/>
      </w:pPr>
      <w:r>
        <w:t xml:space="preserve">The estimation file contains thirty retrieved source records. Thirty. That number is small, and the dissertation does not disguise the fact; a corpus of thirty is a screening sample, not a population census, and every claim in the results is scaled to that reality. The records were retrieved into the candidate’s local source collection and span a range of years, venue families, and subject matter, from technical surveillance work through security analysis to space-economy commentary</w:t>
      </w:r>
      <w:r>
        <w:t xml:space="preserve"> </w:t>
      </w:r>
      <w:hyperlink w:anchor="ref-3">
        <w:r>
          <w:rPr>
            <w:rStyle w:val="Hyperlink"/>
          </w:rPr>
          <w:t xml:space="preserve">[3]</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Three venue families organize the records, and the dataset codes each one explicitly. The largest group comes from the technical surveillance and space-security conference literature, records whose sources resolve to conference proceedings on satellite characterization, decision support, operator confidence, space weapons, and safety norms</w:t>
      </w:r>
      <w:r>
        <w:t xml:space="preserve"> </w:t>
      </w:r>
      <w:hyperlink w:anchor="ref-4">
        <w:r>
          <w:rPr>
            <w:rStyle w:val="Hyperlink"/>
          </w:rPr>
          <w:t xml:space="preserve">[4]</w:t>
        </w:r>
      </w:hyperlink>
      <w:r>
        <w:t xml:space="preserve"> </w:t>
      </w:r>
      <w:hyperlink w:anchor="ref-6">
        <w:r>
          <w:rPr>
            <w:rStyle w:val="Hyperlink"/>
          </w:rPr>
          <w:t xml:space="preserve">[6]</w:t>
        </w:r>
      </w:hyperlink>
      <w:r>
        <w:t xml:space="preserve"> </w:t>
      </w:r>
      <w:hyperlink w:anchor="ref-8">
        <w:r>
          <w:rPr>
            <w:rStyle w:val="Hyperlink"/>
          </w:rPr>
          <w:t xml:space="preserve">[8]</w:t>
        </w:r>
      </w:hyperlink>
      <w:r>
        <w:t xml:space="preserve">. A second group comes from the peer-reviewed space science literature, records whose sources resolve to journal digital object identifiers covering debris and strategic stability, laser governance, cyber operations, hybrid threats, and orbital infrastructure</w:t>
      </w:r>
      <w:r>
        <w:t xml:space="preserve"> </w:t>
      </w:r>
      <w:hyperlink w:anchor="ref-1">
        <w:r>
          <w:rPr>
            <w:rStyle w:val="Hyperlink"/>
          </w:rPr>
          <w:t xml:space="preserve">[1]</w:t>
        </w:r>
      </w:hyperlink>
      <w:r>
        <w:t xml:space="preserve"> </w:t>
      </w:r>
      <w:hyperlink w:anchor="ref-9">
        <w:r>
          <w:rPr>
            <w:rStyle w:val="Hyperlink"/>
          </w:rPr>
          <w:t xml:space="preserve">[9]</w:t>
        </w:r>
      </w:hyperlink>
      <w:r>
        <w:t xml:space="preserve"> </w:t>
      </w:r>
      <w:hyperlink w:anchor="ref-10">
        <w:r>
          <w:rPr>
            <w:rStyle w:val="Hyperlink"/>
          </w:rPr>
          <w:t xml:space="preserve">[10]</w:t>
        </w:r>
      </w:hyperlink>
      <w:r>
        <w:t xml:space="preserve"> </w:t>
      </w:r>
      <w:hyperlink w:anchor="ref-11">
        <w:r>
          <w:rPr>
            <w:rStyle w:val="Hyperlink"/>
          </w:rPr>
          <w:t xml:space="preserve">[11]</w:t>
        </w:r>
      </w:hyperlink>
      <w:r>
        <w:t xml:space="preserve"> </w:t>
      </w:r>
      <w:hyperlink w:anchor="ref-12">
        <w:r>
          <w:rPr>
            <w:rStyle w:val="Hyperlink"/>
          </w:rPr>
          <w:t xml:space="preserve">[12]</w:t>
        </w:r>
      </w:hyperlink>
      <w:r>
        <w:t xml:space="preserve">. A third and smaller group carries space-economy and adjacent framing, including abstract-only records on orbital capacity and deterrence economics.</w:t>
      </w:r>
    </w:p>
    <w:p>
      <w:pPr>
        <w:pStyle w:val="BodyText"/>
        <w:spacing w:line="480" w:lineRule="auto"/>
        <w:ind w:firstLine="720"/>
      </w:pPr>
      <w:r>
        <w:t xml:space="preserve">Every record preserves its provenance in a source column. For journal records that column holds a digital object identifier. For conference records it holds a resolvable proceedings link. For abstract-only records it holds a descriptive string that names the document. This provenance is not decoration. It is the mechanism by which the dataset stays auditable, so that a skeptical reader can follow any single row back to the document it summarizes and check the coding for themselves</w:t>
      </w:r>
      <w:r>
        <w:t xml:space="preserve"> </w:t>
      </w:r>
      <w:hyperlink w:anchor="ref-1">
        <w:r>
          <w:rPr>
            <w:rStyle w:val="Hyperlink"/>
          </w:rPr>
          <w:t xml:space="preserve">[1]</w:t>
        </w:r>
      </w:hyperlink>
      <w:r>
        <w:t xml:space="preserve"> </w:t>
      </w:r>
      <w:hyperlink w:anchor="ref-8">
        <w:r>
          <w:rPr>
            <w:rStyle w:val="Hyperlink"/>
          </w:rPr>
          <w:t xml:space="preserve">[8]</w:t>
        </w:r>
      </w:hyperlink>
      <w:r>
        <w:t xml:space="preserve">.</w:t>
      </w:r>
    </w:p>
    <w:bookmarkEnd w:id="110"/>
    <w:bookmarkStart w:id="111" w:name="constructing-the-outcome"/>
    <w:p>
      <w:pPr>
        <w:pStyle w:val="Heading2"/>
        <w:spacing w:line="480" w:lineRule="auto"/>
      </w:pPr>
      <w:r>
        <w:t xml:space="preserve">Constructing the outcome</w:t>
      </w:r>
    </w:p>
    <w:p>
      <w:pPr>
        <w:pStyle w:val="FirstParagraph"/>
        <w:spacing w:line="480" w:lineRule="auto"/>
      </w:pPr>
      <w:r>
        <w:t xml:space="preserve">The outcome variable in the first paper is the topic-signal score, a composite count that measures how strongly a record foregrounds the candidate theme of counterspace escalation. The score is built deterministically from term hits across four fields of each record: the title, the snippet, the keyword field, and the author metadata. A record whose title, keywords, and snippet repeatedly name the candidate theme accumulates a high score. A record that touches the theme only glancingly accumulates a low one</w:t>
      </w:r>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p>
      <w:pPr>
        <w:pStyle w:val="BodyText"/>
        <w:spacing w:line="480" w:lineRule="auto"/>
        <w:ind w:firstLine="720"/>
      </w:pPr>
      <w:r>
        <w:t xml:space="preserve">Because the construction is deterministic, it carries no coder discretion and therefore no inter-coder disagreement. The same inputs always produce the same score. This is a genuine strength for reproducibility, and it is a genuine limitation for depth, since a term-hit count cannot distinguish a record that engages the theme substantively from one that merely mentions it in passing. The dissertation accepts this trade openly. A screen wants a measure that is cheap, transparent, and reproducible, and the topic-signal score is all three, at the cost of the nuance that only close reading can supply</w:t>
      </w:r>
      <w:r>
        <w:t xml:space="preserve"> </w:t>
      </w:r>
      <w:hyperlink w:anchor="ref-4">
        <w:r>
          <w:rPr>
            <w:rStyle w:val="Hyperlink"/>
          </w:rPr>
          <w:t xml:space="preserve">[4]</w:t>
        </w:r>
      </w:hyperlink>
      <w:r>
        <w:t xml:space="preserve">.</w:t>
      </w:r>
    </w:p>
    <w:p>
      <w:pPr>
        <w:pStyle w:val="BodyText"/>
        <w:spacing w:line="480" w:lineRule="auto"/>
        <w:ind w:firstLine="720"/>
      </w:pPr>
      <w:r>
        <w:t xml:space="preserve">How the score spreads across the thirty records is informative in its own right. Most records carry low signal, a few carry moderate signal, and one record stands well above the rest. That one high-signal record, an analysis of an emerging middle-power space policy framing space situational awareness as alliance burden-sharing, dominates the upper tail</w:t>
      </w:r>
      <w:r>
        <w:t xml:space="preserve"> </w:t>
      </w:r>
      <w:hyperlink w:anchor="ref-7">
        <w:r>
          <w:rPr>
            <w:rStyle w:val="Hyperlink"/>
          </w:rPr>
          <w:t xml:space="preserve">[7]</w:t>
        </w:r>
      </w:hyperlink>
      <w:r>
        <w:t xml:space="preserve">. The results chapter returns to what this concentration does to the cross-sectional fit, because a single dominant observation in a sample of thirty is a fact the reader must keep in view.</w:t>
      </w:r>
    </w:p>
    <w:bookmarkEnd w:id="111"/>
    <w:bookmarkStart w:id="112" w:name="constructing-the-predictors"/>
    <w:p>
      <w:pPr>
        <w:pStyle w:val="Heading2"/>
        <w:spacing w:line="480" w:lineRule="auto"/>
      </w:pPr>
      <w:r>
        <w:t xml:space="preserve">Constructing the predictors</w:t>
      </w:r>
    </w:p>
    <w:p>
      <w:pPr>
        <w:pStyle w:val="FirstParagraph"/>
        <w:spacing w:line="480" w:lineRule="auto"/>
      </w:pPr>
      <w:r>
        <w:t xml:space="preserve">Three predictors enter the first model, and each has a definition that can be checked against the raw data.</w:t>
      </w:r>
    </w:p>
    <w:p>
      <w:pPr>
        <w:pStyle w:val="BodyText"/>
        <w:spacing w:line="480" w:lineRule="auto"/>
        <w:ind w:firstLine="720"/>
      </w:pPr>
      <w:r>
        <w:t xml:space="preserve">Recency is computed as the record’s publication year minus the minimum publication year in the sample, plus one. The oldest record in the sample dates to 2006 and receives a recency index of one; the newest records date to 2025 and 2026 and receive the largest values</w:t>
      </w:r>
      <w:r>
        <w:t xml:space="preserve"> </w:t>
      </w:r>
      <w:hyperlink w:anchor="ref-6">
        <w:r>
          <w:rPr>
            <w:rStyle w:val="Hyperlink"/>
          </w:rPr>
          <w:t xml:space="preserve">[6]</w:t>
        </w:r>
      </w:hyperlink>
      <w:r>
        <w:t xml:space="preserve">. The plus-one offset keeps the index positive and interpretable. Recency here is a within-sample measure, anchored to the specific corpus rather than to any external calendar, which is why it is read as a marker of position in the field’s evolving agenda rather than as an absolute date.</w:t>
      </w:r>
    </w:p>
    <w:p>
      <w:pPr>
        <w:pStyle w:val="BodyText"/>
        <w:spacing w:line="480" w:lineRule="auto"/>
        <w:ind w:firstLine="720"/>
      </w:pPr>
      <w:r>
        <w:t xml:space="preserve">Citation counts are parsed directly from the local index’s cites field, and set to zero when the index reports no count. Most records in this corpus carry a reported count of zero, which reflects the local index rather than the records’ true standing in the wider literature. A small number of records carry positive counts, the largest being a debris-and-stations record with a reported count in the low twenties</w:t>
      </w:r>
      <w:r>
        <w:t xml:space="preserve"> </w:t>
      </w:r>
      <w:hyperlink w:anchor="ref-9">
        <w:r>
          <w:rPr>
            <w:rStyle w:val="Hyperlink"/>
          </w:rPr>
          <w:t xml:space="preserve">[9]</w:t>
        </w:r>
      </w:hyperlink>
      <w:r>
        <w:t xml:space="preserve">. This sparsity is central to how the results should be read, and the dissertation flags it here so the reader is not surprised when the citation coefficient carries most of the model’s precision despite the variable’s thinness.</w:t>
      </w:r>
    </w:p>
    <w:p>
      <w:pPr>
        <w:pStyle w:val="BodyText"/>
        <w:spacing w:line="480" w:lineRule="auto"/>
        <w:ind w:firstLine="720"/>
      </w:pPr>
      <w:r>
        <w:t xml:space="preserve">Venue family enters as an ordinal code: conference-security records take the value one, space-science journal records take the value two, and space-economy records take the value three. The ordering encodes venue family, not venue quality, and the dissertation is emphatic that the code must not be read as a ranking of merit</w:t>
      </w:r>
      <w:r>
        <w:t xml:space="preserve"> </w:t>
      </w:r>
      <w:hyperlink w:anchor="ref-7">
        <w:r>
          <w:rPr>
            <w:rStyle w:val="Hyperlink"/>
          </w:rPr>
          <w:t xml:space="preserve">[7]</w:t>
        </w:r>
      </w:hyperlink>
      <w:r>
        <w:t xml:space="preserve"> </w:t>
      </w:r>
      <w:hyperlink w:anchor="ref-8">
        <w:r>
          <w:rPr>
            <w:rStyle w:val="Hyperlink"/>
          </w:rPr>
          <w:t xml:space="preserve">[8]</w:t>
        </w:r>
      </w:hyperlink>
      <w:r>
        <w:t xml:space="preserve">. A higher venue score means a different kind of venue, not a better one, and the negative sign that the score carries in the results is interpreted accordingly.</w:t>
      </w:r>
    </w:p>
    <w:bookmarkEnd w:id="112"/>
    <w:bookmarkStart w:id="113" w:name="the-second-papers-variables"/>
    <w:p>
      <w:pPr>
        <w:pStyle w:val="Heading2"/>
        <w:spacing w:line="480" w:lineRule="auto"/>
      </w:pPr>
      <w:r>
        <w:t xml:space="preserve">The second paper’s variables</w:t>
      </w:r>
    </w:p>
    <w:p>
      <w:pPr>
        <w:pStyle w:val="FirstParagraph"/>
        <w:spacing w:line="480" w:lineRule="auto"/>
      </w:pPr>
      <w:r>
        <w:t xml:space="preserve">The second paper reuses the same thirty records but constructs two variables suited to its temporal question. The age index is computed as 2026 minus the record’s publication year, plus one, so that the oldest record carries the largest age and the newest carries the smallest</w:t>
      </w:r>
      <w:r>
        <w:t xml:space="preserve"> </w:t>
      </w:r>
      <w:hyperlink w:anchor="ref-6">
        <w:r>
          <w:rPr>
            <w:rStyle w:val="Hyperlink"/>
          </w:rPr>
          <w:t xml:space="preserve">[6]</w:t>
        </w:r>
      </w:hyperlink>
      <w:r>
        <w:t xml:space="preserve">. This is the mirror of the recency index, reoriented so that accumulation can be modeled as a function of how long a record has had to gather attention.</w:t>
      </w:r>
    </w:p>
    <w:p>
      <w:pPr>
        <w:pStyle w:val="BodyText"/>
        <w:spacing w:line="480" w:lineRule="auto"/>
        <w:ind w:firstLine="720"/>
      </w:pPr>
      <w:r>
        <w:t xml:space="preserve">In the second paper the outcome is the citation count plus one. The plus-one transformation exists for a single technical reason: the learning-curve model takes the logarithm of the outcome, and the logarithm of zero is undefined, so every record’s count is floored at one before the log is taken</w:t>
      </w:r>
      <w:r>
        <w:t xml:space="preserve"> </w:t>
      </w:r>
      <w:hyperlink w:anchor="ref-6">
        <w:r>
          <w:rPr>
            <w:rStyle w:val="Hyperlink"/>
          </w:rPr>
          <w:t xml:space="preserve">[6]</w:t>
        </w:r>
      </w:hyperlink>
      <w:r>
        <w:t xml:space="preserve">. This transformation is applied uniformly across all thirty records, and it has the side effect of compressing the many zero-count records into a single logged value. The results chapter reads the elasticity with that compression in view, because a floor that binds on most records shapes what the model can see.</w:t>
      </w:r>
    </w:p>
    <w:bookmarkEnd w:id="113"/>
    <w:bookmarkStart w:id="114" w:name="provenance-limits-and-the-audit-trail"/>
    <w:p>
      <w:pPr>
        <w:pStyle w:val="Heading2"/>
        <w:spacing w:line="480" w:lineRule="auto"/>
      </w:pPr>
      <w:r>
        <w:t xml:space="preserve">Provenance, limits, and the audit trail</w:t>
      </w:r>
    </w:p>
    <w:p>
      <w:pPr>
        <w:pStyle w:val="FirstParagraph"/>
        <w:spacing w:line="480" w:lineRule="auto"/>
      </w:pPr>
      <w:r>
        <w:t xml:space="preserve">The dataset’s honesty rests on its audit trail, and a few limits deserve to be stated at the point where the data are described rather than deferred to the discussion. Citation counts are local index measures and undercount records that are well cited elsewhere</w:t>
      </w:r>
      <w:r>
        <w:t xml:space="preserve"> </w:t>
      </w:r>
      <w:hyperlink w:anchor="ref-5">
        <w:r>
          <w:rPr>
            <w:rStyle w:val="Hyperlink"/>
          </w:rPr>
          <w:t xml:space="preserve">[5]</w:t>
        </w:r>
      </w:hyperlink>
      <w:r>
        <w:t xml:space="preserve">. Venue coding is coarse and ordinal, collapsing rich distinctions among venues into three families</w:t>
      </w:r>
      <w:r>
        <w:t xml:space="preserve"> </w:t>
      </w:r>
      <w:hyperlink w:anchor="ref-8">
        <w:r>
          <w:rPr>
            <w:rStyle w:val="Hyperlink"/>
          </w:rPr>
          <w:t xml:space="preserve">[8]</w:t>
        </w:r>
      </w:hyperlink>
      <w:r>
        <w:t xml:space="preserve">. The topic-signal score counts term hits and cannot weigh substance. And thirty records is a small sample by any standard, which caps the precision any estimator can achieve.</w:t>
      </w:r>
    </w:p>
    <w:p>
      <w:pPr>
        <w:pStyle w:val="BodyText"/>
        <w:spacing w:line="480" w:lineRule="auto"/>
        <w:ind w:firstLine="720"/>
      </w:pPr>
      <w:r>
        <w:t xml:space="preserve">None of these limits is concealed, and that is the point. Each is a known property of the data, recorded here so the reader can carry it into the results rather than discover it after the fact. A design-stage screen does not earn trust by having clean data. It earns trust by documenting dirty data completely enough that a reader can judge exactly how far the numbers should be allowed to travel</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End w:id="114"/>
    <w:bookmarkStart w:id="115" w:name="the-composition-of-the-corpus-in-detail"/>
    <w:p>
      <w:pPr>
        <w:pStyle w:val="Heading2"/>
        <w:spacing w:line="480" w:lineRule="auto"/>
      </w:pPr>
      <w:r>
        <w:t xml:space="preserve">The composition of the corpus in detail</w:t>
      </w:r>
    </w:p>
    <w:p>
      <w:pPr>
        <w:pStyle w:val="FirstParagraph"/>
        <w:spacing w:line="480" w:lineRule="auto"/>
      </w:pPr>
      <w:r>
        <w:t xml:space="preserve">It repays the reader to look more closely at what the thirty records actually contain, because the composition drives much of what the results will show. Of the thirty, twelve resolve to the technical surveillance and space-security conference family, coded venue-one. These include satellite categorization and photometric-error work, decision-support and operator-confidence studies, an analysis of an emerging middle-power space policy, a treatment of safety norms for space security, and records on space weapons and information sharing</w:t>
      </w:r>
      <w:r>
        <w:t xml:space="preserve"> </w:t>
      </w:r>
      <w:hyperlink w:anchor="ref-5">
        <w:r>
          <w:rPr>
            <w:rStyle w:val="Hyperlink"/>
          </w:rPr>
          <w:t xml:space="preserve">[5]</w:t>
        </w:r>
      </w:hyperlink>
      <w:r>
        <w:t xml:space="preserve"> </w:t>
      </w:r>
      <w:hyperlink w:anchor="ref-6">
        <w:r>
          <w:rPr>
            <w:rStyle w:val="Hyperlink"/>
          </w:rPr>
          <w:t xml:space="preserve">[6]</w:t>
        </w:r>
      </w:hyperlink>
      <w:r>
        <w:t xml:space="preserve"> </w:t>
      </w:r>
      <w:hyperlink w:anchor="ref-7">
        <w:r>
          <w:rPr>
            <w:rStyle w:val="Hyperlink"/>
          </w:rPr>
          <w:t xml:space="preserve">[7]</w:t>
        </w:r>
      </w:hyperlink>
      <w:r>
        <w:t xml:space="preserve"> </w:t>
      </w:r>
      <w:hyperlink w:anchor="ref-8">
        <w:r>
          <w:rPr>
            <w:rStyle w:val="Hyperlink"/>
          </w:rPr>
          <w:t xml:space="preserve">[8]</w:t>
        </w:r>
      </w:hyperlink>
      <w:r>
        <w:t xml:space="preserve">. This is the corpus’s operational and security core, and it is where the candidate theme appears most densely.</w:t>
      </w:r>
    </w:p>
    <w:p>
      <w:pPr>
        <w:pStyle w:val="BodyText"/>
        <w:spacing w:line="480" w:lineRule="auto"/>
        <w:ind w:firstLine="720"/>
      </w:pPr>
      <w:r>
        <w:t xml:space="preserve">A second block of twelve records resolves to the peer-reviewed space science journal family, coded venue-two. These span debris and strategic stability, laser governance, cyber operations, hybrid-threat defense strategy, orbital infrastructure assembly, uncontrolled reentry risk, and adjacent astrodynamics and human-factors work</w:t>
      </w:r>
      <w:r>
        <w:t xml:space="preserve"> </w:t>
      </w:r>
      <w:hyperlink w:anchor="ref-1">
        <w:r>
          <w:rPr>
            <w:rStyle w:val="Hyperlink"/>
          </w:rPr>
          <w:t xml:space="preserve">[1]</w:t>
        </w:r>
      </w:hyperlink>
      <w:r>
        <w:t xml:space="preserve"> </w:t>
      </w:r>
      <w:hyperlink w:anchor="ref-10">
        <w:r>
          <w:rPr>
            <w:rStyle w:val="Hyperlink"/>
          </w:rPr>
          <w:t xml:space="preserve">[10]</w:t>
        </w:r>
      </w:hyperlink>
      <w:r>
        <w:t xml:space="preserve"> </w:t>
      </w:r>
      <w:hyperlink w:anchor="ref-11">
        <w:r>
          <w:rPr>
            <w:rStyle w:val="Hyperlink"/>
          </w:rPr>
          <w:t xml:space="preserve">[11]</w:t>
        </w:r>
      </w:hyperlink>
      <w:r>
        <w:t xml:space="preserve"> </w:t>
      </w:r>
      <w:hyperlink w:anchor="ref-12">
        <w:r>
          <w:rPr>
            <w:rStyle w:val="Hyperlink"/>
          </w:rPr>
          <w:t xml:space="preserve">[12]</w:t>
        </w:r>
      </w:hyperlink>
      <w:r>
        <w:t xml:space="preserve"> </w:t>
      </w:r>
      <w:hyperlink w:anchor="ref-13">
        <w:r>
          <w:rPr>
            <w:rStyle w:val="Hyperlink"/>
          </w:rPr>
          <w:t xml:space="preserve">[13]</w:t>
        </w:r>
      </w:hyperlink>
      <w:r>
        <w:t xml:space="preserve"> </w:t>
      </w:r>
      <w:hyperlink w:anchor="ref-14">
        <w:r>
          <w:rPr>
            <w:rStyle w:val="Hyperlink"/>
          </w:rPr>
          <w:t xml:space="preserve">[14]</w:t>
        </w:r>
      </w:hyperlink>
      <w:r>
        <w:t xml:space="preserve">. This block is where the corpus’s positive citation counts concentrate, because journal records are the ones the local index scores, and it is where the recency of the corpus is highest, since most of these records date to 2024 and 2025.</w:t>
      </w:r>
    </w:p>
    <w:p>
      <w:pPr>
        <w:pStyle w:val="BodyText"/>
        <w:spacing w:line="480" w:lineRule="auto"/>
        <w:ind w:firstLine="720"/>
      </w:pPr>
      <w:r>
        <w:t xml:space="preserve">The final six records carry space-economy and adjacent framing, coded venue-three. They include an abstract-only treatment of astro-economics and deterrence, orbital-capacity assessment records, and a small number of methodological records on biomass assessment that entered through the retrieval and are retained for auditability rather than excised silently. Retaining them, and coding them honestly, is itself a decision about integrity: a screen that quietly drops the records that do not fit its story is no longer a screen a reader can trust</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End w:id="115"/>
    <w:bookmarkStart w:id="116" w:name="how-the-venue-coding-was-decided"/>
    <w:p>
      <w:pPr>
        <w:pStyle w:val="Heading2"/>
        <w:spacing w:line="480" w:lineRule="auto"/>
      </w:pPr>
      <w:r>
        <w:t xml:space="preserve">How the venue coding was decided</w:t>
      </w:r>
    </w:p>
    <w:p>
      <w:pPr>
        <w:pStyle w:val="FirstParagraph"/>
        <w:spacing w:line="480" w:lineRule="auto"/>
      </w:pPr>
      <w:r>
        <w:t xml:space="preserve">The venue-family code deserves a word on how it was assigned, because an ordinal variable invites the suspicion that its ordering smuggles in a judgment. It does not encode quality, and the assignment rule was mechanical: a record’s source field determines its family, with resolvable conference proceedings taking value one, journal digital object identifiers taking value two, and space-economy or abstract-only framing taking value three</w:t>
      </w:r>
      <w:r>
        <w:t xml:space="preserve"> </w:t>
      </w:r>
      <w:hyperlink w:anchor="ref-7">
        <w:r>
          <w:rPr>
            <w:rStyle w:val="Hyperlink"/>
          </w:rPr>
          <w:t xml:space="preserve">[7]</w:t>
        </w:r>
      </w:hyperlink>
      <w:r>
        <w:t xml:space="preserve"> </w:t>
      </w:r>
      <w:hyperlink w:anchor="ref-8">
        <w:r>
          <w:rPr>
            <w:rStyle w:val="Hyperlink"/>
          </w:rPr>
          <w:t xml:space="preserve">[8]</w:t>
        </w:r>
      </w:hyperlink>
      <w:r>
        <w:t xml:space="preserve">. The ordering follows the retrieval’s structure rather than any ranking of prestige, and the results chapter reads the venue coefficient strictly as information about family location. A reader who prefers to treat venue as a set of unordered categories would be within their rights, and the dissertation notes that the ordinal treatment is a modeling convenience appropriate to a screen, not a claim that the families lie on a single latent scale.</w:t>
      </w:r>
    </w:p>
    <w:bookmarkEnd w:id="116"/>
    <w:bookmarkStart w:id="117" w:name="missingness-zeros-and-honest-flooring"/>
    <w:p>
      <w:pPr>
        <w:pStyle w:val="Heading2"/>
        <w:spacing w:line="480" w:lineRule="auto"/>
      </w:pPr>
      <w:r>
        <w:t xml:space="preserve">Missingness, zeros, and honest flooring</w:t>
      </w:r>
    </w:p>
    <w:p>
      <w:pPr>
        <w:pStyle w:val="FirstParagraph"/>
        <w:spacing w:line="480" w:lineRule="auto"/>
      </w:pPr>
      <w:r>
        <w:t xml:space="preserve">Two features of the raw data required explicit handling, and both were resolved by rules stated in advance rather than by discretion applied after the fact. The first is the prevalence of zero citation counts. Because most records carry a reported count of zero in the local index, the citation variable is heavily concentrated at its floor, and the second paper’s plus-one transformation floors it further by mapping every zero to a single logged value</w:t>
      </w:r>
      <w:r>
        <w:t xml:space="preserve"> </w:t>
      </w:r>
      <w:hyperlink w:anchor="ref-5">
        <w:r>
          <w:rPr>
            <w:rStyle w:val="Hyperlink"/>
          </w:rPr>
          <w:t xml:space="preserve">[5]</w:t>
        </w:r>
      </w:hyperlink>
      <w:r>
        <w:t xml:space="preserve"> </w:t>
      </w:r>
      <w:hyperlink w:anchor="ref-6">
        <w:r>
          <w:rPr>
            <w:rStyle w:val="Hyperlink"/>
          </w:rPr>
          <w:t xml:space="preserve">[6]</w:t>
        </w:r>
      </w:hyperlink>
      <w:r>
        <w:t xml:space="preserve">. This is not missingness disguised as data; a reported zero is a genuine observation from the index, and the dissertation treats it as a real value while flagging that the index’s zeros need not reflect the wider literature’s.</w:t>
      </w:r>
    </w:p>
    <w:p>
      <w:pPr>
        <w:pStyle w:val="BodyText"/>
        <w:spacing w:line="480" w:lineRule="auto"/>
        <w:ind w:firstLine="720"/>
      </w:pPr>
      <w:r>
        <w:t xml:space="preserve">The second feature is the abstract-only records, whose snippet and keyword fields are thin or empty. For these, the topic-signal score draws on the title and whatever metadata exist, which mechanically lowers their achievable signal relative to records with full snippets</w:t>
      </w:r>
      <w:r>
        <w:t xml:space="preserve"> </w:t>
      </w:r>
      <w:hyperlink w:anchor="ref-3">
        <w:r>
          <w:rPr>
            <w:rStyle w:val="Hyperlink"/>
          </w:rPr>
          <w:t xml:space="preserve">[3]</w:t>
        </w:r>
      </w:hyperlink>
      <w:r>
        <w:t xml:space="preserve">. The dataset does not impute the missing fields or inflate these records’ scores to compensate. It records what is present and lets the lower scores stand, because imputation would introduce exactly the kind of undocumented author judgment the audit trail exists to prevent. The result is a dataset whose imperfections are visible in the rows themselves, which is the condition under which a reader can weigh them</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End w:id="117"/>
    <w:bookmarkStart w:id="118" w:name="X8e0e373f400066504c74647713896c51e04b17c"/>
    <w:p>
      <w:pPr>
        <w:pStyle w:val="Heading2"/>
        <w:spacing w:line="480" w:lineRule="auto"/>
      </w:pPr>
      <w:r>
        <w:t xml:space="preserve">Construction of the topic-signal score, field by field</w:t>
      </w:r>
    </w:p>
    <w:p>
      <w:pPr>
        <w:pStyle w:val="FirstParagraph"/>
        <w:spacing w:line="480" w:lineRule="auto"/>
      </w:pPr>
      <w:r>
        <w:t xml:space="preserve">Because the topic-signal score is the outcome the whole first paper turns on, its construction deserves a fuller accounting than a one-line definition allows. The score sums term hits across four distinct fields, and each field contributes for a different reason. Title hits count most heavily in interpretation because a title names what a document is about, so a record whose title carries the candidate theme is engaging it centrally rather than incidentally</w:t>
      </w:r>
      <w:r>
        <w:t xml:space="preserve"> </w:t>
      </w:r>
      <w:hyperlink w:anchor="ref-3">
        <w:r>
          <w:rPr>
            <w:rStyle w:val="Hyperlink"/>
          </w:rPr>
          <w:t xml:space="preserve">[3]</w:t>
        </w:r>
      </w:hyperlink>
      <w:r>
        <w:t xml:space="preserve">. Snippet hits capture engagement in the body summary, where a theme may appear even when the title is generic. Keyword hits capture the author’s own signaling of subject matter, a deliberate act of self-classification. Author-metadata hits capture the institutional context, since authors from security-and-surveillance institutions signal a different engagement than authors from a fisheries-methods background</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This four-field construction has a consequence the reader should carry into the results. A record can achieve a high score through concentrated engagement in one field or through diffuse engagement across several, and the score does not distinguish the two. A title saturated with the theme and a record with modest hits spread across all four fields can land at similar scores by different routes. For a screen this is acceptable, because the screen asks only whether signal is present and how it co-varies with position, not how the signal is internally composed</w:t>
      </w:r>
      <w:r>
        <w:t xml:space="preserve"> </w:t>
      </w:r>
      <w:hyperlink w:anchor="ref-4">
        <w:r>
          <w:rPr>
            <w:rStyle w:val="Hyperlink"/>
          </w:rPr>
          <w:t xml:space="preserve">[4]</w:t>
        </w:r>
      </w:hyperlink>
      <w:r>
        <w:t xml:space="preserve">. A content-coding successor would need to open that composition, but the screen deliberately does not, and stating the limitation at the point of construction keeps the results chapter’s interpretation honest.</w:t>
      </w:r>
    </w:p>
    <w:bookmarkEnd w:id="118"/>
    <w:bookmarkStart w:id="119" w:name="Xadf9a4816c1e71f094ce3d9e47741b4c0c3ec95"/>
    <w:p>
      <w:pPr>
        <w:pStyle w:val="Heading2"/>
        <w:spacing w:line="480" w:lineRule="auto"/>
      </w:pPr>
      <w:r>
        <w:t xml:space="preserve">The fisheries records and the discipline of retention</w:t>
      </w:r>
    </w:p>
    <w:p>
      <w:pPr>
        <w:pStyle w:val="FirstParagraph"/>
        <w:spacing w:line="480" w:lineRule="auto"/>
      </w:pPr>
      <w:r>
        <w:t xml:space="preserve">Three records in the corpus resolve to biomass-assessment and fisheries methodology, and their presence is a small but instructive feature of the dataset. They entered through the retrieval, most likely because assessment and stock-modeling vocabulary overlaps at the margins with the orbital-capacity and carrying-capacity framing that some space-economy records employ</w:t>
      </w:r>
      <w:r>
        <w:t xml:space="preserve"> </w:t>
      </w:r>
      <w:hyperlink w:anchor="ref-3">
        <w:r>
          <w:rPr>
            <w:rStyle w:val="Hyperlink"/>
          </w:rPr>
          <w:t xml:space="preserve">[3]</w:t>
        </w:r>
      </w:hyperlink>
      <w:r>
        <w:t xml:space="preserve">. They carry essentially no counterspace-escalation signal, and a less scrupulous dataset would have quietly removed them to tidy the distribution.</w:t>
      </w:r>
    </w:p>
    <w:p>
      <w:pPr>
        <w:pStyle w:val="BodyText"/>
        <w:spacing w:line="480" w:lineRule="auto"/>
        <w:ind w:firstLine="720"/>
      </w:pPr>
      <w:r>
        <w:t xml:space="preserve">They are retained, and the retention is a deliberate statement about method. A screen that drops the records that do not fit its expected pattern is no longer measuring the corpus; it is measuring the analyst’s expectations</w:t>
      </w:r>
      <w:r>
        <w:t xml:space="preserve"> </w:t>
      </w:r>
      <w:hyperlink w:anchor="ref-4">
        <w:r>
          <w:rPr>
            <w:rStyle w:val="Hyperlink"/>
          </w:rPr>
          <w:t xml:space="preserve">[4]</w:t>
        </w:r>
      </w:hyperlink>
      <w:r>
        <w:t xml:space="preserve">. By keeping the fisheries records, coding them by the same deterministic rules as every other record, and letting their low signal enter the estimation, the dataset preserves the property that makes it trustworthy: what the retrieval returned is what the model sees, with no silent curation in between. Their low scores contribute to the estimated relationships exactly as the rules dictate, and a reader who wishes to examine their influence can find them in the rows and do so. The tidiness forgone is a price worth paying for the integrity retained</w:t>
      </w:r>
      <w:r>
        <w:t xml:space="preserve"> </w:t>
      </w:r>
      <w:hyperlink w:anchor="ref-1">
        <w:r>
          <w:rPr>
            <w:rStyle w:val="Hyperlink"/>
          </w:rPr>
          <w:t xml:space="preserve">[1]</w:t>
        </w:r>
      </w:hyperlink>
      <w:r>
        <w:t xml:space="preserve">.</w:t>
      </w:r>
    </w:p>
    <w:bookmarkEnd w:id="119"/>
    <w:bookmarkStart w:id="120" w:name="from-rows-to-estimator-input"/>
    <w:p>
      <w:pPr>
        <w:pStyle w:val="Heading2"/>
        <w:spacing w:line="480" w:lineRule="auto"/>
      </w:pPr>
      <w:r>
        <w:t xml:space="preserve">From rows to estimator input</w:t>
      </w:r>
    </w:p>
    <w:p>
      <w:pPr>
        <w:pStyle w:val="FirstParagraph"/>
        <w:spacing w:line="480" w:lineRule="auto"/>
      </w:pPr>
      <w:r>
        <w:t xml:space="preserve">The final step in the data chapter is the mapping from documented rows to the numeric matrices the estimators consume, and it is mechanical by design. Each paper’s configuration names the outcome column and the predictor columns; the estimation reads exactly those columns from the shared record set and assembles the design matrix in the order the configuration specifies</w:t>
      </w:r>
      <w:r>
        <w:t xml:space="preserve"> </w:t>
      </w:r>
      <w:hyperlink w:anchor="ref-4">
        <w:r>
          <w:rPr>
            <w:rStyle w:val="Hyperlink"/>
          </w:rPr>
          <w:t xml:space="preserve">[4]</w:t>
        </w:r>
      </w:hyperlink>
      <w:r>
        <w:t xml:space="preserve"> </w:t>
      </w:r>
      <w:hyperlink w:anchor="ref-5">
        <w:r>
          <w:rPr>
            <w:rStyle w:val="Hyperlink"/>
          </w:rPr>
          <w:t xml:space="preserve">[5]</w:t>
        </w:r>
      </w:hyperlink>
      <w:r>
        <w:t xml:space="preserve">. No column is transformed except where a configuration states the transformation, as the second paper’s logarithm and plus-one flooring do, and every transformation is itself part of the documented specification rather than an undocumented preprocessing step. A reader tracing a claim can therefore move without a gap from a sentence in the results, to the coefficient it rests on, to the configuration that defined the column, to the row that supplied the value, to the source that the row cites. That unbroken chain, from prose to source, is the deliverable the data chapter exists to guarantee, and it is the foundation on which the results chapter now builds</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bookmarkEnd w:id="120"/>
    <w:bookmarkStart w:id="121" w:name="the-sample-size-as-an-honest-constraint"/>
    <w:p>
      <w:pPr>
        <w:pStyle w:val="Heading2"/>
        <w:spacing w:line="480" w:lineRule="auto"/>
      </w:pPr>
      <w:r>
        <w:t xml:space="preserve">The sample size as an honest constraint</w:t>
      </w:r>
    </w:p>
    <w:p>
      <w:pPr>
        <w:pStyle w:val="FirstParagraph"/>
        <w:spacing w:line="480" w:lineRule="auto"/>
      </w:pPr>
      <w:r>
        <w:t xml:space="preserve">A final word belongs to the number that shadows every result: thirty. The dataset is what the candidate’s retrieval returned for this topic, and it was not padded with marginally relevant records to inflate the count, because padding would corrupt the very signal the screen measures</w:t>
      </w:r>
      <w:r>
        <w:t xml:space="preserve"> </w:t>
      </w:r>
      <w:hyperlink w:anchor="ref-3">
        <w:r>
          <w:rPr>
            <w:rStyle w:val="Hyperlink"/>
          </w:rPr>
          <w:t xml:space="preserve">[3]</w:t>
        </w:r>
      </w:hyperlink>
      <w:r>
        <w:t xml:space="preserve">. Thirty records is enough to detect a strong association and too few to resolve a weak one, and the dataset chapter states that ceiling plainly so the results are read against it from the first coefficient. The alternative, assembling a larger but looser corpus, would have traded a known small-sample limit for an unknown relevance problem, and for a screen whose whole value is the trustworthiness of its measure, the known limit is the safer choice</w:t>
      </w:r>
      <w:r>
        <w:t xml:space="preserve"> </w:t>
      </w:r>
      <w:hyperlink w:anchor="ref-4">
        <w:r>
          <w:rPr>
            <w:rStyle w:val="Hyperlink"/>
          </w:rPr>
          <w:t xml:space="preserve">[4]</w:t>
        </w:r>
      </w:hyperlink>
      <w:r>
        <w:t xml:space="preserve">. The results chapter therefore inherits a small, clean, fully documented dataset, and it reports what such a dataset can and cannot show, neither more nor less</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bookmarkEnd w:id="121"/>
    <w:bookmarkEnd w:id="122"/>
    <w:bookmarkStart w:id="133" w:name="results"/>
    <w:p>
      <w:pPr>
        <w:pStyle w:val="Heading1"/>
        <w:spacing w:line="480" w:lineRule="auto"/>
      </w:pPr>
      <w:r>
        <w:t xml:space="preserve">Results</w:t>
      </w:r>
    </w:p>
    <w:p>
      <w:pPr>
        <w:pStyle w:val="FirstParagraph"/>
        <w:spacing w:line="480" w:lineRule="auto"/>
      </w:pPr>
      <w:r>
        <w:t xml:space="preserve">This chapter reports the estimator output from both papers exactly as the workbooks produced it, and then interprets the signs and magnitudes without inflating them. The numbers come first. They are the spine of the dissertation. They are stated first, in full, so that interpretation can never drift from the record.</w:t>
      </w:r>
    </w:p>
    <w:bookmarkStart w:id="123" w:name="paper-one-the-cross-sectional-model"/>
    <w:p>
      <w:pPr>
        <w:pStyle w:val="Heading2"/>
        <w:spacing w:line="480" w:lineRule="auto"/>
      </w:pPr>
      <w:r>
        <w:t xml:space="preserve">Paper one: the cross-sectional model</w:t>
      </w:r>
    </w:p>
    <w:p>
      <w:pPr>
        <w:pStyle w:val="FirstParagraph"/>
        <w:spacing w:line="480" w:lineRule="auto"/>
      </w:pPr>
      <w:r>
        <w:t xml:space="preserve">The first paper estimates the topic-signal score on recency, citation count, and venue family by ordinary least squares with heteroskedasticity-consistent HC1 standard errors. The sample is thirty records.</w:t>
      </w:r>
    </w:p>
    <w:p>
      <w:pPr>
        <w:pStyle w:val="BodyText"/>
        <w:spacing w:line="480" w:lineRule="auto"/>
        <w:ind w:firstLine="720"/>
      </w:pPr>
      <w:r>
        <w:t xml:space="preserve">The fit summary is as follows. N = 30. R-squared = 0.09496320802652625. Adjusted R-squared = -0.009464114124259293. The F-statistic is 9.868921816848365, with an associated p-value of 0.00016062810334824265.</w:t>
      </w:r>
    </w:p>
    <w:p>
      <w:pPr>
        <w:pStyle w:val="BodyText"/>
        <w:spacing w:line="480" w:lineRule="auto"/>
        <w:ind w:firstLine="720"/>
      </w:pPr>
      <w:r>
        <w:t xml:space="preserve">The term-level estimates are these. The constant carries a coefficient of 3.0876816750513294, with a standard error of 1.8464 and a p-value of 0.0944655344871964. The recency index carries a coefficient of 0.09735277539036408, with a standard error of 0.0873 and a p-value of 0.2647598695260017. The citation count carries a coefficient of 0.1308373521113583, with a standard error of 0.0399 and a p-value of 0.0010365277329562861. The venue-family score carries a coefficient of -0.947614653077148, with a standard error of 0.4848 and a p-value of 0.05063482707183259.</w:t>
      </w:r>
    </w:p>
    <w:p>
      <w:pPr>
        <w:pStyle w:val="BodyText"/>
        <w:spacing w:line="480" w:lineRule="auto"/>
        <w:ind w:firstLine="720"/>
      </w:pPr>
      <w:r>
        <w:t xml:space="preserve">Read the fit first. The model accounts for roughly nine and a half percent of the variance in the topic-signal score, and the adjusted R-squared, at a shade below zero, tells the honest story: once the model is penalized for its three predictors against thirty records, it explains essentially nothing beyond what three arbitrary regressors would. That is a weak fit by any standard, and the dissertation does not pretend otherwise</w:t>
      </w:r>
      <w:r>
        <w:t xml:space="preserve"> </w:t>
      </w:r>
      <w:hyperlink w:anchor="ref-3">
        <w:r>
          <w:rPr>
            <w:rStyle w:val="Hyperlink"/>
          </w:rPr>
          <w:t xml:space="preserve">[3]</w:t>
        </w:r>
      </w:hyperlink>
      <w:r>
        <w:t xml:space="preserve"> </w:t>
      </w:r>
      <w:hyperlink w:anchor="ref-4">
        <w:r>
          <w:rPr>
            <w:rStyle w:val="Hyperlink"/>
          </w:rPr>
          <w:t xml:space="preserve">[4]</w:t>
        </w:r>
      </w:hyperlink>
      <w:r>
        <w:t xml:space="preserve">. Yet the F-statistic of 9.87 carries a p-value of 0.00016, which is highly significant. This looks like a contradiction. It is not. It reflects a model in which most of the joint explanatory work is done by one precise predictor while the overall variance explained stays low, a pattern small samples produce when a single coefficient is sharp and the rest are noise.</w:t>
      </w:r>
    </w:p>
    <w:p>
      <w:pPr>
        <w:pStyle w:val="BodyText"/>
        <w:spacing w:line="480" w:lineRule="auto"/>
        <w:ind w:firstLine="720"/>
      </w:pPr>
      <w:r>
        <w:t xml:space="preserve">One predictor is sharp. That predictor is citation attention. The citation coefficient of 0.1308, with a p-value of 0.001, is the most precise estimate in the model, and it is the finding the dissertation is willing to stand behind. Within this corpus, records that carry more reported citation attention also carry higher topic signal, and the relationship is precise enough to survive the HC1 correction and the small sample. The sign is positive, as the theory predicted: engagement and salience travel together</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magnitude is interpretable in the score’s own units. Each additional reported citation is associated with roughly a tenth of a point of additional topic signal, so a record with the corpus maximum of twenty-one reported citations sits, on that account alone, some two and a half signal points above an otherwise identical uncited record.</w:t>
      </w:r>
    </w:p>
    <w:p>
      <w:pPr>
        <w:pStyle w:val="BodyText"/>
        <w:spacing w:line="480" w:lineRule="auto"/>
        <w:ind w:firstLine="720"/>
      </w:pPr>
      <w:r>
        <w:t xml:space="preserve">Recency tells the opposite story. The dissertation reports that plainly. The recency coefficient of 0.0974 is positive, in the direction the theory expected, but its p-value of 0.2648 leaves it indistinguishable from zero at any conventional threshold. The corpus does not license a claim that newer records carry more topic signal, once attention and venue are held fixed</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The sign is suggestive; the precision is not there. Reporting the sign while refusing the claim is exactly the discipline a screen demands, and the collinearity between recency and venue family, flagged in the methodology, is the most likely reason the recency coefficient cannot separate itself cleanly.</w:t>
      </w:r>
    </w:p>
    <w:p>
      <w:pPr>
        <w:pStyle w:val="BodyText"/>
        <w:spacing w:line="480" w:lineRule="auto"/>
        <w:ind w:firstLine="720"/>
      </w:pPr>
      <w:r>
        <w:t xml:space="preserve">Venue family carries a coefficient of -0.9476 with a p-value of 0.0506, which sits just at the edge of the conventional five-percent threshold. The negative sign means that moving up the venue-family ordinal, from conference-security venues toward journal and space-economy venues, is associated with lower topic signal, holding recency and attention fixed</w:t>
      </w:r>
      <w:r>
        <w:t xml:space="preserve"> </w:t>
      </w:r>
      <w:hyperlink w:anchor="ref-7">
        <w:r>
          <w:rPr>
            <w:rStyle w:val="Hyperlink"/>
          </w:rPr>
          <w:t xml:space="preserve">[7]</w:t>
        </w:r>
      </w:hyperlink>
      <w:r>
        <w:t xml:space="preserve"> </w:t>
      </w:r>
      <w:hyperlink w:anchor="ref-8">
        <w:r>
          <w:rPr>
            <w:rStyle w:val="Hyperlink"/>
          </w:rPr>
          <w:t xml:space="preserve">[8]</w:t>
        </w:r>
      </w:hyperlink>
      <w:r>
        <w:t xml:space="preserve">. The dissertation reads this borderline result with care. A p-value of 0.0506 is not below 0.05, and a screen that respects its own thresholds must call it what it is: a coefficient at the boundary, consistent with the conference-security literature foregrounding the candidate theme more heavily than the other venue families, but not precise enough to assert without hedge. The theory left venue’s sign unspecified in advance, and the data have returned a negative sign at the margin of significance, which is reported and left there.</w:t>
      </w:r>
    </w:p>
    <w:p>
      <w:pPr>
        <w:pStyle w:val="BodyText"/>
        <w:spacing w:line="480" w:lineRule="auto"/>
        <w:ind w:firstLine="720"/>
      </w:pPr>
      <w:r>
        <w:t xml:space="preserve">Put together, the first model returns a split verdict. One predictor, citation attention, shows clear structure. One predictor, venue family, shows structure at the boundary. One predictor, recency, shows none. The alternative hypothesis, which predicted that the signal increases with recency and attention, is supported for attention and unsupported for recency. This is a partial result, and the dissertation presents it as partial rather than rounding it up into a cleaner story than the numbers will bear</w:t>
      </w:r>
      <w:r>
        <w:t xml:space="preserve"> </w:t>
      </w:r>
      <w:hyperlink w:anchor="ref-4">
        <w:r>
          <w:rPr>
            <w:rStyle w:val="Hyperlink"/>
          </w:rPr>
          <w:t xml:space="preserve">[4]</w:t>
        </w:r>
      </w:hyperlink>
      <w:r>
        <w:t xml:space="preserve">.</w:t>
      </w:r>
    </w:p>
    <w:bookmarkEnd w:id="123"/>
    <w:bookmarkStart w:id="124" w:name="paper-two-the-temporal-model"/>
    <w:p>
      <w:pPr>
        <w:pStyle w:val="Heading2"/>
        <w:spacing w:line="480" w:lineRule="auto"/>
      </w:pPr>
      <w:r>
        <w:t xml:space="preserve">Paper two: the temporal model</w:t>
      </w:r>
    </w:p>
    <w:p>
      <w:pPr>
        <w:pStyle w:val="FirstParagraph"/>
        <w:spacing w:line="480" w:lineRule="auto"/>
      </w:pPr>
      <w:r>
        <w:t xml:space="preserve">The second paper estimates the log of citation count plus one on the log of the age index, a learning-curve specification, again with HC1 standard errors over the same thirty records.</w:t>
      </w:r>
    </w:p>
    <w:p>
      <w:pPr>
        <w:pStyle w:val="BodyText"/>
        <w:spacing w:line="480" w:lineRule="auto"/>
        <w:ind w:firstLine="720"/>
      </w:pPr>
      <w:r>
        <w:t xml:space="preserve">The fit summary is as follows. N = 30. R-squared = 0.0878055377165684. The estimated elasticity is -0.28510428793768716, and the corresponding progress ratio, computed as two raised to that elasticity, is 0.8206822820964227.</w:t>
      </w:r>
    </w:p>
    <w:p>
      <w:pPr>
        <w:pStyle w:val="BodyText"/>
        <w:spacing w:line="480" w:lineRule="auto"/>
        <w:ind w:firstLine="720"/>
      </w:pPr>
      <w:r>
        <w:t xml:space="preserve">The term-level estimates are these. The constant carries a coefficient of 0.7270767963517231, with a standard error of 0.2817 and a p-value of 0.009843649136218728. The log age term carries a coefficient of -0.28510428793768716, with a standard error of 0.1268 and a p-value of 0.024499646490903863.</w:t>
      </w:r>
    </w:p>
    <w:p>
      <w:pPr>
        <w:pStyle w:val="BodyText"/>
        <w:spacing w:line="480" w:lineRule="auto"/>
        <w:ind w:firstLine="720"/>
      </w:pPr>
      <w:r>
        <w:t xml:space="preserve">About nine percent of the variance in logged attention is explained, a fit comparable to the first paper’s and equally modest</w:t>
      </w:r>
      <w:r>
        <w:t xml:space="preserve"> </w:t>
      </w:r>
      <w:hyperlink w:anchor="ref-6">
        <w:r>
          <w:rPr>
            <w:rStyle w:val="Hyperlink"/>
          </w:rPr>
          <w:t xml:space="preserve">[6]</w:t>
        </w:r>
      </w:hyperlink>
      <w:r>
        <w:t xml:space="preserve">. The coefficient of interest is the elasticity on log age, and it is both signed and precise: -0.2851, with a p-value of 0.0245, which clears the five-percent threshold. Within this corpus, citation accumulation is structured by article age, and the relationship is statistically distinguishable from zero.</w:t>
      </w:r>
    </w:p>
    <w:p>
      <w:pPr>
        <w:pStyle w:val="BodyText"/>
        <w:spacing w:line="480" w:lineRule="auto"/>
        <w:ind w:firstLine="720"/>
      </w:pPr>
      <w:r>
        <w:t xml:space="preserve">Its sign, however, runs opposite to the naive expectation, and the dissertation confronts that directly. A positive elasticity would have meant that older records carry more accumulated attention, the ordinary pattern by which papers gather citations over time. The estimated elasticity is negative. In this corpus, older records carry less logged attention, not more. The progress ratio of 0.8207 expresses the same fact in the learning-curve idiom: as the age index doubles, accumulated attention falls to roughly eighty-two percent of its prior level rather than rising.</w:t>
      </w:r>
    </w:p>
    <w:p>
      <w:pPr>
        <w:pStyle w:val="BodyText"/>
        <w:spacing w:line="480" w:lineRule="auto"/>
        <w:ind w:firstLine="720"/>
      </w:pPr>
      <w:r>
        <w:t xml:space="preserve">Why would age run backward? The methodology named the mechanism in advance, and the result bears it out. The citation counts are local index measures, and the records that carry the corpus’s positive counts happen to be recent journal records, while the older conference records sit at the plus-one floor of zero reported citations</w:t>
      </w:r>
      <w:r>
        <w:t xml:space="preserve"> </w:t>
      </w:r>
      <w:hyperlink w:anchor="ref-5">
        <w:r>
          <w:rPr>
            <w:rStyle w:val="Hyperlink"/>
          </w:rPr>
          <w:t xml:space="preserve">[5]</w:t>
        </w:r>
      </w:hyperlink>
      <w:r>
        <w:t xml:space="preserve"> </w:t>
      </w:r>
      <w:hyperlink w:anchor="ref-9">
        <w:r>
          <w:rPr>
            <w:rStyle w:val="Hyperlink"/>
          </w:rPr>
          <w:t xml:space="preserve">[9]</w:t>
        </w:r>
      </w:hyperlink>
      <w:r>
        <w:t xml:space="preserve">. The negative elasticity is therefore not evidence that attention decays with age in the wider literature. It is evidence that, in this particular local index, the recent journal records are the ones that register attention at all, and the age variable is picking up that composition rather than a true temporal decay. The dissertation states this plainly: the elasticity is precise and real as a description of the corpus, and it must not be read as a claim about how citations accumulate in the field at large.</w:t>
      </w:r>
    </w:p>
    <w:bookmarkEnd w:id="124"/>
    <w:bookmarkStart w:id="125" w:name="reading-the-two-results-together"/>
    <w:p>
      <w:pPr>
        <w:pStyle w:val="Heading2"/>
        <w:spacing w:line="480" w:lineRule="auto"/>
      </w:pPr>
      <w:r>
        <w:t xml:space="preserve">Reading the two results together</w:t>
      </w:r>
    </w:p>
    <w:p>
      <w:pPr>
        <w:pStyle w:val="FirstParagraph"/>
        <w:spacing w:line="480" w:lineRule="auto"/>
      </w:pPr>
      <w:r>
        <w:t xml:space="preserve">Both papers agree on one thing and diverge on another, and both facts matter. They agree that citation attention is the variable carrying structure in this corpus. In the first model attention is the sharpest predictor of topic signal; in the second the attention-bearing records are the ones that drive the age elasticity. Attention, not recency, is where this corpus is legible</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p>
      <w:pPr>
        <w:pStyle w:val="BodyText"/>
        <w:spacing w:line="480" w:lineRule="auto"/>
        <w:ind w:firstLine="720"/>
      </w:pPr>
      <w:r>
        <w:t xml:space="preserve">They diverge on what age and recency contribute. The first model found recency insignificant; the second found age significant but with a sign explained by measurement composition rather than by genuine temporal structure. Neither result supports the clean emergence story in which a rising topic simply grows more prominent in newer, more-cited records. What the corpus supports instead is narrower and stranger: the topic’s signal tracks a thin, locally measured attention variable, and the temporal patterns are dominated by which records that local index happened to score</w:t>
      </w:r>
      <w:r>
        <w:t xml:space="preserve"> </w:t>
      </w:r>
      <w:hyperlink w:anchor="ref-6">
        <w:r>
          <w:rPr>
            <w:rStyle w:val="Hyperlink"/>
          </w:rPr>
          <w:t xml:space="preserve">[6]</w:t>
        </w:r>
      </w:hyperlink>
      <w:r>
        <w:t xml:space="preserve">.</w:t>
      </w:r>
    </w:p>
    <w:p>
      <w:pPr>
        <w:pStyle w:val="BodyText"/>
        <w:spacing w:line="480" w:lineRule="auto"/>
        <w:ind w:firstLine="720"/>
      </w:pPr>
      <w:r>
        <w:t xml:space="preserve">The null hypothesis of no relationship is rejected in both papers, because both return at least one precise coefficient. But rejection is not vindication of the strong emergence claim. The dissertation reads these results as evidence that the retrieved corpus has structure worth a closer look, concentrated in the attention dimension, and as evidence that recency and age cannot, in this data, be trusted to carry the emergence story on their own</w:t>
      </w:r>
      <w:r>
        <w:t xml:space="preserve"> </w:t>
      </w:r>
      <w:hyperlink w:anchor="ref-3">
        <w:r>
          <w:rPr>
            <w:rStyle w:val="Hyperlink"/>
          </w:rPr>
          <w:t xml:space="preserve">[3]</w:t>
        </w:r>
      </w:hyperlink>
      <w:r>
        <w:t xml:space="preserve"> </w:t>
      </w:r>
      <w:hyperlink w:anchor="ref-4">
        <w:r>
          <w:rPr>
            <w:rStyle w:val="Hyperlink"/>
          </w:rPr>
          <w:t xml:space="preserve">[4]</w:t>
        </w:r>
      </w:hyperlink>
      <w:r>
        <w:t xml:space="preserve">. That is the finding, stated at the size the numbers permit.</w:t>
      </w:r>
    </w:p>
    <w:bookmarkEnd w:id="125"/>
    <w:bookmarkStart w:id="126" w:name="X80a884807944fcbcb046032910c13a99ece6feb"/>
    <w:p>
      <w:pPr>
        <w:pStyle w:val="Heading2"/>
        <w:spacing w:line="480" w:lineRule="auto"/>
      </w:pPr>
      <w:r>
        <w:t xml:space="preserve">Magnitude against the distribution of the data</w:t>
      </w:r>
    </w:p>
    <w:p>
      <w:pPr>
        <w:pStyle w:val="FirstParagraph"/>
        <w:spacing w:line="480" w:lineRule="auto"/>
      </w:pPr>
      <w:r>
        <w:t xml:space="preserve">A coefficient’s meaning depends on the spread of the variable it multiplies, so it is worth placing each estimate against the actual distribution of its predictor. The citation coefficient of 0.1308 operates over a citation variable that is zero for most records and reaches a maximum of twenty-one for a single debris-and-stations record</w:t>
      </w:r>
      <w:r>
        <w:t xml:space="preserve"> </w:t>
      </w:r>
      <w:hyperlink w:anchor="ref-9">
        <w:r>
          <w:rPr>
            <w:rStyle w:val="Hyperlink"/>
          </w:rPr>
          <w:t xml:space="preserve">[9]</w:t>
        </w:r>
      </w:hyperlink>
      <w:r>
        <w:t xml:space="preserve">. Its practical reach is therefore concentrated in the few records that carry any reported attention at all. The estimate says that among those records, higher attention aligns with higher signal, but it is estimated off a small number of nonzero observations, which is a reason to hold the result firmly as a description of this corpus while resisting any extrapolation to a literature with a fuller citation distribution</w:t>
      </w:r>
      <w:r>
        <w:t xml:space="preserve"> </w:t>
      </w:r>
      <w:hyperlink w:anchor="ref-5">
        <w:r>
          <w:rPr>
            <w:rStyle w:val="Hyperlink"/>
          </w:rPr>
          <w:t xml:space="preserve">[5]</w:t>
        </w:r>
      </w:hyperlink>
      <w:r>
        <w:t xml:space="preserve">.</w:t>
      </w:r>
    </w:p>
    <w:p>
      <w:pPr>
        <w:pStyle w:val="BodyText"/>
        <w:spacing w:line="480" w:lineRule="auto"/>
        <w:ind w:firstLine="720"/>
      </w:pPr>
      <w:r>
        <w:t xml:space="preserve">The recency coefficient of 0.0974 operates over a recency index that runs from one, for the oldest 2006 record, to twenty-one, for the newest 2026 record</w:t>
      </w:r>
      <w:r>
        <w:t xml:space="preserve"> </w:t>
      </w:r>
      <w:hyperlink w:anchor="ref-6">
        <w:r>
          <w:rPr>
            <w:rStyle w:val="Hyperlink"/>
          </w:rPr>
          <w:t xml:space="preserve">[6]</w:t>
        </w:r>
      </w:hyperlink>
      <w:r>
        <w:t xml:space="preserve">. Across that full span the coefficient would predict a signal difference of roughly two points, which is not trivial against a signal score whose typical values are in the low single digits. Yet the p-value of 0.2648 means the corpus cannot distinguish this apparent gradient from zero, so the substantively interesting span buys no statistical claim. This is the textbook situation in which magnitude and precision diverge, and the dissertation refuses to let the former stand in for the latter</w:t>
      </w:r>
      <w:r>
        <w:t xml:space="preserve"> </w:t>
      </w:r>
      <w:hyperlink w:anchor="ref-10">
        <w:r>
          <w:rPr>
            <w:rStyle w:val="Hyperlink"/>
          </w:rPr>
          <w:t xml:space="preserve">[10]</w:t>
        </w:r>
      </w:hyperlink>
      <w:r>
        <w:t xml:space="preserve">.</w:t>
      </w:r>
    </w:p>
    <w:p>
      <w:pPr>
        <w:pStyle w:val="BodyText"/>
        <w:spacing w:line="480" w:lineRule="auto"/>
        <w:ind w:firstLine="720"/>
      </w:pPr>
      <w:r>
        <w:t xml:space="preserve">The venue coefficient of -0.9476 operates over an ordinal that takes only three values, so its practical effect is a shift of nearly one signal point per step up the venue-family ladder. Moving from the conference-security family to the journal family, and again to the space-economy family, is associated with successively lower topic signal, which is consistent with the corpus’s density being highest in the conference-security core</w:t>
      </w:r>
      <w:r>
        <w:t xml:space="preserve"> </w:t>
      </w:r>
      <w:hyperlink w:anchor="ref-7">
        <w:r>
          <w:rPr>
            <w:rStyle w:val="Hyperlink"/>
          </w:rPr>
          <w:t xml:space="preserve">[7]</w:t>
        </w:r>
      </w:hyperlink>
      <w:r>
        <w:t xml:space="preserve"> </w:t>
      </w:r>
      <w:hyperlink w:anchor="ref-8">
        <w:r>
          <w:rPr>
            <w:rStyle w:val="Hyperlink"/>
          </w:rPr>
          <w:t xml:space="preserve">[8]</w:t>
        </w:r>
      </w:hyperlink>
      <w:r>
        <w:t xml:space="preserve">. At a p-value of 0.0506 this is a coefficient at the threshold, reported that way, and read as a hint about where the theme concentrates rather than as a settled venue effect.</w:t>
      </w:r>
    </w:p>
    <w:bookmarkEnd w:id="126"/>
    <w:bookmarkStart w:id="127" w:name="the-constant-and-what-it-anchors"/>
    <w:p>
      <w:pPr>
        <w:pStyle w:val="Heading2"/>
        <w:spacing w:line="480" w:lineRule="auto"/>
      </w:pPr>
      <w:r>
        <w:t xml:space="preserve">The constant and what it anchors</w:t>
      </w:r>
    </w:p>
    <w:p>
      <w:pPr>
        <w:pStyle w:val="FirstParagraph"/>
        <w:spacing w:line="480" w:lineRule="auto"/>
      </w:pPr>
      <w:r>
        <w:t xml:space="preserve">A constant term of 3.0877, at a p-value of 0.0945, is not the focus of the model but it is not without meaning. It anchors the predicted signal for a hypothetical record at the model’s baseline, an uncited conference-security record at the lowest recency, and its moderate size reflects the fact that even baseline records in this corpus carry some topic signal by construction</w:t>
      </w:r>
      <w:r>
        <w:t xml:space="preserve"> </w:t>
      </w:r>
      <w:hyperlink w:anchor="ref-3">
        <w:r>
          <w:rPr>
            <w:rStyle w:val="Hyperlink"/>
          </w:rPr>
          <w:t xml:space="preserve">[3]</w:t>
        </w:r>
      </w:hyperlink>
      <w:r>
        <w:t xml:space="preserve">. Its own imprecision, sitting just outside conventional significance, is a further reminder that a three-predictor model over thirty records estimates everything, including its intercept, with limited confidence. The dissertation reports the constant for completeness and does not build interpretation on it.</w:t>
      </w:r>
    </w:p>
    <w:bookmarkEnd w:id="127"/>
    <w:bookmarkStart w:id="128" w:name="the-second-models-fit-in-perspective"/>
    <w:p>
      <w:pPr>
        <w:pStyle w:val="Heading2"/>
        <w:spacing w:line="480" w:lineRule="auto"/>
      </w:pPr>
      <w:r>
        <w:t xml:space="preserve">The second model’s fit in perspective</w:t>
      </w:r>
    </w:p>
    <w:p>
      <w:pPr>
        <w:pStyle w:val="FirstParagraph"/>
        <w:spacing w:line="480" w:lineRule="auto"/>
      </w:pPr>
      <w:r>
        <w:t xml:space="preserve">Returning to the learning curve, the R-squared of 0.0878 and the significant elasticity together describe a model that captures a real but narrow slice of the variation in logged attention</w:t>
      </w:r>
      <w:r>
        <w:t xml:space="preserve"> </w:t>
      </w:r>
      <w:hyperlink w:anchor="ref-6">
        <w:r>
          <w:rPr>
            <w:rStyle w:val="Hyperlink"/>
          </w:rPr>
          <w:t xml:space="preserve">[6]</w:t>
        </w:r>
      </w:hyperlink>
      <w:r>
        <w:t xml:space="preserve">. The constant of 0.7271, significant at a p-value of 0.0098, sits well clear of conventional thresholds and anchors the logged-attention level at the youngest ages, where the plus-one floor is least binding. The pairing of a precise constant with a precise but composition-driven elasticity is exactly what one would expect if the model were reading a corpus in which the young journal records carry the attention and the old conference records sit at the floor. The fit statistics do not contradict that reading; they are consistent with it, which is the most a screen should claim.</w:t>
      </w:r>
    </w:p>
    <w:bookmarkEnd w:id="128"/>
    <w:bookmarkStart w:id="129" w:name="X149ae9620f76d00637c6bb2d13d7947b2efc852"/>
    <w:p>
      <w:pPr>
        <w:pStyle w:val="Heading2"/>
        <w:spacing w:line="480" w:lineRule="auto"/>
      </w:pPr>
      <w:r>
        <w:t xml:space="preserve">A note on what significance does not settle</w:t>
      </w:r>
    </w:p>
    <w:p>
      <w:pPr>
        <w:pStyle w:val="FirstParagraph"/>
        <w:spacing w:line="480" w:lineRule="auto"/>
      </w:pPr>
      <w:r>
        <w:t xml:space="preserve">Both models reject their nulls, and it would be easy to let rejection do more rhetorical work than it deserves. Rejection here establishes that a specified association is present and precise within a fixed corpus under a conservative variance estimate. It does not establish that the association would survive a larger corpus, a different index, or a richer specification, and it does not touch the causal or strategic questions the topic ultimately raises</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results are a green light for closer study, not a substitute for it. Stating that boundary at the moment of reporting, rather than burying it in a later caveat, is how the results chapter keeps faith with the reproducibility that justifies the whole design</w:t>
      </w:r>
      <w:r>
        <w:t xml:space="preserve"> </w:t>
      </w:r>
      <w:hyperlink w:anchor="ref-4">
        <w:r>
          <w:rPr>
            <w:rStyle w:val="Hyperlink"/>
          </w:rPr>
          <w:t xml:space="preserve">[4]</w:t>
        </w:r>
      </w:hyperlink>
      <w:r>
        <w:t xml:space="preserve">.</w:t>
      </w:r>
    </w:p>
    <w:bookmarkEnd w:id="129"/>
    <w:bookmarkStart w:id="130" w:name="X0d01a3cb48038c55d872fd280e5ff0f62a845ed"/>
    <w:p>
      <w:pPr>
        <w:pStyle w:val="Heading2"/>
        <w:spacing w:line="480" w:lineRule="auto"/>
      </w:pPr>
      <w:r>
        <w:t xml:space="preserve">The F-statistic and the R-squared, reconciled</w:t>
      </w:r>
    </w:p>
    <w:p>
      <w:pPr>
        <w:pStyle w:val="FirstParagraph"/>
        <w:spacing w:line="480" w:lineRule="auto"/>
      </w:pPr>
      <w:r>
        <w:t xml:space="preserve">One pairing in the first model can trip an inattentive reader, and it deserves a careful reconciliation because it is easy to misreport. The F-statistic of 9.868921816848365, with its p-value of 0.00016062810334824265, is highly significant, yet the adjusted R-squared of -0.009464114124259293 sits just below zero. A reader might take the significant F to mean the model explains a great deal and the near-zero adjusted R-squared to mean it explains nothing, and wonder which is right. Both are right, and their coexistence is the signature of a particular kind of result.</w:t>
      </w:r>
    </w:p>
    <w:p>
      <w:pPr>
        <w:pStyle w:val="BodyText"/>
        <w:spacing w:line="480" w:lineRule="auto"/>
        <w:ind w:firstLine="720"/>
      </w:pPr>
      <w:r>
        <w:t xml:space="preserve">The F-statistic tests whether the predictors jointly carry information against the null that none does, and it can reach significance on the strength of a single precise coefficient even when the overall share of variance explained is small</w:t>
      </w:r>
      <w:r>
        <w:t xml:space="preserve"> </w:t>
      </w:r>
      <w:hyperlink w:anchor="ref-3">
        <w:r>
          <w:rPr>
            <w:rStyle w:val="Hyperlink"/>
          </w:rPr>
          <w:t xml:space="preserve">[3]</w:t>
        </w:r>
      </w:hyperlink>
      <w:r>
        <w:t xml:space="preserve">. The adjusted R-squared, by contrast, penalizes the raw R-squared of 0.09496320802652625 for the three predictors spent against thirty records, and that penalty is enough to push it fractionally negative. The honest reading is that the model contains real signal, carried almost entirely by the citation coefficient, embedded in a great deal of unexplained variance. Neither statistic is wrong; they are answering different questions, and reporting both, unrounded, is what lets the reader see the whole shape of the fit rather than a flattering slice of it</w:t>
      </w:r>
      <w:r>
        <w:t xml:space="preserve"> </w:t>
      </w:r>
      <w:hyperlink w:anchor="ref-4">
        <w:r>
          <w:rPr>
            <w:rStyle w:val="Hyperlink"/>
          </w:rPr>
          <w:t xml:space="preserve">[4]</w:t>
        </w:r>
      </w:hyperlink>
      <w:r>
        <w:t xml:space="preserve">.</w:t>
      </w:r>
    </w:p>
    <w:bookmarkEnd w:id="130"/>
    <w:bookmarkStart w:id="131" w:name="the-elasticity-read-as-a-progress-ratio"/>
    <w:p>
      <w:pPr>
        <w:pStyle w:val="Heading2"/>
        <w:spacing w:line="480" w:lineRule="auto"/>
      </w:pPr>
      <w:r>
        <w:t xml:space="preserve">The elasticity read as a progress ratio</w:t>
      </w:r>
    </w:p>
    <w:p>
      <w:pPr>
        <w:pStyle w:val="FirstParagraph"/>
        <w:spacing w:line="480" w:lineRule="auto"/>
      </w:pPr>
      <w:r>
        <w:t xml:space="preserve">The second model’s central number rewards a second pass through the learning-curve lens, because the elasticity of -0.28510428793768716 and the progress ratio of 0.8206822820964227 are two expressions of one fact and each illuminates the other. The elasticity says that a one-percent increase in the age index is associated with roughly a quarter-percent decrease in logged attention. The progress ratio translates that into the field’s customary doubling language: when the age index doubles, accumulated attention falls to about eighty-two percent of its prior level</w:t>
      </w:r>
      <w:r>
        <w:t xml:space="preserve"> </w:t>
      </w:r>
      <w:hyperlink w:anchor="ref-6">
        <w:r>
          <w:rPr>
            <w:rStyle w:val="Hyperlink"/>
          </w:rPr>
          <w:t xml:space="preserve">[6]</w:t>
        </w:r>
      </w:hyperlink>
      <w:r>
        <w:t xml:space="preserve">.</w:t>
      </w:r>
    </w:p>
    <w:p>
      <w:pPr>
        <w:pStyle w:val="BodyText"/>
        <w:spacing w:line="480" w:lineRule="auto"/>
        <w:ind w:firstLine="720"/>
      </w:pPr>
      <w:r>
        <w:t xml:space="preserve">Stated in the learning-curve idiom, a progress ratio below one ordinarily signals improvement with scale, but here the interpretation inverts because the axis is age and the driver is measurement composition. The ratio is telling us that older records, on this local index, register less attention, and it is doing so smoothly enough that a constant-elasticity curve fits</w:t>
      </w:r>
      <w:r>
        <w:t xml:space="preserve"> </w:t>
      </w:r>
      <w:hyperlink w:anchor="ref-5">
        <w:r>
          <w:rPr>
            <w:rStyle w:val="Hyperlink"/>
          </w:rPr>
          <w:t xml:space="preserve">[5]</w:t>
        </w:r>
      </w:hyperlink>
      <w:r>
        <w:t xml:space="preserve">. The precision of the constant, 0.7270767963517231 at a p-value of 0.009843649136218728, and of the elasticity, at a p-value of 0.024499646490903863, together describe a curve that is statistically real within the corpus even as its downward slope traces an index artifact rather than a truth about how the field cites over time. Reporting the progress ratio alongside the elasticity lets a reader who thinks in learning-curve terms see immediately that the curve slopes the wrong way for a genuine accumulation story, which is the fastest route to the composition reading the discussion develops.</w:t>
      </w:r>
    </w:p>
    <w:bookmarkEnd w:id="131"/>
    <w:bookmarkStart w:id="132" w:name="consistency-between-the-two-workbooks"/>
    <w:p>
      <w:pPr>
        <w:pStyle w:val="Heading2"/>
        <w:spacing w:line="480" w:lineRule="auto"/>
      </w:pPr>
      <w:r>
        <w:t xml:space="preserve">Consistency between the two workbooks</w:t>
      </w:r>
    </w:p>
    <w:p>
      <w:pPr>
        <w:pStyle w:val="FirstParagraph"/>
        <w:spacing w:line="480" w:lineRule="auto"/>
      </w:pPr>
      <w:r>
        <w:t xml:space="preserve">A final check the results chapter can offer is internal consistency: do the two workbooks, run on the same thirty records, tell stories that fit together? They do, and the fit is itself a small piece of evidence for the reading. In the first model, citation attention is the sharp predictor; in the second, the records carrying attention are recent journal records that also drive the age elasticity</w:t>
      </w:r>
      <w:r>
        <w:t xml:space="preserve"> </w:t>
      </w:r>
      <w:hyperlink w:anchor="ref-1">
        <w:r>
          <w:rPr>
            <w:rStyle w:val="Hyperlink"/>
          </w:rPr>
          <w:t xml:space="preserve">[1]</w:t>
        </w:r>
      </w:hyperlink>
      <w:r>
        <w:t xml:space="preserve"> </w:t>
      </w:r>
      <w:hyperlink w:anchor="ref-6">
        <w:r>
          <w:rPr>
            <w:rStyle w:val="Hyperlink"/>
          </w:rPr>
          <w:t xml:space="preserve">[6]</w:t>
        </w:r>
      </w:hyperlink>
      <w:r>
        <w:t xml:space="preserve">. The same handful of attention-bearing records is doing the explanatory work in both models, which is why both reject their nulls and why both nonetheless leave recency and age unable to carry a clean emergence story. If the two workbooks had disagreed, with attention sharp in one and irrelevant in the other, the corpus’s structure would be in doubt. That they agree on where the signal lives, while agreeing equally on what the signal cannot support, is the most a screen of this size can deliver, and the results chapter reports it as exactly that</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End w:id="132"/>
    <w:bookmarkEnd w:id="133"/>
    <w:bookmarkStart w:id="145" w:name="discussion-and-limitations"/>
    <w:p>
      <w:pPr>
        <w:pStyle w:val="Heading1"/>
        <w:spacing w:line="480" w:lineRule="auto"/>
      </w:pPr>
      <w:r>
        <w:t xml:space="preserve">Discussion and Limitations</w:t>
      </w:r>
    </w:p>
    <w:p>
      <w:pPr>
        <w:pStyle w:val="FirstParagraph"/>
        <w:spacing w:line="480" w:lineRule="auto"/>
      </w:pPr>
      <w:r>
        <w:t xml:space="preserve">The results are in. They are partial. This chapter asks what they mean, what could undermine them, and where the line falls between what the data show and what a reader might wish they showed. The honest answer to the last question governs the whole chapter: a design-stage screen over thirty records can locate structure, but it cannot deliver the strategic verdict on counterspace escalation that the topic ultimately demands.</w:t>
      </w:r>
    </w:p>
    <w:bookmarkStart w:id="134" w:name="what-the-findings-mean"/>
    <w:p>
      <w:pPr>
        <w:pStyle w:val="Heading2"/>
        <w:spacing w:line="480" w:lineRule="auto"/>
      </w:pPr>
      <w:r>
        <w:t xml:space="preserve">What the findings mean</w:t>
      </w:r>
    </w:p>
    <w:p>
      <w:pPr>
        <w:pStyle w:val="FirstParagraph"/>
        <w:spacing w:line="480" w:lineRule="auto"/>
      </w:pPr>
      <w:r>
        <w:t xml:space="preserve">Citation attention, not recency, is the clearest dimension along which the candidate topic is legible in this corpus. The first paper’s citation coefficient was its sharpest estimate, and the second paper’s temporal result was driven by which records carried reported attention at all</w:t>
      </w:r>
      <w:r>
        <w:t xml:space="preserve"> </w:t>
      </w:r>
      <w:hyperlink w:anchor="ref-1">
        <w:r>
          <w:rPr>
            <w:rStyle w:val="Hyperlink"/>
          </w:rPr>
          <w:t xml:space="preserve">[1]</w:t>
        </w:r>
      </w:hyperlink>
      <w:r>
        <w:t xml:space="preserve"> </w:t>
      </w:r>
      <w:hyperlink w:anchor="ref-2">
        <w:r>
          <w:rPr>
            <w:rStyle w:val="Hyperlink"/>
          </w:rPr>
          <w:t xml:space="preserve">[2]</w:t>
        </w:r>
      </w:hyperlink>
      <w:r>
        <w:t xml:space="preserve">. If one had to name a single takeaway, it is this: within the retrieved literature, engagement and topic salience travel together, and they do so precisely enough to distinguish from noise even in a small sample. That is a real, if modest, empirical fact about how the counterspace-escalation conversation is distributed.</w:t>
      </w:r>
    </w:p>
    <w:p>
      <w:pPr>
        <w:pStyle w:val="BodyText"/>
        <w:spacing w:line="480" w:lineRule="auto"/>
        <w:ind w:firstLine="720"/>
      </w:pPr>
      <w:r>
        <w:t xml:space="preserve">The recency null is equally meaningful, and it cuts against a comfortable assumption. Commentators often treat a topic’s recency as self-evidently a marker of its rising importance. This corpus does not support that treatment. Once attention and venue are held fixed, newer records do not carry more topic signal than older ones in any statistically distinguishable way</w:t>
      </w:r>
      <w:r>
        <w:t xml:space="preserve"> </w:t>
      </w:r>
      <w:hyperlink w:anchor="ref-10">
        <w:r>
          <w:rPr>
            <w:rStyle w:val="Hyperlink"/>
          </w:rPr>
          <w:t xml:space="preserve">[10]</w:t>
        </w:r>
      </w:hyperlink>
      <w:r>
        <w:t xml:space="preserve">. The suggestive positive sign survives, but the precision does not, and a screen that respects its thresholds cannot convert a suggestive sign into a claim. The field’s intuition that the topic is simply getting newer-and-hotter is, at least in this record, not yet demonstrated.</w:t>
      </w:r>
    </w:p>
    <w:p>
      <w:pPr>
        <w:pStyle w:val="BodyText"/>
        <w:spacing w:line="480" w:lineRule="auto"/>
        <w:ind w:firstLine="720"/>
      </w:pPr>
      <w:r>
        <w:t xml:space="preserve">The venue result sits at the boundary and should be read as a hint rather than a holding. The negative coefficient, significant at the very edge, is consistent with the conference-security venues foregrounding counterspace escalation more heavily than the journal and space-economy venues do</w:t>
      </w:r>
      <w:r>
        <w:t xml:space="preserve"> </w:t>
      </w:r>
      <w:hyperlink w:anchor="ref-7">
        <w:r>
          <w:rPr>
            <w:rStyle w:val="Hyperlink"/>
          </w:rPr>
          <w:t xml:space="preserve">[7]</w:t>
        </w:r>
      </w:hyperlink>
      <w:r>
        <w:t xml:space="preserve"> </w:t>
      </w:r>
      <w:hyperlink w:anchor="ref-8">
        <w:r>
          <w:rPr>
            <w:rStyle w:val="Hyperlink"/>
          </w:rPr>
          <w:t xml:space="preserve">[8]</w:t>
        </w:r>
      </w:hyperlink>
      <w:r>
        <w:t xml:space="preserve">. That would fit the substantive picture from the literature review, in which the security-and-surveillance conference community has been the most active early home for escalation-flavored analysis. But a p-value of 0.0506 is a coefficient asking for more data, not a coefficient delivering a verdict, and the dissertation treats it accordingly.</w:t>
      </w:r>
    </w:p>
    <w:p>
      <w:pPr>
        <w:pStyle w:val="BodyText"/>
        <w:spacing w:line="480" w:lineRule="auto"/>
        <w:ind w:firstLine="720"/>
      </w:pPr>
      <w:r>
        <w:t xml:space="preserve">The second paper’s negative age elasticity carries a lesson about measurement that generalizes beyond this project. A precise coefficient with a surprising sign is an invitation to ask what the variable is actually measuring, and here the answer is composition: the recent journal records are the ones the local index scores, so age proxies venue-and-index behavior rather than genuine citation decay</w:t>
      </w:r>
      <w:r>
        <w:t xml:space="preserve"> </w:t>
      </w:r>
      <w:hyperlink w:anchor="ref-5">
        <w:r>
          <w:rPr>
            <w:rStyle w:val="Hyperlink"/>
          </w:rPr>
          <w:t xml:space="preserve">[5]</w:t>
        </w:r>
      </w:hyperlink>
      <w:r>
        <w:t xml:space="preserve"> </w:t>
      </w:r>
      <w:hyperlink w:anchor="ref-6">
        <w:r>
          <w:rPr>
            <w:rStyle w:val="Hyperlink"/>
          </w:rPr>
          <w:t xml:space="preserve">[6]</w:t>
        </w:r>
      </w:hyperlink>
      <w:r>
        <w:t xml:space="preserve">. A less careful reading would have announced that attention decays with age in the counterspace literature, which would have been false. The care that avoided that error is not incidental to the dissertation; it is the point of it.</w:t>
      </w:r>
    </w:p>
    <w:bookmarkEnd w:id="134"/>
    <w:bookmarkStart w:id="135" w:name="threats-to-validity"/>
    <w:p>
      <w:pPr>
        <w:pStyle w:val="Heading2"/>
        <w:spacing w:line="480" w:lineRule="auto"/>
      </w:pPr>
      <w:r>
        <w:t xml:space="preserve">Threats to validity</w:t>
      </w:r>
    </w:p>
    <w:p>
      <w:pPr>
        <w:pStyle w:val="FirstParagraph"/>
        <w:spacing w:line="480" w:lineRule="auto"/>
      </w:pPr>
      <w:r>
        <w:t xml:space="preserve">The threats to validity are numerous, and naming them completely is a condition of the dissertation’s credibility rather than an admission that undermines it.</w:t>
      </w:r>
    </w:p>
    <w:p>
      <w:pPr>
        <w:pStyle w:val="BodyText"/>
        <w:spacing w:line="480" w:lineRule="auto"/>
        <w:ind w:firstLine="720"/>
      </w:pPr>
      <w:r>
        <w:t xml:space="preserve">Sample size comes first. It is also the largest threat. Thirty records is a screening sample. It caps the precision of every estimate, it makes each coefficient sensitive to a handful of influential records, and it leaves no room for the subgroup analysis that a richer corpus would permit</w:t>
      </w:r>
      <w:r>
        <w:t xml:space="preserve"> </w:t>
      </w:r>
      <w:hyperlink w:anchor="ref-3">
        <w:r>
          <w:rPr>
            <w:rStyle w:val="Hyperlink"/>
          </w:rPr>
          <w:t xml:space="preserve">[3]</w:t>
        </w:r>
      </w:hyperlink>
      <w:r>
        <w:t xml:space="preserve">. The high-signal middle-power-policy record, standing well above the rest of the distribution, is exactly the kind of influential observation that a sample this size cannot absorb without strain</w:t>
      </w:r>
      <w:r>
        <w:t xml:space="preserve"> </w:t>
      </w:r>
      <w:hyperlink w:anchor="ref-7">
        <w:r>
          <w:rPr>
            <w:rStyle w:val="Hyperlink"/>
          </w:rPr>
          <w:t xml:space="preserve">[7]</w:t>
        </w:r>
      </w:hyperlink>
      <w:r>
        <w:t xml:space="preserve">. A reader should assume that dropping or adding a few records could move the borderline coefficients across their thresholds.</w:t>
      </w:r>
    </w:p>
    <w:p>
      <w:pPr>
        <w:pStyle w:val="BodyText"/>
        <w:spacing w:line="480" w:lineRule="auto"/>
        <w:ind w:firstLine="720"/>
      </w:pPr>
      <w:r>
        <w:t xml:space="preserve">Measurement is the second threat, and it has three faces. Citation counts are local index measures that undercount records well cited elsewhere, which is what produced the second paper’s sign reversal</w:t>
      </w:r>
      <w:r>
        <w:t xml:space="preserve"> </w:t>
      </w:r>
      <w:hyperlink w:anchor="ref-5">
        <w:r>
          <w:rPr>
            <w:rStyle w:val="Hyperlink"/>
          </w:rPr>
          <w:t xml:space="preserve">[5]</w:t>
        </w:r>
      </w:hyperlink>
      <w:r>
        <w:t xml:space="preserve">. The topic-signal score counts term hits and cannot tell substantive engagement from passing mention, so a record that names the theme without analyzing it scores the same as one that develops it</w:t>
      </w:r>
      <w:r>
        <w:t xml:space="preserve"> </w:t>
      </w:r>
      <w:hyperlink w:anchor="ref-4">
        <w:r>
          <w:rPr>
            <w:rStyle w:val="Hyperlink"/>
          </w:rPr>
          <w:t xml:space="preserve">[4]</w:t>
        </w:r>
      </w:hyperlink>
      <w:r>
        <w:t xml:space="preserve">. Venue coding collapses a rich landscape of venues into three ordinal families, discarding distinctions that might matter</w:t>
      </w:r>
      <w:r>
        <w:t xml:space="preserve"> </w:t>
      </w:r>
      <w:hyperlink w:anchor="ref-8">
        <w:r>
          <w:rPr>
            <w:rStyle w:val="Hyperlink"/>
          </w:rPr>
          <w:t xml:space="preserve">[8]</w:t>
        </w:r>
      </w:hyperlink>
      <w:r>
        <w:t xml:space="preserve">. Each of these is a deliberate simplification that buys reproducibility at the cost of depth, and each caps how far the coefficients should travel.</w:t>
      </w:r>
    </w:p>
    <w:p>
      <w:pPr>
        <w:pStyle w:val="BodyText"/>
        <w:spacing w:line="480" w:lineRule="auto"/>
        <w:ind w:firstLine="720"/>
      </w:pPr>
      <w:r>
        <w:t xml:space="preserve">Specification is the third threat. Both models are deliberately spare, and sparse models omit structure. An omitted feature correlated with both the signal and a predictor would bias the corresponding coefficient, and with three predictors over thirty records the dissertation cannot rule this out</w:t>
      </w:r>
      <w:r>
        <w:t xml:space="preserve"> </w:t>
      </w:r>
      <w:hyperlink w:anchor="ref-1">
        <w:r>
          <w:rPr>
            <w:rStyle w:val="Hyperlink"/>
          </w:rPr>
          <w:t xml:space="preserve">[1]</w:t>
        </w:r>
      </w:hyperlink>
      <w:r>
        <w:t xml:space="preserve">. Collinearity between recency and venue family compounds the problem, blurring exactly the two coefficients whose separation the emergence story would most want to see cleanly</w:t>
      </w:r>
      <w:r>
        <w:t xml:space="preserve"> </w:t>
      </w:r>
      <w:hyperlink w:anchor="ref-7">
        <w:r>
          <w:rPr>
            <w:rStyle w:val="Hyperlink"/>
          </w:rPr>
          <w:t xml:space="preserve">[7]</w:t>
        </w:r>
      </w:hyperlink>
      <w:r>
        <w:t xml:space="preserve">. These are not fatal flaws for a screen, but they are reasons its coefficients are a starting point rather than a resting place.</w:t>
      </w:r>
    </w:p>
    <w:p>
      <w:pPr>
        <w:pStyle w:val="BodyText"/>
        <w:spacing w:line="480" w:lineRule="auto"/>
        <w:ind w:firstLine="720"/>
      </w:pPr>
      <w:r>
        <w:t xml:space="preserve">External validity is the fourth threat. The estimates are conditional on this specific retrieved corpus and do not claim to generalize to a differently assembled one</w:t>
      </w:r>
      <w:r>
        <w:t xml:space="preserve"> </w:t>
      </w:r>
      <w:hyperlink w:anchor="ref-2">
        <w:r>
          <w:rPr>
            <w:rStyle w:val="Hyperlink"/>
          </w:rPr>
          <w:t xml:space="preserve">[2]</w:t>
        </w:r>
      </w:hyperlink>
      <w:r>
        <w:t xml:space="preserve">. A corpus built from a different index, a different query, or a different set of venue families could return different structure, and the dissertation makes no promise that it would not. What travels is the method, not the coefficients.</w:t>
      </w:r>
    </w:p>
    <w:bookmarkEnd w:id="135"/>
    <w:bookmarkStart w:id="136" w:name="what-the-data-cannot-show"/>
    <w:p>
      <w:pPr>
        <w:pStyle w:val="Heading2"/>
        <w:spacing w:line="480" w:lineRule="auto"/>
      </w:pPr>
      <w:r>
        <w:t xml:space="preserve">What the data cannot show</w:t>
      </w:r>
    </w:p>
    <w:p>
      <w:pPr>
        <w:pStyle w:val="FirstParagraph"/>
        <w:spacing w:line="480" w:lineRule="auto"/>
      </w:pPr>
      <w:r>
        <w:t xml:space="preserve">Some limits are not threats to be mitigated but boundaries that no version of this design could cross, and stating them protects the reader from expecting more than the genre can deliver.</w:t>
      </w:r>
    </w:p>
    <w:p>
      <w:pPr>
        <w:pStyle w:val="BodyText"/>
        <w:spacing w:line="480" w:lineRule="auto"/>
        <w:ind w:firstLine="720"/>
      </w:pPr>
      <w:r>
        <w:t xml:space="preserve">The data cannot show strategic causation. Nothing here speaks to whether a counterspace capability is stabilizing or destabilizing, whether a state will escalate, or how an adversary will read a given move on orbit</w:t>
      </w:r>
      <w:r>
        <w:t xml:space="preserve"> </w:t>
      </w:r>
      <w:hyperlink w:anchor="ref-1">
        <w:r>
          <w:rPr>
            <w:rStyle w:val="Hyperlink"/>
          </w:rPr>
          <w:t xml:space="preserve">[1]</w:t>
        </w:r>
      </w:hyperlink>
      <w:r>
        <w:t xml:space="preserve"> </w:t>
      </w:r>
      <w:hyperlink w:anchor="ref-12">
        <w:r>
          <w:rPr>
            <w:rStyle w:val="Hyperlink"/>
          </w:rPr>
          <w:t xml:space="preserve">[12]</w:t>
        </w:r>
      </w:hyperlink>
      <w:r>
        <w:t xml:space="preserve">. Those questions require evidence about behavior and intent that no bibliometric screen contains. The dissertation measures the shape of a literature, not the conduct of the states the literature describes.</w:t>
      </w:r>
    </w:p>
    <w:p>
      <w:pPr>
        <w:pStyle w:val="BodyText"/>
        <w:spacing w:line="480" w:lineRule="auto"/>
        <w:ind w:firstLine="720"/>
      </w:pPr>
      <w:r>
        <w:t xml:space="preserve">Nor can the data populate the escalation ladder itself. The project’s title promises a ladder, and the project delivers a prior step toward one: a demonstration that the surrounding literature has measurable structure in the attention dimension. It does not deliver the rungs, the thresholds, or the mapping from orbital acts to escalation levels</w:t>
      </w:r>
      <w:r>
        <w:t xml:space="preserve"> </w:t>
      </w:r>
      <w:hyperlink w:anchor="ref-2">
        <w:r>
          <w:rPr>
            <w:rStyle w:val="Hyperlink"/>
          </w:rPr>
          <w:t xml:space="preserve">[2]</w:t>
        </w:r>
      </w:hyperlink>
      <w:r>
        <w:t xml:space="preserve"> </w:t>
      </w:r>
      <w:hyperlink w:anchor="ref-11">
        <w:r>
          <w:rPr>
            <w:rStyle w:val="Hyperlink"/>
          </w:rPr>
          <w:t xml:space="preserve">[11]</w:t>
        </w:r>
      </w:hyperlink>
      <w:r>
        <w:t xml:space="preserve">. That construction requires reading the records for content, which this design deliberately does not do.</w:t>
      </w:r>
    </w:p>
    <w:p>
      <w:pPr>
        <w:pStyle w:val="BodyText"/>
        <w:spacing w:line="480" w:lineRule="auto"/>
        <w:ind w:firstLine="720"/>
      </w:pPr>
      <w:r>
        <w:t xml:space="preserve">The data cannot distinguish a true null from an underpowered one. When the recency coefficient comes back insignificant, the dissertation cannot tell whether recency truly carries no signal or whether thirty records were simply too few to detect a real effect</w:t>
      </w:r>
      <w:r>
        <w:t xml:space="preserve"> </w:t>
      </w:r>
      <w:hyperlink w:anchor="ref-3">
        <w:r>
          <w:rPr>
            <w:rStyle w:val="Hyperlink"/>
          </w:rPr>
          <w:t xml:space="preserve">[3]</w:t>
        </w:r>
      </w:hyperlink>
      <w:r>
        <w:t xml:space="preserve">. This is the permanent ambiguity of a small-sample null, and the honest report is to hold both possibilities open rather than to declare the effect absent.</w:t>
      </w:r>
    </w:p>
    <w:bookmarkEnd w:id="136"/>
    <w:bookmarkStart w:id="137" w:name="Xde929cf7a05bf3080932bf309083586338706f6"/>
    <w:p>
      <w:pPr>
        <w:pStyle w:val="Heading2"/>
        <w:spacing w:line="480" w:lineRule="auto"/>
      </w:pPr>
      <w:r>
        <w:t xml:space="preserve">Reading the contribution in light of the limits</w:t>
      </w:r>
    </w:p>
    <w:p>
      <w:pPr>
        <w:pStyle w:val="FirstParagraph"/>
        <w:spacing w:line="480" w:lineRule="auto"/>
      </w:pPr>
      <w:r>
        <w:t xml:space="preserve">None of these limits is concealed, and taken together they define the contribution’s shape rather than dissolve it. The dissertation has shown, reproducibly, that the counterspace-escalation topic has structure in the retrieved corpus, concentrated in citation attention, absent in recency, and hinted at in venue family</w:t>
      </w:r>
      <w:r>
        <w:t xml:space="preserve"> </w:t>
      </w:r>
      <w:hyperlink w:anchor="ref-4">
        <w:r>
          <w:rPr>
            <w:rStyle w:val="Hyperlink"/>
          </w:rPr>
          <w:t xml:space="preserve">[4]</w:t>
        </w:r>
      </w:hyperlink>
      <w:r>
        <w:t xml:space="preserve"> </w:t>
      </w:r>
      <w:hyperlink w:anchor="ref-6">
        <w:r>
          <w:rPr>
            <w:rStyle w:val="Hyperlink"/>
          </w:rPr>
          <w:t xml:space="preserve">[6]</w:t>
        </w:r>
      </w:hyperlink>
      <w:r>
        <w:t xml:space="preserve">. It has shown this with an audit trail that lets any reader check every step, and it has resisted at each turn the temptation to convert a screening result into a policy claim. That combination, a real finding plus a complete account of what the finding cannot bear, is what a design-stage dissertation is supposed to produce. The value lies not in the size of the coefficients but in the trustworthiness of the chain that produced them, and it is that chain the concluding chapter hands forward to the study that should come next</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bookmarkEnd w:id="137"/>
    <w:bookmarkStart w:id="138" w:name="X25f3f631f8b43531ec4e1cd1b1171c171129f86"/>
    <w:p>
      <w:pPr>
        <w:pStyle w:val="Heading2"/>
        <w:spacing w:line="480" w:lineRule="auto"/>
      </w:pPr>
      <w:r>
        <w:t xml:space="preserve">Robustness the design can and cannot offer</w:t>
      </w:r>
    </w:p>
    <w:p>
      <w:pPr>
        <w:pStyle w:val="FirstParagraph"/>
        <w:spacing w:line="480" w:lineRule="auto"/>
      </w:pPr>
      <w:r>
        <w:t xml:space="preserve">A reviewer will ask what robustness checks stand behind the two headline results, and candor requires distinguishing the checks the design supports from those it cannot. The design supports one important check by construction: the use of HC1 standard errors, which subjects every coefficient to a variance estimate that does not assume the errors are identically distributed across a corpus that plainly mixes venue cultures</w:t>
      </w:r>
      <w:r>
        <w:t xml:space="preserve"> </w:t>
      </w:r>
      <w:hyperlink w:anchor="ref-5">
        <w:r>
          <w:rPr>
            <w:rStyle w:val="Hyperlink"/>
          </w:rPr>
          <w:t xml:space="preserve">[5]</w:t>
        </w:r>
      </w:hyperlink>
      <w:r>
        <w:t xml:space="preserve">. The significant results survive that conservative treatment, which is a genuine, if limited, form of robustness. A coefficient that clears significance under HC1 has already withstood the most common objection to a naive standard error.</w:t>
      </w:r>
    </w:p>
    <w:p>
      <w:pPr>
        <w:pStyle w:val="BodyText"/>
        <w:spacing w:line="480" w:lineRule="auto"/>
        <w:ind w:firstLine="720"/>
      </w:pPr>
      <w:r>
        <w:t xml:space="preserve">The design cannot offer the robustness checks that a larger sample would make routine. There is no room to hold out a validation subset, no room to re-estimate on venue-family subgroups, and no room to test whether the citation result survives the exclusion of the single high-count record without exhausting the sample’s degrees of freedom</w:t>
      </w:r>
      <w:r>
        <w:t xml:space="preserve"> </w:t>
      </w:r>
      <w:hyperlink w:anchor="ref-3">
        <w:r>
          <w:rPr>
            <w:rStyle w:val="Hyperlink"/>
          </w:rPr>
          <w:t xml:space="preserve">[3]</w:t>
        </w:r>
      </w:hyperlink>
      <w:r>
        <w:t xml:space="preserve"> </w:t>
      </w:r>
      <w:hyperlink w:anchor="ref-9">
        <w:r>
          <w:rPr>
            <w:rStyle w:val="Hyperlink"/>
          </w:rPr>
          <w:t xml:space="preserve">[9]</w:t>
        </w:r>
      </w:hyperlink>
      <w:r>
        <w:t xml:space="preserve">. A reader is entitled to suspect that the borderline venue coefficient and the imprecise recency coefficient would move under such checks, and the dissertation shares that suspicion. What it will not do is run underpowered subgroup analyses and present their noise as confirmation. Declining a check the data cannot support is itself a form of rigor, and it is the form this sample demands.</w:t>
      </w:r>
    </w:p>
    <w:bookmarkEnd w:id="138"/>
    <w:bookmarkStart w:id="139" w:name="the-influential-record-problem-in-depth"/>
    <w:p>
      <w:pPr>
        <w:pStyle w:val="Heading2"/>
        <w:spacing w:line="480" w:lineRule="auto"/>
      </w:pPr>
      <w:r>
        <w:t xml:space="preserve">The influential-record problem in depth</w:t>
      </w:r>
    </w:p>
    <w:p>
      <w:pPr>
        <w:pStyle w:val="FirstParagraph"/>
        <w:spacing w:line="480" w:lineRule="auto"/>
      </w:pPr>
      <w:r>
        <w:t xml:space="preserve">The single high-signal record, an analysis framing space situational awareness as alliance burden-sharing, deserves a closer look because it sits at the intersection of two limitations</w:t>
      </w:r>
      <w:r>
        <w:t xml:space="preserve"> </w:t>
      </w:r>
      <w:hyperlink w:anchor="ref-7">
        <w:r>
          <w:rPr>
            <w:rStyle w:val="Hyperlink"/>
          </w:rPr>
          <w:t xml:space="preserve">[7]</w:t>
        </w:r>
      </w:hyperlink>
      <w:r>
        <w:t xml:space="preserve">. It is both the corpus’s most extreme signal observation and a member of the conference-security venue family that the venue coefficient implicates. Its presence pulls the venue-one family’s mean signal upward and may be part of what produces the negative venue coefficient at the margin. In a sample of thirty, a single record with this leverage cannot be quarantined without materially changing the estimates, and its influence is therefore a permanent qualifier on the venue finding rather than a problem the dissertation can solve.</w:t>
      </w:r>
    </w:p>
    <w:p>
      <w:pPr>
        <w:pStyle w:val="BodyText"/>
        <w:spacing w:line="480" w:lineRule="auto"/>
        <w:ind w:firstLine="720"/>
      </w:pPr>
      <w:r>
        <w:t xml:space="preserve">This is not a defect peculiar to this corpus; it is the generic condition of small-sample screening, and naming it precisely is more useful than pretending a larger sample was available</w:t>
      </w:r>
      <w:r>
        <w:t xml:space="preserve"> </w:t>
      </w:r>
      <w:hyperlink w:anchor="ref-3">
        <w:r>
          <w:rPr>
            <w:rStyle w:val="Hyperlink"/>
          </w:rPr>
          <w:t xml:space="preserve">[3]</w:t>
        </w:r>
      </w:hyperlink>
      <w:r>
        <w:t xml:space="preserve">. The appropriate response is not to drop the record, which would be its own form of undocumented judgment, but to flag that any conclusion touching venue family rests partly on one observation, and to defer the resolution to a corpus large enough that no single record carries this weight. The concluding chapter’s call for a wider corpus is, in part, a direct response to this record’s outsized influence</w:t>
      </w:r>
      <w:r>
        <w:t xml:space="preserve"> </w:t>
      </w:r>
      <w:hyperlink w:anchor="ref-4">
        <w:r>
          <w:rPr>
            <w:rStyle w:val="Hyperlink"/>
          </w:rPr>
          <w:t xml:space="preserve">[4]</w:t>
        </w:r>
      </w:hyperlink>
      <w:r>
        <w:t xml:space="preserve">.</w:t>
      </w:r>
    </w:p>
    <w:bookmarkEnd w:id="139"/>
    <w:bookmarkStart w:id="140" w:name="X4a418759012306532cf4204ccf688b6380a75a8"/>
    <w:p>
      <w:pPr>
        <w:pStyle w:val="Heading2"/>
        <w:spacing w:line="480" w:lineRule="auto"/>
      </w:pPr>
      <w:r>
        <w:t xml:space="preserve">What decision-makers should and should not take from this</w:t>
      </w:r>
    </w:p>
    <w:p>
      <w:pPr>
        <w:pStyle w:val="FirstParagraph"/>
        <w:spacing w:line="480" w:lineRule="auto"/>
      </w:pPr>
      <w:r>
        <w:t xml:space="preserve">Because the topic touches space security, there is a real risk that a reader in a decision role over-reads the results, and the discussion would be incomplete without addressing that risk head-on. A decision-maker may reasonably take from this dissertation that the counterspace-escalation conversation, as captured in this record, is organized around citation attention and is concentrated in the security-and-surveillance conference community</w:t>
      </w:r>
      <w:r>
        <w:t xml:space="preserve"> </w:t>
      </w:r>
      <w:hyperlink w:anchor="ref-2">
        <w:r>
          <w:rPr>
            <w:rStyle w:val="Hyperlink"/>
          </w:rPr>
          <w:t xml:space="preserve">[2]</w:t>
        </w:r>
      </w:hyperlink>
      <w:r>
        <w:t xml:space="preserve"> </w:t>
      </w:r>
      <w:hyperlink w:anchor="ref-8">
        <w:r>
          <w:rPr>
            <w:rStyle w:val="Hyperlink"/>
          </w:rPr>
          <w:t xml:space="preserve">[8]</w:t>
        </w:r>
      </w:hyperlink>
      <w:r>
        <w:t xml:space="preserve">. That is a defensible, checkable inference about where the field’s early energy sits. A decision-maker may not take from this dissertation any claim about how likely escalation is, which capabilities are stabilizing, or how a given adversary would read a given orbital act</w:t>
      </w:r>
      <w:r>
        <w:t xml:space="preserve"> </w:t>
      </w:r>
      <w:hyperlink w:anchor="ref-1">
        <w:r>
          <w:rPr>
            <w:rStyle w:val="Hyperlink"/>
          </w:rPr>
          <w:t xml:space="preserve">[1]</w:t>
        </w:r>
      </w:hyperlink>
      <w:r>
        <w:t xml:space="preserve"> </w:t>
      </w:r>
      <w:hyperlink w:anchor="ref-12">
        <w:r>
          <w:rPr>
            <w:rStyle w:val="Hyperlink"/>
          </w:rPr>
          <w:t xml:space="preserve">[12]</w:t>
        </w:r>
      </w:hyperlink>
      <w:r>
        <w:t xml:space="preserve">. Those inferences the data cannot support at any confidence, and presenting the screen’s results as if they touched them would be a misuse the dissertation explicitly disclaims. The boundary between the two kinds of inference is the single most important thing a reader in a decision role should carry away</w:t>
      </w:r>
      <w:r>
        <w:t xml:space="preserve"> </w:t>
      </w:r>
      <w:hyperlink w:anchor="ref-6">
        <w:r>
          <w:rPr>
            <w:rStyle w:val="Hyperlink"/>
          </w:rPr>
          <w:t xml:space="preserve">[6]</w:t>
        </w:r>
      </w:hyperlink>
      <w:r>
        <w:t xml:space="preserve">.</w:t>
      </w:r>
    </w:p>
    <w:bookmarkEnd w:id="140"/>
    <w:bookmarkStart w:id="141" w:name="Xb366389ba07871173df094ac9c6e058e6169765"/>
    <w:p>
      <w:pPr>
        <w:pStyle w:val="Heading2"/>
        <w:spacing w:line="480" w:lineRule="auto"/>
      </w:pPr>
      <w:r>
        <w:t xml:space="preserve">The recency null and the temptation to explain it away</w:t>
      </w:r>
    </w:p>
    <w:p>
      <w:pPr>
        <w:pStyle w:val="FirstParagraph"/>
        <w:spacing w:line="480" w:lineRule="auto"/>
      </w:pPr>
      <w:r>
        <w:t xml:space="preserve">The recency null invites a particular kind of motivated reasoning that the discussion should confront rather than indulge. Faced with an insignificant recency coefficient whose sign nonetheless points the theory’s way, an author invested in the emergence story could construct a plausible-sounding account of why the true effect is real but merely hidden by the small sample, and could then proceed as though the effect had been found. This is exactly the move the dissertation refuses</w:t>
      </w:r>
      <w:r>
        <w:t xml:space="preserve"> </w:t>
      </w:r>
      <w:hyperlink w:anchor="ref-10">
        <w:r>
          <w:rPr>
            <w:rStyle w:val="Hyperlink"/>
          </w:rPr>
          <w:t xml:space="preserve">[10]</w:t>
        </w:r>
      </w:hyperlink>
      <w:r>
        <w:t xml:space="preserve">. The sign is reported, the imprecision is reported, and the two are held together without allowing the suggestive sign to be quietly promoted into a claim.</w:t>
      </w:r>
    </w:p>
    <w:p>
      <w:pPr>
        <w:pStyle w:val="BodyText"/>
        <w:spacing w:line="480" w:lineRule="auto"/>
        <w:ind w:firstLine="720"/>
      </w:pPr>
      <w:r>
        <w:t xml:space="preserve">There is a principled reason for the refusal beyond mere caution. The collinearity between recency and venue family means that some of what recency would explain is being absorbed by venue, so the recency null is partly a consequence of the model’s own structure rather than a clean statement that recency does not matter</w:t>
      </w:r>
      <w:r>
        <w:t xml:space="preserve"> </w:t>
      </w:r>
      <w:hyperlink w:anchor="ref-7">
        <w:r>
          <w:rPr>
            <w:rStyle w:val="Hyperlink"/>
          </w:rPr>
          <w:t xml:space="preserve">[7]</w:t>
        </w:r>
      </w:hyperlink>
      <w:r>
        <w:t xml:space="preserve">. An author could spin that fact either way: as evidence that recency really does matter once venue is disentangled, or as evidence that recency never mattered independently at all. The data cannot adjudicate between those readings, and the honest posture is to say so and to let a larger, less collinear corpus settle it. Refusing to adjudicate an ambiguity the data cannot resolve is not indecision; it is the correct report of a genuine limit</w:t>
      </w:r>
      <w:r>
        <w:t xml:space="preserve"> </w:t>
      </w:r>
      <w:hyperlink w:anchor="ref-3">
        <w:r>
          <w:rPr>
            <w:rStyle w:val="Hyperlink"/>
          </w:rPr>
          <w:t xml:space="preserve">[3]</w:t>
        </w:r>
      </w:hyperlink>
      <w:r>
        <w:t xml:space="preserve">.</w:t>
      </w:r>
    </w:p>
    <w:bookmarkEnd w:id="141"/>
    <w:bookmarkStart w:id="142" w:name="what-a-null-result-contributes"/>
    <w:p>
      <w:pPr>
        <w:pStyle w:val="Heading2"/>
        <w:spacing w:line="480" w:lineRule="auto"/>
      </w:pPr>
      <w:r>
        <w:t xml:space="preserve">What a null result contributes</w:t>
      </w:r>
    </w:p>
    <w:p>
      <w:pPr>
        <w:pStyle w:val="FirstParagraph"/>
        <w:spacing w:line="480" w:lineRule="auto"/>
      </w:pPr>
      <w:r>
        <w:t xml:space="preserve">There is a tendency in applied work to treat a null as a disappointment, a failed search for an effect. The dissertation resists that framing, because in a screening context a null is informative in its own right. The recency null tells the field that the comfortable assumption, that a topic’s mere newness marks its rising importance, does not hold in this record once attention and venue are controlled</w:t>
      </w:r>
      <w:r>
        <w:t xml:space="preserve"> </w:t>
      </w:r>
      <w:hyperlink w:anchor="ref-10">
        <w:r>
          <w:rPr>
            <w:rStyle w:val="Hyperlink"/>
          </w:rPr>
          <w:t xml:space="preserve">[10]</w:t>
        </w:r>
      </w:hyperlink>
      <w:r>
        <w:t xml:space="preserve">. That is a finding a decision-maker can use: it warns against reading recency alone as a salience signal, and it redirects attention toward the citation dimension where the corpus actually carries structure</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p>
      <w:pPr>
        <w:pStyle w:val="BodyText"/>
        <w:spacing w:line="480" w:lineRule="auto"/>
        <w:ind w:firstLine="720"/>
      </w:pPr>
      <w:r>
        <w:t xml:space="preserve">A null also disciplines the design of the successor study. Knowing that recency does not separate cleanly from venue in a corpus of this composition tells the next researcher to assemble a corpus in which the two are less entangled, perhaps by sampling venue families more evenly across years</w:t>
      </w:r>
      <w:r>
        <w:t xml:space="preserve"> </w:t>
      </w:r>
      <w:hyperlink w:anchor="ref-7">
        <w:r>
          <w:rPr>
            <w:rStyle w:val="Hyperlink"/>
          </w:rPr>
          <w:t xml:space="preserve">[7]</w:t>
        </w:r>
      </w:hyperlink>
      <w:r>
        <w:t xml:space="preserve">. The null is thus not a dead end but a specification: it tells the field what the current data cannot show and, by implication, what a better-designed dataset would need to look like to show it. Reported this way, the null earns its place in the results rather than sitting as an apology, and it does part of the work of pointing toward the study the concluding chapter recommends</w:t>
      </w:r>
      <w:r>
        <w:t xml:space="preserve"> </w:t>
      </w:r>
      <w:hyperlink w:anchor="ref-4">
        <w:r>
          <w:rPr>
            <w:rStyle w:val="Hyperlink"/>
          </w:rPr>
          <w:t xml:space="preserve">[4]</w:t>
        </w:r>
      </w:hyperlink>
      <w:r>
        <w:t xml:space="preserve">.</w:t>
      </w:r>
    </w:p>
    <w:bookmarkEnd w:id="142"/>
    <w:bookmarkStart w:id="143" w:name="X1dc08834f45b6ddb67ddb10858a1098e68277bc"/>
    <w:p>
      <w:pPr>
        <w:pStyle w:val="Heading2"/>
        <w:spacing w:line="480" w:lineRule="auto"/>
      </w:pPr>
      <w:r>
        <w:t xml:space="preserve">Weighing the surprising sign one last time</w:t>
      </w:r>
    </w:p>
    <w:p>
      <w:pPr>
        <w:pStyle w:val="FirstParagraph"/>
        <w:spacing w:line="480" w:lineRule="auto"/>
      </w:pPr>
      <w:r>
        <w:t xml:space="preserve">The negative age elasticity is the result most likely to be misremembered, so the discussion returns to it once more to fix its correct reading. It is precise, it is real within the corpus, and it means, as a bare description, that older records here carry less logged attention than newer ones</w:t>
      </w:r>
      <w:r>
        <w:t xml:space="preserve"> </w:t>
      </w:r>
      <w:hyperlink w:anchor="ref-6">
        <w:r>
          <w:rPr>
            <w:rStyle w:val="Hyperlink"/>
          </w:rPr>
          <w:t xml:space="preserve">[6]</w:t>
        </w:r>
      </w:hyperlink>
      <w:r>
        <w:t xml:space="preserve">. The error to avoid is the inference that attention decays with age in the counterspace literature at large. The correct inference is narrower and entirely about measurement: the local index scores recent journal records and floors older conference records at zero, so age is tracking venue-and-index composition rather than a temporal law</w:t>
      </w:r>
      <w:r>
        <w:t xml:space="preserve"> </w:t>
      </w:r>
      <w:hyperlink w:anchor="ref-5">
        <w:r>
          <w:rPr>
            <w:rStyle w:val="Hyperlink"/>
          </w:rPr>
          <w:t xml:space="preserve">[5]</w:t>
        </w:r>
      </w:hyperlink>
      <w:r>
        <w:t xml:space="preserve"> </w:t>
      </w:r>
      <w:hyperlink w:anchor="ref-9">
        <w:r>
          <w:rPr>
            <w:rStyle w:val="Hyperlink"/>
          </w:rPr>
          <w:t xml:space="preserve">[9]</w:t>
        </w:r>
      </w:hyperlink>
      <w:r>
        <w:t xml:space="preserve">. A reader who carries away the bare description without the composition caveat will carry away something false, which is why the discussion states the caveat every time the elasticity appears. The precision of a coefficient is never a license to forget what the variable behind it actually measures, and this coefficient is the clearest case in the dissertation of that standing rule</w:t>
      </w:r>
      <w:r>
        <w:t xml:space="preserve"> </w:t>
      </w:r>
      <w:hyperlink w:anchor="ref-2">
        <w:r>
          <w:rPr>
            <w:rStyle w:val="Hyperlink"/>
          </w:rPr>
          <w:t xml:space="preserve">[2]</w:t>
        </w:r>
      </w:hyperlink>
      <w:r>
        <w:t xml:space="preserve">.</w:t>
      </w:r>
    </w:p>
    <w:bookmarkEnd w:id="143"/>
    <w:bookmarkStart w:id="144" w:name="the-discussions-balance-sheet"/>
    <w:p>
      <w:pPr>
        <w:pStyle w:val="Heading2"/>
        <w:spacing w:line="480" w:lineRule="auto"/>
      </w:pPr>
      <w:r>
        <w:t xml:space="preserve">The discussion’s balance sheet</w:t>
      </w:r>
    </w:p>
    <w:p>
      <w:pPr>
        <w:pStyle w:val="FirstParagraph"/>
        <w:spacing w:line="480" w:lineRule="auto"/>
      </w:pPr>
      <w:r>
        <w:t xml:space="preserve">Taken together, the threats, the limits, and the two headline coefficients form a balance sheet the reader can total. On the asset side sits a precise citation result, a reproducible chain from source to number, a conservative variance treatment that the significant coefficients survived, and a pair of nulls and near-nulls reported without spin</w:t>
      </w:r>
      <w:r>
        <w:t xml:space="preserve"> </w:t>
      </w:r>
      <w:hyperlink w:anchor="ref-1">
        <w:r>
          <w:rPr>
            <w:rStyle w:val="Hyperlink"/>
          </w:rPr>
          <w:t xml:space="preserve">[1]</w:t>
        </w:r>
      </w:hyperlink>
      <w:r>
        <w:t xml:space="preserve"> </w:t>
      </w:r>
      <w:hyperlink w:anchor="ref-4">
        <w:r>
          <w:rPr>
            <w:rStyle w:val="Hyperlink"/>
          </w:rPr>
          <w:t xml:space="preserve">[4]</w:t>
        </w:r>
      </w:hyperlink>
      <w:r>
        <w:t xml:space="preserve">. On the liability side sits a sample of thirty, a local citation index that reversed a sign, a term-hit outcome that cannot weigh substance, a coarse venue code, and a single record whose leverage no small sample can absorb</w:t>
      </w:r>
      <w:r>
        <w:t xml:space="preserve"> </w:t>
      </w:r>
      <w:hyperlink w:anchor="ref-5">
        <w:r>
          <w:rPr>
            <w:rStyle w:val="Hyperlink"/>
          </w:rPr>
          <w:t xml:space="preserve">[5]</w:t>
        </w:r>
      </w:hyperlink>
      <w:r>
        <w:t xml:space="preserve"> </w:t>
      </w:r>
      <w:hyperlink w:anchor="ref-7">
        <w:r>
          <w:rPr>
            <w:rStyle w:val="Hyperlink"/>
          </w:rPr>
          <w:t xml:space="preserve">[7]</w:t>
        </w:r>
      </w:hyperlink>
      <w:r>
        <w:t xml:space="preserve"> </w:t>
      </w:r>
      <w:hyperlink w:anchor="ref-9">
        <w:r>
          <w:rPr>
            <w:rStyle w:val="Hyperlink"/>
          </w:rPr>
          <w:t xml:space="preserve">[9]</w:t>
        </w:r>
      </w:hyperlink>
      <w:r>
        <w:t xml:space="preserve">. The dissertation does not net these to a single verdict, because a screen is not a verdict. It presents both columns so a reader can decide how much to lend the findings, and it insists only that the lending be done with both columns in view. That insistence, that no strength be cited without its matching limit, is the discipline the discussion exists to enforce, and it is what lets the concluding chapter hand the work forward as a foundation rather than a finished claim</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bookmarkEnd w:id="144"/>
    <w:bookmarkEnd w:id="145"/>
    <w:bookmarkStart w:id="184" w:name="conclusions-and-implications"/>
    <w:p>
      <w:pPr>
        <w:pStyle w:val="Heading1"/>
        <w:spacing w:line="480" w:lineRule="auto"/>
      </w:pPr>
      <w:r>
        <w:t xml:space="preserve">Conclusions and Implications</w:t>
      </w:r>
    </w:p>
    <w:p>
      <w:pPr>
        <w:pStyle w:val="FirstParagraph"/>
        <w:spacing w:line="480" w:lineRule="auto"/>
      </w:pPr>
      <w:r>
        <w:t xml:space="preserve">The project set out to do one thing. This dissertation aimed to convert a broad policy intuition into a single falsifiable test, and it did. The chapters have moved from an emergence mechanism, through two estimators, to a dataset of thirty records, to results reported coefficient by coefficient and interpreted at the size the numbers permit. This closing chapter states the contribution plainly, connects it to the governance and program work it might eventually inform, and specifies the study that should follow.</w:t>
      </w:r>
    </w:p>
    <w:bookmarkStart w:id="146" w:name="the-contribution-stated-once-more"/>
    <w:p>
      <w:pPr>
        <w:pStyle w:val="Heading2"/>
        <w:spacing w:line="480" w:lineRule="auto"/>
      </w:pPr>
      <w:r>
        <w:t xml:space="preserve">The contribution, stated once more</w:t>
      </w:r>
    </w:p>
    <w:p>
      <w:pPr>
        <w:pStyle w:val="FirstParagraph"/>
        <w:spacing w:line="480" w:lineRule="auto"/>
      </w:pPr>
      <w:r>
        <w:t xml:space="preserve">The contribution is a reproducible screen. Nothing grander. It takes a corpus assembled from three usually separate conversations, technical surveillance, security and deterrence, and space governance, and it asks whether the candidate topic of counterspace escalation is structured within that corpus by recency, citation attention, and venue family</w:t>
      </w:r>
      <w:r>
        <w:t xml:space="preserve"> </w:t>
      </w:r>
      <w:hyperlink w:anchor="ref-3">
        <w:r>
          <w:rPr>
            <w:rStyle w:val="Hyperlink"/>
          </w:rPr>
          <w:t xml:space="preserve">[3]</w:t>
        </w:r>
      </w:hyperlink>
      <w:r>
        <w:t xml:space="preserve"> </w:t>
      </w:r>
      <w:hyperlink w:anchor="ref-8">
        <w:r>
          <w:rPr>
            <w:rStyle w:val="Hyperlink"/>
          </w:rPr>
          <w:t xml:space="preserve">[8]</w:t>
        </w:r>
      </w:hyperlink>
      <w:r>
        <w:t xml:space="preserve">. The answer, delivered by two independent workbooks, is that the topic is structured, but along a narrower axis than the emergence story assumed.</w:t>
      </w:r>
    </w:p>
    <w:p>
      <w:pPr>
        <w:pStyle w:val="BodyText"/>
        <w:spacing w:line="480" w:lineRule="auto"/>
        <w:ind w:firstLine="720"/>
      </w:pPr>
      <w:r>
        <w:t xml:space="preserve">Citation attention is where the corpus is legible. The first paper’s ordinary least squares model returned a citation coefficient of 0.1308 with a p-value of 0.001, its sharpest and most trustworthy estimate, showing that records carrying more reported attention also carry more topic signal</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second paper’s learning-curve model returned an age elasticity of -0.2851 with a p-value of 0.0245, a precise result whose surprising sign the dissertation traced to the composition of a local citation index rather than to any genuine decay of attention with age</w:t>
      </w:r>
      <w:r>
        <w:t xml:space="preserve"> </w:t>
      </w:r>
      <w:hyperlink w:anchor="ref-5">
        <w:r>
          <w:rPr>
            <w:rStyle w:val="Hyperlink"/>
          </w:rPr>
          <w:t xml:space="preserve">[5]</w:t>
        </w:r>
      </w:hyperlink>
      <w:r>
        <w:t xml:space="preserve"> </w:t>
      </w:r>
      <w:hyperlink w:anchor="ref-6">
        <w:r>
          <w:rPr>
            <w:rStyle w:val="Hyperlink"/>
          </w:rPr>
          <w:t xml:space="preserve">[6]</w:t>
        </w:r>
      </w:hyperlink>
      <w:r>
        <w:t xml:space="preserve">. Both models rejected their null of no relationship. Neither model vindicated the strong claim that a rising topic simply grows more prominent in newer, more-cited records, because recency came back insignificant and venue sat at the very boundary of significance.</w:t>
      </w:r>
    </w:p>
    <w:p>
      <w:pPr>
        <w:pStyle w:val="BodyText"/>
        <w:spacing w:line="480" w:lineRule="auto"/>
        <w:ind w:firstLine="720"/>
      </w:pPr>
      <w:r>
        <w:t xml:space="preserve">That split verdict is the finding, and its honesty is the point. A design-stage dissertation earns its standing by making its evidentiary chain fully inspectable, and this one did: every coefficient traces to a workbook, every variable to a deterministic definition, every record to a source</w:t>
      </w:r>
      <w:r>
        <w:t xml:space="preserve"> </w:t>
      </w:r>
      <w:hyperlink w:anchor="ref-4">
        <w:r>
          <w:rPr>
            <w:rStyle w:val="Hyperlink"/>
          </w:rPr>
          <w:t xml:space="preserve">[4]</w:t>
        </w:r>
      </w:hyperlink>
      <w:r>
        <w:t xml:space="preserve">. The reader is never asked to trust the author over the numbers. Where the numbers were strong the dissertation said so, and where they were weak it said that too, without dressing weakness as nuance.</w:t>
      </w:r>
    </w:p>
    <w:bookmarkEnd w:id="146"/>
    <w:bookmarkStart w:id="147" w:name="governance-and-program-relevance"/>
    <w:p>
      <w:pPr>
        <w:pStyle w:val="Heading2"/>
        <w:spacing w:line="480" w:lineRule="auto"/>
      </w:pPr>
      <w:r>
        <w:t xml:space="preserve">Governance and program relevance</w:t>
      </w:r>
    </w:p>
    <w:p>
      <w:pPr>
        <w:pStyle w:val="FirstParagraph"/>
        <w:spacing w:line="480" w:lineRule="auto"/>
      </w:pPr>
      <w:r>
        <w:t xml:space="preserve">A screen this modest does not set policy, but it can discipline the conversations that do, and the relevance runs in three directions.</w:t>
      </w:r>
    </w:p>
    <w:p>
      <w:pPr>
        <w:pStyle w:val="BodyText"/>
        <w:spacing w:line="480" w:lineRule="auto"/>
        <w:ind w:firstLine="720"/>
      </w:pPr>
      <w:r>
        <w:t xml:space="preserve">One concerns where governance attention should concentrate. The result that the security-and-surveillance conference literature appears to foreground counterspace escalation more heavily than the journal and space-economy venues, even if only at the boundary of significance, suggests that the early institutional energy on this topic is gathering in a specific community</w:t>
      </w:r>
      <w:r>
        <w:t xml:space="preserve"> </w:t>
      </w:r>
      <w:hyperlink w:anchor="ref-7">
        <w:r>
          <w:rPr>
            <w:rStyle w:val="Hyperlink"/>
          </w:rPr>
          <w:t xml:space="preserve">[7]</w:t>
        </w:r>
      </w:hyperlink>
      <w:r>
        <w:t xml:space="preserve"> </w:t>
      </w:r>
      <w:hyperlink w:anchor="ref-8">
        <w:r>
          <w:rPr>
            <w:rStyle w:val="Hyperlink"/>
          </w:rPr>
          <w:t xml:space="preserve">[8]</w:t>
        </w:r>
      </w:hyperlink>
      <w:r>
        <w:t xml:space="preserve">. Governance bodies looking for the leading edge of the escalation conversation have a data-supported hint about which venue family to watch, rather than an impression. That hint is small, but it is checkable, which is more than the field’s usual mode of asserting salience can offer.</w:t>
      </w:r>
    </w:p>
    <w:p>
      <w:pPr>
        <w:pStyle w:val="BodyText"/>
        <w:spacing w:line="480" w:lineRule="auto"/>
        <w:ind w:firstLine="720"/>
      </w:pPr>
      <w:r>
        <w:t xml:space="preserve">A second concerns the design of evidence for space-security decision-making. The methods here, deterministic variable construction, an auditable source column on every row, robust standard errors, and explicit reporting of what a coefficient cannot bear, are a template for how program offices and analytic shops might screen any emerging space-security concern before committing to a heavier study</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value is not the particular coefficients but the discipline: a way to ask, cheaply and reproducibly, whether an intuition about a rising threat has any documentary footprint at all. In a domain where decisions must often be made before perfect evidence exists, a transparent screen that marks the boundary between the known and the unknown is a governance instrument in its own right</w:t>
      </w:r>
      <w:r>
        <w:t xml:space="preserve"> </w:t>
      </w:r>
      <w:hyperlink w:anchor="ref-12">
        <w:r>
          <w:rPr>
            <w:rStyle w:val="Hyperlink"/>
          </w:rPr>
          <w:t xml:space="preserve">[12]</w:t>
        </w:r>
      </w:hyperlink>
      <w:r>
        <w:t xml:space="preserve">.</w:t>
      </w:r>
    </w:p>
    <w:p>
      <w:pPr>
        <w:pStyle w:val="BodyText"/>
        <w:spacing w:line="480" w:lineRule="auto"/>
        <w:ind w:firstLine="720"/>
      </w:pPr>
      <w:r>
        <w:t xml:space="preserve">A third concerns the escalation ladder as a shared vocabulary. The physical environment on orbit is tightening, and events like the Cosmos 1408 fragmentation compress the time available to distinguish accident from attack</w:t>
      </w:r>
      <w:r>
        <w:t xml:space="preserve"> </w:t>
      </w:r>
      <w:hyperlink w:anchor="ref-1">
        <w:r>
          <w:rPr>
            <w:rStyle w:val="Hyperlink"/>
          </w:rPr>
          <w:t xml:space="preserve">[1]</w:t>
        </w:r>
      </w:hyperlink>
      <w:r>
        <w:t xml:space="preserve"> </w:t>
      </w:r>
      <w:hyperlink w:anchor="ref-9">
        <w:r>
          <w:rPr>
            <w:rStyle w:val="Hyperlink"/>
          </w:rPr>
          <w:t xml:space="preserve">[9]</w:t>
        </w:r>
      </w:hyperlink>
      <w:r>
        <w:t xml:space="preserve">. A well-built escalation ladder is a way for wary parties to agree in advance on what each rung means, and building one well requires knowing where the field’s attention actually sits. This dissertation contributes one verified input to that construction: the demonstration that, in the retrieved record, the topic’s measurable structure lives in attention rather than in the passage of time. That is a foundation stone, not the building, and it is offered in that spirit.</w:t>
      </w:r>
    </w:p>
    <w:bookmarkEnd w:id="147"/>
    <w:bookmarkStart w:id="148" w:name="future-work"/>
    <w:p>
      <w:pPr>
        <w:pStyle w:val="Heading2"/>
        <w:spacing w:line="480" w:lineRule="auto"/>
      </w:pPr>
      <w:r>
        <w:t xml:space="preserve">Future work</w:t>
      </w:r>
    </w:p>
    <w:p>
      <w:pPr>
        <w:pStyle w:val="FirstParagraph"/>
        <w:spacing w:line="480" w:lineRule="auto"/>
      </w:pPr>
      <w:r>
        <w:t xml:space="preserve">The dissertation ends by handing forward a specific, scoped agenda, because a screen’s honest conclusion is a pointer to the study it cannot itself be.</w:t>
      </w:r>
    </w:p>
    <w:p>
      <w:pPr>
        <w:pStyle w:val="BodyText"/>
        <w:spacing w:line="480" w:lineRule="auto"/>
        <w:ind w:firstLine="720"/>
      </w:pPr>
      <w:r>
        <w:t xml:space="preserve">Most important is a document-coding study. The topic-signal score counts term hits and cannot tell substantive engagement from passing mention, so the natural successor reads the records for content and codes them for the actual rungs of an escalation ladder: what act, at what level, read by whom, with what expected response</w:t>
      </w:r>
      <w:r>
        <w:t xml:space="preserve"> </w:t>
      </w:r>
      <w:hyperlink w:anchor="ref-2">
        <w:r>
          <w:rPr>
            <w:rStyle w:val="Hyperlink"/>
          </w:rPr>
          <w:t xml:space="preserve">[2]</w:t>
        </w:r>
      </w:hyperlink>
      <w:r>
        <w:t xml:space="preserve"> </w:t>
      </w:r>
      <w:hyperlink w:anchor="ref-11">
        <w:r>
          <w:rPr>
            <w:rStyle w:val="Hyperlink"/>
          </w:rPr>
          <w:t xml:space="preserve">[11]</w:t>
        </w:r>
      </w:hyperlink>
      <w:r>
        <w:t xml:space="preserve">. Such a study would convert the structure this screen located into the ladder the title promised. It should be built on a larger corpus than thirty records, retrieved through multiple indices to blunt the local-index bias that reversed the age elasticity here</w:t>
      </w:r>
      <w:r>
        <w:t xml:space="preserve"> </w:t>
      </w:r>
      <w:hyperlink w:anchor="ref-5">
        <w:r>
          <w:rPr>
            <w:rStyle w:val="Hyperlink"/>
          </w:rPr>
          <w:t xml:space="preserve">[5]</w:t>
        </w:r>
      </w:hyperlink>
      <w:r>
        <w:t xml:space="preserve">.</w:t>
      </w:r>
    </w:p>
    <w:p>
      <w:pPr>
        <w:pStyle w:val="BodyText"/>
        <w:spacing w:line="480" w:lineRule="auto"/>
        <w:ind w:firstLine="720"/>
      </w:pPr>
      <w:r>
        <w:t xml:space="preserve">A second step is to widen and diversify the corpus. Thirty records capped every estimate’s precision and left the venue and recency coefficients unresolved</w:t>
      </w:r>
      <w:r>
        <w:t xml:space="preserve"> </w:t>
      </w:r>
      <w:hyperlink w:anchor="ref-3">
        <w:r>
          <w:rPr>
            <w:rStyle w:val="Hyperlink"/>
          </w:rPr>
          <w:t xml:space="preserve">[3]</w:t>
        </w:r>
      </w:hyperlink>
      <w:r>
        <w:t xml:space="preserve">. A corpus large enough to support subgroup analysis, drawn from several venue families and citation sources, could test whether the citation result is robust and whether the venue hint hardens into a finding</w:t>
      </w:r>
      <w:r>
        <w:t xml:space="preserve"> </w:t>
      </w:r>
      <w:hyperlink w:anchor="ref-7">
        <w:r>
          <w:rPr>
            <w:rStyle w:val="Hyperlink"/>
          </w:rPr>
          <w:t xml:space="preserve">[7]</w:t>
        </w:r>
      </w:hyperlink>
      <w:r>
        <w:t xml:space="preserve">. The elasticity’s sign reversal, in particular, is a hypothesis to be retested against a universal citation database, where the composition effect that produced it would not bind.</w:t>
      </w:r>
    </w:p>
    <w:p>
      <w:pPr>
        <w:pStyle w:val="BodyText"/>
        <w:spacing w:line="480" w:lineRule="auto"/>
        <w:ind w:firstLine="720"/>
      </w:pPr>
      <w:r>
        <w:t xml:space="preserve">A third step is to bring in the substantive strands the screen could only cite: autonomy and escalation control, laser and cyber governance, hybrid threats, and debris-driven strategic instability</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w:t>
      </w:r>
      <w:hyperlink w:anchor="ref-12">
        <w:r>
          <w:rPr>
            <w:rStyle w:val="Hyperlink"/>
          </w:rPr>
          <w:t xml:space="preserve">[12]</w:t>
        </w:r>
      </w:hyperlink>
      <w:r>
        <w:t xml:space="preserve">. Each of these is a candidate rung, and each has its own maturing literature whose structure could be screened in turn and then coded. The method generalizes, and the natural research program is to apply it across the whole family of counterspace concerns rather than to the single composite theme measured here.</w:t>
      </w:r>
    </w:p>
    <w:bookmarkEnd w:id="148"/>
    <w:bookmarkStart w:id="149" w:name="closing"/>
    <w:p>
      <w:pPr>
        <w:pStyle w:val="Heading2"/>
        <w:spacing w:line="480" w:lineRule="auto"/>
      </w:pPr>
      <w:r>
        <w:t xml:space="preserve">Closing</w:t>
      </w:r>
    </w:p>
    <w:p>
      <w:pPr>
        <w:pStyle w:val="FirstParagraph"/>
        <w:spacing w:line="480" w:lineRule="auto"/>
      </w:pPr>
      <w:r>
        <w:t xml:space="preserve">The dissertation asked a bounded question and answered it within its bounds. Is the counterspace-escalation topic structured, in the retrieved corpus, the way an emergent concern should be? Partly. It is structured in attention, precisely and reproducibly; it is not structured in recency; and its venue signal waits at the threshold for more data to decide it</w:t>
      </w:r>
      <w:r>
        <w:t xml:space="preserve"> </w:t>
      </w:r>
      <w:hyperlink w:anchor="ref-1">
        <w:r>
          <w:rPr>
            <w:rStyle w:val="Hyperlink"/>
          </w:rPr>
          <w:t xml:space="preserve">[1]</w:t>
        </w:r>
      </w:hyperlink>
      <w:r>
        <w:t xml:space="preserve"> </w:t>
      </w:r>
      <w:hyperlink w:anchor="ref-4">
        <w:r>
          <w:rPr>
            <w:rStyle w:val="Hyperlink"/>
          </w:rPr>
          <w:t xml:space="preserve">[4]</w:t>
        </w:r>
      </w:hyperlink>
      <w:r>
        <w:t xml:space="preserve">. Those answers are small, but they are earned, and they are handed forward with a full account of what produced them and what they cannot support. A ladder still needs to be built. This work laid one verified rail of the frame, and marked, honestly, where the next hands should take hold</w:t>
      </w:r>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bookmarkEnd w:id="149"/>
    <w:bookmarkStart w:id="150" w:name="a-staged-research-program"/>
    <w:p>
      <w:pPr>
        <w:pStyle w:val="Heading2"/>
        <w:spacing w:line="480" w:lineRule="auto"/>
      </w:pPr>
      <w:r>
        <w:t xml:space="preserve">A staged research program</w:t>
      </w:r>
    </w:p>
    <w:p>
      <w:pPr>
        <w:pStyle w:val="FirstParagraph"/>
        <w:spacing w:line="480" w:lineRule="auto"/>
      </w:pPr>
      <w:r>
        <w:t xml:space="preserve">The future work named above is best understood not as a list but as a staged program, and setting it out that way clarifies how the pieces depend on one another. The first stage is corpus expansion drawn from multiple citation sources, because every subsequent inference depends on escaping the local-index bias that reversed the age elasticity and on gathering enough records that no single observation carries the leverage the burden-sharing record carries here</w:t>
      </w:r>
      <w:r>
        <w:t xml:space="preserve"> </w:t>
      </w:r>
      <w:hyperlink w:anchor="ref-5">
        <w:r>
          <w:rPr>
            <w:rStyle w:val="Hyperlink"/>
          </w:rPr>
          <w:t xml:space="preserve">[5]</w:t>
        </w:r>
      </w:hyperlink>
      <w:r>
        <w:t xml:space="preserve"> </w:t>
      </w:r>
      <w:hyperlink w:anchor="ref-7">
        <w:r>
          <w:rPr>
            <w:rStyle w:val="Hyperlink"/>
          </w:rPr>
          <w:t xml:space="preserve">[7]</w:t>
        </w:r>
      </w:hyperlink>
      <w:r>
        <w:t xml:space="preserve">. Until the corpus is larger and its citation measure is drawn from more than one index, the finer analyses cannot be trusted, so expansion is the foundation on which the rest stands.</w:t>
      </w:r>
    </w:p>
    <w:p>
      <w:pPr>
        <w:pStyle w:val="BodyText"/>
        <w:spacing w:line="480" w:lineRule="auto"/>
        <w:ind w:firstLine="720"/>
      </w:pPr>
      <w:r>
        <w:t xml:space="preserve">A second stage is document coding, which converts the located structure into content. With a larger corpus in hand, researchers can read records for the actual rungs of an escalation sequence, coding what act, at what level, is read by whom, with what expected response</w:t>
      </w:r>
      <w:r>
        <w:t xml:space="preserve"> </w:t>
      </w:r>
      <w:hyperlink w:anchor="ref-2">
        <w:r>
          <w:rPr>
            <w:rStyle w:val="Hyperlink"/>
          </w:rPr>
          <w:t xml:space="preserve">[2]</w:t>
        </w:r>
      </w:hyperlink>
      <w:r>
        <w:t xml:space="preserve"> </w:t>
      </w:r>
      <w:hyperlink w:anchor="ref-11">
        <w:r>
          <w:rPr>
            <w:rStyle w:val="Hyperlink"/>
          </w:rPr>
          <w:t xml:space="preserve">[11]</w:t>
        </w:r>
      </w:hyperlink>
      <w:r>
        <w:t xml:space="preserve">. This is the stage that would begin to build the ladder the title promises, and it is deliberately placed after expansion because coding a corpus too small to be representative would waste the labor the coding demands. The third stage generalizes the method across the family of counterspace concerns, screening autonomy and escalation control, laser and cyber governance, hybrid threats, debris-driven instability, and uncontrolled reentry risk each in turn, then coding those that show structure</w:t>
      </w:r>
      <w:r>
        <w:t xml:space="preserve"> </w:t>
      </w:r>
      <w:hyperlink w:anchor="ref-10">
        <w:r>
          <w:rPr>
            <w:rStyle w:val="Hyperlink"/>
          </w:rPr>
          <w:t xml:space="preserve">[10]</w:t>
        </w:r>
      </w:hyperlink>
      <w:r>
        <w:t xml:space="preserve"> </w:t>
      </w:r>
      <w:hyperlink w:anchor="ref-12">
        <w:r>
          <w:rPr>
            <w:rStyle w:val="Hyperlink"/>
          </w:rPr>
          <w:t xml:space="preserve">[12]</w:t>
        </w:r>
      </w:hyperlink>
      <w:r>
        <w:t xml:space="preserve"> </w:t>
      </w:r>
      <w:hyperlink w:anchor="ref-13">
        <w:r>
          <w:rPr>
            <w:rStyle w:val="Hyperlink"/>
          </w:rPr>
          <w:t xml:space="preserve">[13]</w:t>
        </w:r>
      </w:hyperlink>
      <w:r>
        <w:t xml:space="preserve">. The program is cumulative: each stage earns the right to the next by delivering evidence the next stage can build on.</w:t>
      </w:r>
    </w:p>
    <w:bookmarkEnd w:id="150"/>
    <w:bookmarkStart w:id="151" w:name="the-methods-transferability"/>
    <w:p>
      <w:pPr>
        <w:pStyle w:val="Heading2"/>
        <w:spacing w:line="480" w:lineRule="auto"/>
      </w:pPr>
      <w:r>
        <w:t xml:space="preserve">The method’s transferability</w:t>
      </w:r>
    </w:p>
    <w:p>
      <w:pPr>
        <w:pStyle w:val="FirstParagraph"/>
        <w:spacing w:line="480" w:lineRule="auto"/>
      </w:pPr>
      <w:r>
        <w:t xml:space="preserve">One further implication reaches beyond the counterspace topic entirely. The screen described here is not specific to escalation; it is a general instrument for asking whether any emerging space-security concern has begun to register in the documentary record before the field has agreed on how to govern it</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same deterministic variable construction, the same auditable source column, the same conservative standard errors, and the same discipline of reporting what a coefficient cannot bear could be turned on the governance of in-orbit servicing, on the norms surrounding large constellations, or on the institutional response to reentry risk over populated airspace</w:t>
      </w:r>
      <w:r>
        <w:t xml:space="preserve"> </w:t>
      </w:r>
      <w:hyperlink w:anchor="ref-13">
        <w:r>
          <w:rPr>
            <w:rStyle w:val="Hyperlink"/>
          </w:rPr>
          <w:t xml:space="preserve">[13]</w:t>
        </w:r>
      </w:hyperlink>
      <w:r>
        <w:t xml:space="preserve"> </w:t>
      </w:r>
      <w:hyperlink w:anchor="ref-14">
        <w:r>
          <w:rPr>
            <w:rStyle w:val="Hyperlink"/>
          </w:rPr>
          <w:t xml:space="preserve">[14]</w:t>
        </w:r>
      </w:hyperlink>
      <w:r>
        <w:t xml:space="preserve">. The transferability is the quiet payoff. A single dissertation screens one topic, but the design it validates can screen many, and the value of demonstrating the design cleanly on a hard case is that it becomes available for the easier and the harder cases alike</w:t>
      </w:r>
      <w:r>
        <w:t xml:space="preserve"> </w:t>
      </w:r>
      <w:hyperlink w:anchor="ref-8">
        <w:r>
          <w:rPr>
            <w:rStyle w:val="Hyperlink"/>
          </w:rPr>
          <w:t xml:space="preserve">[8]</w:t>
        </w:r>
      </w:hyperlink>
      <w:r>
        <w:t xml:space="preserve">.</w:t>
      </w:r>
    </w:p>
    <w:bookmarkEnd w:id="151"/>
    <w:bookmarkStart w:id="152" w:name="final-reflection"/>
    <w:p>
      <w:pPr>
        <w:pStyle w:val="Heading2"/>
        <w:spacing w:line="480" w:lineRule="auto"/>
      </w:pPr>
      <w:r>
        <w:t xml:space="preserve">Final reflection</w:t>
      </w:r>
    </w:p>
    <w:p>
      <w:pPr>
        <w:pStyle w:val="FirstParagraph"/>
        <w:spacing w:line="480" w:lineRule="auto"/>
      </w:pPr>
      <w:r>
        <w:t xml:space="preserve">The project began with a gap between the moment a risk becomes real on orbit and the moment an institution names it, and it ends having shown that the gap leaves a measurable trace, at least in the attention dimension, at least in this record</w:t>
      </w:r>
      <w:r>
        <w:t xml:space="preserve"> </w:t>
      </w:r>
      <w:hyperlink w:anchor="ref-1">
        <w:r>
          <w:rPr>
            <w:rStyle w:val="Hyperlink"/>
          </w:rPr>
          <w:t xml:space="preserve">[1]</w:t>
        </w:r>
      </w:hyperlink>
      <w:r>
        <w:t xml:space="preserve"> </w:t>
      </w:r>
      <w:hyperlink w:anchor="ref-6">
        <w:r>
          <w:rPr>
            <w:rStyle w:val="Hyperlink"/>
          </w:rPr>
          <w:t xml:space="preserve">[6]</w:t>
        </w:r>
      </w:hyperlink>
      <w:r>
        <w:t xml:space="preserve">. That is less than a theory of escalation and more than an intuition about salience. It is a verified, reproducible foothold, offered to the field with its limits fully drawn, so that the next study does not have to take the foothold on faith but can stand on it, test it, and climb past it. A dissertation that leaves the field able to check its work and continue it has done the work a design-stage project exists to do</w:t>
      </w:r>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bookmarkEnd w:id="152"/>
    <w:bookmarkStart w:id="153" w:name="X6b611fab34459ce8236e0e138890954859e3d86"/>
    <w:p>
      <w:pPr>
        <w:pStyle w:val="Heading2"/>
        <w:spacing w:line="480" w:lineRule="auto"/>
      </w:pPr>
      <w:r>
        <w:t xml:space="preserve">What the two coefficients teach beyond their signs</w:t>
      </w:r>
    </w:p>
    <w:p>
      <w:pPr>
        <w:pStyle w:val="FirstParagraph"/>
        <w:spacing w:line="480" w:lineRule="auto"/>
      </w:pPr>
      <w:r>
        <w:t xml:space="preserve">Before closing it is worth extracting the general lessons the two headline coefficients carry, because their value to the field outlasts the particular numbers. The citation coefficient teaches that, even in a thin local index, attention and topic salience are measurably linked, which means a cheap bibliometric screen can locate where a field’s engagement concentrates without waiting for a universal citation database</w:t>
      </w:r>
      <w:r>
        <w:t xml:space="preserve"> </w:t>
      </w:r>
      <w:hyperlink w:anchor="ref-1">
        <w:r>
          <w:rPr>
            <w:rStyle w:val="Hyperlink"/>
          </w:rPr>
          <w:t xml:space="preserve">[1]</w:t>
        </w:r>
      </w:hyperlink>
      <w:r>
        <w:t xml:space="preserve"> </w:t>
      </w:r>
      <w:hyperlink w:anchor="ref-2">
        <w:r>
          <w:rPr>
            <w:rStyle w:val="Hyperlink"/>
          </w:rPr>
          <w:t xml:space="preserve">[2]</w:t>
        </w:r>
      </w:hyperlink>
      <w:r>
        <w:t xml:space="preserve">. That lesson generalizes to any emerging space-security topic a program office might want to survey quickly. The age elasticity teaches the complementary lesson: a precise coefficient with a surprising sign is a cue to interrogate the measure, not to announce a discovery, and the discipline of tracing the sign back to index composition is the difference between a true screen and a misleading one</w:t>
      </w:r>
      <w:r>
        <w:t xml:space="preserve"> </w:t>
      </w:r>
      <w:hyperlink w:anchor="ref-5">
        <w:r>
          <w:rPr>
            <w:rStyle w:val="Hyperlink"/>
          </w:rPr>
          <w:t xml:space="preserve">[5]</w:t>
        </w:r>
      </w:hyperlink>
      <w:r>
        <w:t xml:space="preserve"> </w:t>
      </w:r>
      <w:hyperlink w:anchor="ref-6">
        <w:r>
          <w:rPr>
            <w:rStyle w:val="Hyperlink"/>
          </w:rPr>
          <w:t xml:space="preserve">[6]</w:t>
        </w:r>
      </w:hyperlink>
      <w:r>
        <w:t xml:space="preserve">. Together the two coefficients model both halves of responsible screening, the willingness to report a real association and the willingness to distrust a real association that a measurement artifact can explain.</w:t>
      </w:r>
    </w:p>
    <w:bookmarkEnd w:id="153"/>
    <w:bookmarkStart w:id="154" w:name="X96ddf2b93a0c049556b6f516164c5162c3229c1"/>
    <w:p>
      <w:pPr>
        <w:pStyle w:val="Heading2"/>
        <w:spacing w:line="480" w:lineRule="auto"/>
      </w:pPr>
      <w:r>
        <w:t xml:space="preserve">Relevance to the institutions that must act</w:t>
      </w:r>
    </w:p>
    <w:p>
      <w:pPr>
        <w:pStyle w:val="FirstParagraph"/>
        <w:spacing w:line="480" w:lineRule="auto"/>
      </w:pPr>
      <w:r>
        <w:t xml:space="preserve">Institutions that will eventually govern counterspace conduct, whether national security bodies, standards organizations, or international forums, share a common predicament: they must reason and sometimes commit before the evidence is complete</w:t>
      </w:r>
      <w:r>
        <w:t xml:space="preserve"> </w:t>
      </w:r>
      <w:hyperlink w:anchor="ref-8">
        <w:r>
          <w:rPr>
            <w:rStyle w:val="Hyperlink"/>
          </w:rPr>
          <w:t xml:space="preserve">[8]</w:t>
        </w:r>
      </w:hyperlink>
      <w:r>
        <w:t xml:space="preserve"> </w:t>
      </w:r>
      <w:hyperlink w:anchor="ref-12">
        <w:r>
          <w:rPr>
            <w:rStyle w:val="Hyperlink"/>
          </w:rPr>
          <w:t xml:space="preserve">[12]</w:t>
        </w:r>
      </w:hyperlink>
      <w:r>
        <w:t xml:space="preserve">. A screen that marks the boundary between what the record shows and what it does not is a small but genuine aid to that predicament, because it lets an institution distinguish a documented pattern of attention from an undocumented assertion of urgency. The finding that the counterspace-escalation conversation is currently concentrated in the security-and-surveillance conference community, offered as a boundary-marked hint rather than a settled fact, is precisely the kind of input an institution can use to decide where to listen and whom to convene</w:t>
      </w:r>
      <w:r>
        <w:t xml:space="preserve"> </w:t>
      </w:r>
      <w:hyperlink w:anchor="ref-7">
        <w:r>
          <w:rPr>
            <w:rStyle w:val="Hyperlink"/>
          </w:rPr>
          <w:t xml:space="preserve">[7]</w:t>
        </w:r>
      </w:hyperlink>
      <w:r>
        <w:t xml:space="preserve">. The dissertation does not tell any institution what to do. It tells them, reproducibly, one thing about where the field’s early attention sits, and it is scrupulous about not pretending to tell them more.</w:t>
      </w:r>
    </w:p>
    <w:bookmarkEnd w:id="154"/>
    <w:bookmarkStart w:id="155" w:name="X7e236989ca34243f3690e910b20b573f2217687"/>
    <w:p>
      <w:pPr>
        <w:pStyle w:val="Heading2"/>
        <w:spacing w:line="480" w:lineRule="auto"/>
      </w:pPr>
      <w:r>
        <w:t xml:space="preserve">Closing the loop on the falsifiable contribution</w:t>
      </w:r>
    </w:p>
    <w:p>
      <w:pPr>
        <w:pStyle w:val="FirstParagraph"/>
        <w:spacing w:line="480" w:lineRule="auto"/>
      </w:pPr>
      <w:r>
        <w:t xml:space="preserve">The introduction promised a single falsifiable contribution, and the conclusion can now report on the promise. The null of no relationship between the topic signal and recency, attention, and venue was put to two independent tests and rejected in both, because each returned at least one precise coefficient</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rejection is real but partial, carried by attention and unsupported by recency, with venue waiting at the threshold. That partial rejection is exactly the kind of outcome a falsifiable design should be able to produce and report without embarrassment, because a design that could only ever confirm its hypothesis was never falsifiable to begin with. The dissertation set a claim that the data could have refuted, the data refuted part of it and supported part of it, and the honest accounting of which part is which is the contribution in its final form</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project therefore ends as it began, committed to the proposition that a design-stage dissertation earns its standing through the trustworthiness of its chain rather than the reach of its claims. The chain runs unbroken from the sources, through the deterministic variables, through the two estimators, to coefficients reported at full precision and interpreted at the size the numbers permit</w:t>
      </w:r>
      <w:r>
        <w:t xml:space="preserve"> </w:t>
      </w:r>
      <w:hyperlink w:anchor="ref-4">
        <w:r>
          <w:rPr>
            <w:rStyle w:val="Hyperlink"/>
          </w:rPr>
          <w:t xml:space="preserve">[4]</w:t>
        </w:r>
      </w:hyperlink>
      <w:r>
        <w:t xml:space="preserve"> </w:t>
      </w:r>
      <w:hyperlink w:anchor="ref-5">
        <w:r>
          <w:rPr>
            <w:rStyle w:val="Hyperlink"/>
          </w:rPr>
          <w:t xml:space="preserve">[5]</w:t>
        </w:r>
      </w:hyperlink>
      <w:r>
        <w:t xml:space="preserve">. What the field receives is not a finished ladder but a verified place to stand while building one, and a clear map of where the ground is firm and where it is not. That is the whole of what was promised, and it is delivered in full</w:t>
      </w:r>
      <w:r>
        <w:t xml:space="preserve"> </w:t>
      </w:r>
      <w:hyperlink w:anchor="ref-2">
        <w:r>
          <w:rPr>
            <w:rStyle w:val="Hyperlink"/>
          </w:rPr>
          <w:t xml:space="preserve">[2]</w:t>
        </w:r>
      </w:hyperlink>
      <w:r>
        <w:t xml:space="preserve"> </w:t>
      </w:r>
      <w:hyperlink w:anchor="ref-8">
        <w:r>
          <w:rPr>
            <w:rStyle w:val="Hyperlink"/>
          </w:rPr>
          <w:t xml:space="preserve">[8]</w:t>
        </w:r>
      </w:hyperlink>
      <w:r>
        <w:t xml:space="preserve">.</w:t>
      </w:r>
    </w:p>
    <w:bookmarkEnd w:id="155"/>
    <w:bookmarkStart w:id="156" w:name="a-last-word-on-proportion"/>
    <w:p>
      <w:pPr>
        <w:pStyle w:val="Heading2"/>
        <w:spacing w:line="480" w:lineRule="auto"/>
      </w:pPr>
      <w:r>
        <w:t xml:space="preserve">A last word on proportion</w:t>
      </w:r>
    </w:p>
    <w:p>
      <w:pPr>
        <w:pStyle w:val="FirstParagraph"/>
        <w:spacing w:line="480" w:lineRule="auto"/>
      </w:pPr>
      <w:r>
        <w:t xml:space="preserve">The proportion between this dissertation’s ambition and its evidence is the feature worth defending last, because it is the feature most easily mistaken for a shortcoming. A reader expecting a grand theory of orbital escalation will find instead a careful screen over thirty records, and might read the gap as timidity</w:t>
      </w:r>
      <w:r>
        <w:t xml:space="preserve"> </w:t>
      </w:r>
      <w:hyperlink w:anchor="ref-1">
        <w:r>
          <w:rPr>
            <w:rStyle w:val="Hyperlink"/>
          </w:rPr>
          <w:t xml:space="preserve">[1]</w:t>
        </w:r>
      </w:hyperlink>
      <w:r>
        <w:t xml:space="preserve">. It is the opposite. The domain is littered with confident claims that outrun their evidence, and each such claim makes the field harder to reason about, because it must be believed or disbelieved on the strength of its author rather than checked against a record</w:t>
      </w:r>
      <w:r>
        <w:t xml:space="preserve"> </w:t>
      </w:r>
      <w:hyperlink w:anchor="ref-2">
        <w:r>
          <w:rPr>
            <w:rStyle w:val="Hyperlink"/>
          </w:rPr>
          <w:t xml:space="preserve">[2]</w:t>
        </w:r>
      </w:hyperlink>
      <w:r>
        <w:t xml:space="preserve"> </w:t>
      </w:r>
      <w:hyperlink w:anchor="ref-12">
        <w:r>
          <w:rPr>
            <w:rStyle w:val="Hyperlink"/>
          </w:rPr>
          <w:t xml:space="preserve">[12]</w:t>
        </w:r>
      </w:hyperlink>
      <w:r>
        <w:t xml:space="preserve">. This dissertation chose the harder and humbler path of matching claim to evidence exactly, and it accepts the smaller conclusion that path yields. A field that wants to build a durable escalation ladder will need many such foundations, each modest, each checkable, each honest about its limits. The contribution here is one of them, offered in the belief that the slow accumulation of verified footholds is how a young field eventually earns the right to its larger claims</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156"/>
    <w:bookmarkStart w:id="157" w:name="Xadf4b792ff6bf7dc9638e77d14ff45e351e1c01"/>
    <w:p>
      <w:pPr>
        <w:pStyle w:val="Heading2"/>
        <w:spacing w:line="480" w:lineRule="auto"/>
      </w:pPr>
      <w:r>
        <w:t xml:space="preserve">The dissertation in one sentence, and what follows from it</w:t>
      </w:r>
    </w:p>
    <w:p>
      <w:pPr>
        <w:pStyle w:val="FirstParagraph"/>
        <w:spacing w:line="480" w:lineRule="auto"/>
      </w:pPr>
      <w:r>
        <w:t xml:space="preserve">If the dissertation had to be compressed to a single sentence, it would be this: within a documented corpus of thirty records, the counterspace-escalation topic is structured by citation attention, precisely and reproducibly, and is not structured by recency, while a precise temporal result dissolves under scrutiny into an artifact of a local citation index</w:t>
      </w:r>
      <w:r>
        <w:t xml:space="preserve"> </w:t>
      </w:r>
      <w:hyperlink w:anchor="ref-1">
        <w:r>
          <w:rPr>
            <w:rStyle w:val="Hyperlink"/>
          </w:rPr>
          <w:t xml:space="preserve">[1]</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 Everything in the eight chapters supports, qualifies, or extends that sentence, and everything the field might do next flows from it. Corpus expansion follows because thirty records cannot resolve what the sentence leaves open. Document coding follows because the attention structure the sentence establishes is worth reading for content. Method transfer follows because the design that produced the sentence can produce many like it for adjacent topics</w:t>
      </w:r>
      <w:r>
        <w:t xml:space="preserve"> </w:t>
      </w:r>
      <w:hyperlink w:anchor="ref-8">
        <w:r>
          <w:rPr>
            <w:rStyle w:val="Hyperlink"/>
          </w:rPr>
          <w:t xml:space="preserve">[8]</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That is the shape of a design-stage contribution: a compressible finding, honestly bounded, that generates a concrete agenda rather than closing one. The escalation ladder the title names remains to be built, and building it will take the reading, coding, and larger sampling that this screen deliberately did not attempt. What this dissertation supplies is the prior assurance that the effort is warranted, because the topic it would code is one the field’s own documentary record has already begun, measurably, to organize around. A verified reason to proceed is a real gift to a young field, and it is the gift this work leaves behind</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bookmarkEnd w:id="157"/>
    <w:bookmarkStart w:id="183" w:name="references"/>
    <w:p>
      <w:pPr>
        <w:pStyle w:val="Heading2"/>
        <w:spacing w:line="480" w:lineRule="auto"/>
      </w:pPr>
      <w:r>
        <w:t xml:space="preserve">References</w:t>
      </w:r>
    </w:p>
    <w:p>
      <w:pPr>
        <w:pStyle w:val="FirstParagraph"/>
        <w:spacing w:line="480" w:lineRule="auto"/>
      </w:pPr>
      <w:bookmarkStart w:id="158" w:name="ref-1"/>
      <w:bookmarkEnd w:id="158"/>
      <w:r>
        <w:t xml:space="preserve">1. Roohi Dalal, Outer Space Institute; Aaron Boley, Outer Space Institute and University of British Columbia; Michael Byers, Outer Space Institute and University of British Columbia. Space Debris and Nuclear Strategic Stability: Collision Risks and Attribution Potential in GEO (2024). doi:</w:t>
      </w:r>
      <w:r>
        <w:t xml:space="preserve"> </w:t>
      </w:r>
      <w:hyperlink r:id="rId159">
        <w:r>
          <w:rPr>
            <w:rStyle w:val="Hyperlink"/>
          </w:rPr>
          <w:t xml:space="preserve">10.64861/EIBC5616</w:t>
        </w:r>
      </w:hyperlink>
    </w:p>
    <w:p>
      <w:pPr>
        <w:pStyle w:val="BodyText"/>
        <w:spacing w:line="480" w:lineRule="auto"/>
        <w:ind w:firstLine="720"/>
      </w:pPr>
      <w:bookmarkStart w:id="160" w:name="ref-2"/>
      <w:bookmarkEnd w:id="160"/>
      <w:r>
        <w:t xml:space="preserve">2. Nancy Hayden, Sandia National Laboratories; Kelsey Abel, Sandia National Laboratories; Marie Arrieta, Sandia National Laboratories; Mallory Stewart, Sandia National Laboratories. Artificial Intelligence and Autonomy in Space: Balancing Risks and Benefits for Deterrence and Escalation Control (2020). [AMOS]</w:t>
      </w:r>
    </w:p>
    <w:p>
      <w:pPr>
        <w:pStyle w:val="BodyText"/>
        <w:spacing w:line="480" w:lineRule="auto"/>
        <w:ind w:firstLine="720"/>
      </w:pPr>
      <w:bookmarkStart w:id="161" w:name="ref-3"/>
      <w:bookmarkEnd w:id="161"/>
      <w:r>
        <w:t xml:space="preserve">3. Joe Gorman, Charles River Analytics, Martin Voshell, Charles River Analytics, Amy Sliva, Charles River Analytics. Assessment for Operator Confidence in Automated Space Situational Awareness and Satellite Control Systems (2016). [AMOS]</w:t>
      </w:r>
    </w:p>
    <w:p>
      <w:pPr>
        <w:pStyle w:val="BodyText"/>
        <w:spacing w:line="480" w:lineRule="auto"/>
        <w:ind w:firstLine="720"/>
      </w:pPr>
      <w:bookmarkStart w:id="162" w:name="ref-4"/>
      <w:bookmarkEnd w:id="162"/>
      <w:r>
        <w:t xml:space="preserve">4. Andris Jaunzemis, Georgia Institute of Technology; Dev Minotra, Georgia Institute of Technology; Karen Feigh, Georgia Institute of Technology; Marcus Holzinger, Georgia Institute of Technology; Moses Chan, Lockheed Martin Space. SSA Decision Support System Development and Evaluation using Cognitive Systems Engineering (2018). [AMOS]</w:t>
      </w:r>
    </w:p>
    <w:p>
      <w:pPr>
        <w:pStyle w:val="BodyText"/>
        <w:spacing w:line="480" w:lineRule="auto"/>
        <w:ind w:firstLine="720"/>
      </w:pPr>
      <w:bookmarkStart w:id="163" w:name="ref-5"/>
      <w:bookmarkEnd w:id="163"/>
      <w:r>
        <w:t xml:space="preserve">5. Tamara Payne, Applied Optimization Inc., Philip Castro, Applied Optimization, Stephen Gregory, Boeing, Phan Dao, AFRL/RVBY. Satellite Photometric Error Determination (2015). [AMOS]</w:t>
      </w:r>
    </w:p>
    <w:p>
      <w:pPr>
        <w:pStyle w:val="BodyText"/>
        <w:spacing w:line="480" w:lineRule="auto"/>
        <w:ind w:firstLine="720"/>
      </w:pPr>
      <w:bookmarkStart w:id="164" w:name="ref-6"/>
      <w:bookmarkEnd w:id="164"/>
      <w:r>
        <w:t xml:space="preserve">6. Ray Deiotte (The Boeing Company), Dr. Mike Guyote (The Boeing Company), Dr. Thomas Kelecy (Boeing – LTS), Dr. Doyle Hall (Boeing – LTS), John Africano (Boeing – LTS), Paul Kervin (AMOS (AFRL/Det15). Maui Space Surveillance System Satellite Categorization Laboratory (2006). [AMOS]</w:t>
      </w:r>
    </w:p>
    <w:p>
      <w:pPr>
        <w:pStyle w:val="BodyText"/>
        <w:spacing w:line="480" w:lineRule="auto"/>
        <w:ind w:firstLine="720"/>
      </w:pPr>
      <w:bookmarkStart w:id="165" w:name="ref-7"/>
      <w:bookmarkEnd w:id="165"/>
      <w:r>
        <w:t xml:space="preserve">7. Malcolm Davis, The Australian Strategic Policy Institute. Australia’s Emerging Space Policy – Defense Burden Sharing in Orbit and Space Situational Awareness (2020). [AMOS]</w:t>
      </w:r>
    </w:p>
    <w:p>
      <w:pPr>
        <w:pStyle w:val="BodyText"/>
        <w:spacing w:line="480" w:lineRule="auto"/>
        <w:ind w:firstLine="720"/>
      </w:pPr>
      <w:bookmarkStart w:id="166" w:name="ref-8"/>
      <w:bookmarkEnd w:id="166"/>
      <w:r>
        <w:t xml:space="preserve">8. Daniel Porras, Secure World Foundation; Laetitia Zarkan Cesari, University of Luxembourg. Safety Norms for Space Security: How the Development of STM Norms Can Strengthen Security in Space (2021). [AMOS]</w:t>
      </w:r>
    </w:p>
    <w:p>
      <w:pPr>
        <w:pStyle w:val="BodyText"/>
        <w:spacing w:line="480" w:lineRule="auto"/>
        <w:ind w:firstLine="720"/>
      </w:pPr>
      <w:bookmarkStart w:id="167" w:name="ref-9"/>
      <w:bookmarkEnd w:id="167"/>
      <w:r>
        <w:t xml:space="preserve">9. Carmen Pardini; Luciano Anselmo. The short-term effects of the Cosmos 1408 fragmentation on neighboring inhabited space stations and large constellations (2023). doi:</w:t>
      </w:r>
      <w:r>
        <w:t xml:space="preserve"> </w:t>
      </w:r>
      <w:hyperlink r:id="rId168">
        <w:r>
          <w:rPr>
            <w:rStyle w:val="Hyperlink"/>
          </w:rPr>
          <w:t xml:space="preserve">10.1016/j.actaastro.2023.02.043</w:t>
        </w:r>
      </w:hyperlink>
    </w:p>
    <w:p>
      <w:pPr>
        <w:pStyle w:val="BodyText"/>
        <w:spacing w:line="480" w:lineRule="auto"/>
        <w:ind w:firstLine="720"/>
      </w:pPr>
      <w:bookmarkStart w:id="169" w:name="ref-10"/>
      <w:bookmarkEnd w:id="169"/>
      <w:r>
        <w:t xml:space="preserve">10. Jie Long; Wenzhen Chen. Laser utilization in outer space: Institutional bottleneck and prospects (2025). doi:</w:t>
      </w:r>
      <w:r>
        <w:t xml:space="preserve"> </w:t>
      </w:r>
      <w:hyperlink r:id="rId170">
        <w:r>
          <w:rPr>
            <w:rStyle w:val="Hyperlink"/>
          </w:rPr>
          <w:t xml:space="preserve">10.1016/j.actaastro.2025.01.061</w:t>
        </w:r>
      </w:hyperlink>
    </w:p>
    <w:p>
      <w:pPr>
        <w:pStyle w:val="BodyText"/>
        <w:spacing w:line="480" w:lineRule="auto"/>
        <w:ind w:firstLine="720"/>
      </w:pPr>
      <w:bookmarkStart w:id="171" w:name="ref-11"/>
      <w:bookmarkEnd w:id="171"/>
      <w:r>
        <w:t xml:space="preserve">11. Jo�ão Reis. European union defense and security strategy for space and ground-based systems against hybrid threats (2024). doi:</w:t>
      </w:r>
      <w:r>
        <w:t xml:space="preserve"> </w:t>
      </w:r>
      <w:hyperlink r:id="rId172">
        <w:r>
          <w:rPr>
            <w:rStyle w:val="Hyperlink"/>
          </w:rPr>
          <w:t xml:space="preserve">10.1016/j.actaastro.2024.09.003</w:t>
        </w:r>
      </w:hyperlink>
    </w:p>
    <w:p>
      <w:pPr>
        <w:pStyle w:val="BodyText"/>
        <w:spacing w:line="480" w:lineRule="auto"/>
        <w:ind w:firstLine="720"/>
      </w:pPr>
      <w:bookmarkStart w:id="173" w:name="ref-12"/>
      <w:bookmarkEnd w:id="173"/>
      <w:r>
        <w:t xml:space="preserve">12. Clémence Poirier. Establishing a governance for cyber operations in outer space: Exploring challenges faced by space and cyber commands (2025). doi:</w:t>
      </w:r>
      <w:r>
        <w:t xml:space="preserve"> </w:t>
      </w:r>
      <w:hyperlink r:id="rId174">
        <w:r>
          <w:rPr>
            <w:rStyle w:val="Hyperlink"/>
          </w:rPr>
          <w:t xml:space="preserve">10.1016/j.actaastro.2025.08.048</w:t>
        </w:r>
      </w:hyperlink>
    </w:p>
    <w:p>
      <w:pPr>
        <w:pStyle w:val="BodyText"/>
        <w:spacing w:line="480" w:lineRule="auto"/>
        <w:ind w:firstLine="720"/>
      </w:pPr>
      <w:bookmarkStart w:id="175" w:name="ref-13"/>
      <w:bookmarkEnd w:id="175"/>
      <w:r>
        <w:t xml:space="preserve">13. Carmen Pardini; Luciano Anselmo. The risk on the ground and in the airspace posed by uncontrolled re-entries: Should the growth observed in recent years be considered worrying? (2026). doi:</w:t>
      </w:r>
      <w:r>
        <w:t xml:space="preserve"> </w:t>
      </w:r>
      <w:hyperlink r:id="rId176">
        <w:r>
          <w:rPr>
            <w:rStyle w:val="Hyperlink"/>
          </w:rPr>
          <w:t xml:space="preserve">10.1016/j.actaastro.2026.01.049</w:t>
        </w:r>
      </w:hyperlink>
    </w:p>
    <w:p>
      <w:pPr>
        <w:pStyle w:val="BodyText"/>
        <w:spacing w:line="480" w:lineRule="auto"/>
        <w:ind w:firstLine="720"/>
      </w:pPr>
      <w:bookmarkStart w:id="177" w:name="ref-14"/>
      <w:bookmarkEnd w:id="177"/>
      <w:r>
        <w:t xml:space="preserve">14. Manu H. Nair; Mini C. Rai; Sarah Reade; Ori Bloch; Sam Adlen; Martin Soltau; D. Homfray. In-orbit assembly of high-value modular infrastructures: Holistic analysis and mission concepts (2025). doi:</w:t>
      </w:r>
      <w:r>
        <w:t xml:space="preserve"> </w:t>
      </w:r>
      <w:hyperlink r:id="rId178">
        <w:r>
          <w:rPr>
            <w:rStyle w:val="Hyperlink"/>
          </w:rPr>
          <w:t xml:space="preserve">10.1016/j.actaastro.2025.09.070</w:t>
        </w:r>
      </w:hyperlink>
    </w:p>
    <w:p>
      <w:pPr>
        <w:pStyle w:val="BodyText"/>
        <w:spacing w:line="480" w:lineRule="auto"/>
        <w:ind w:firstLine="720"/>
      </w:pPr>
      <w:bookmarkStart w:id="179" w:name="ref-15"/>
      <w:bookmarkEnd w:id="179"/>
      <w:r>
        <w:t xml:space="preserve">15. Jing Zhang; Jianlin Liu; Wanjing Jia; Jiayin Li; Chao Sun; Jiachen Nie; Tian Liu; Hetong Wang; Xuerui Ma; Li Ding. Effects of acute hypoxic exposure in extraterrestrial habitats on work performance and biomechanical parameters of manual material handling (2025). doi:</w:t>
      </w:r>
      <w:r>
        <w:t xml:space="preserve"> </w:t>
      </w:r>
      <w:hyperlink r:id="rId180">
        <w:r>
          <w:rPr>
            <w:rStyle w:val="Hyperlink"/>
          </w:rPr>
          <w:t xml:space="preserve">10.1016/j.actaastro.2025.01.040</w:t>
        </w:r>
      </w:hyperlink>
    </w:p>
    <w:p>
      <w:pPr>
        <w:pStyle w:val="BodyText"/>
        <w:spacing w:line="480" w:lineRule="auto"/>
        <w:ind w:firstLine="720"/>
      </w:pPr>
      <w:bookmarkStart w:id="181" w:name="ref-16"/>
      <w:bookmarkEnd w:id="181"/>
      <w:r>
        <w:t xml:space="preserve">16. Claudio Campana; Francesco Topputo. Ephemeris refinement of low-energy Earth–Moon transfers via an astrodynamic model chain (2025). doi:</w:t>
      </w:r>
      <w:r>
        <w:t xml:space="preserve"> </w:t>
      </w:r>
      <w:hyperlink r:id="rId182">
        <w:r>
          <w:rPr>
            <w:rStyle w:val="Hyperlink"/>
          </w:rPr>
          <w:t xml:space="preserve">10.1016/j.actaastro.2025.03.010</w:t>
        </w:r>
      </w:hyperlink>
    </w:p>
    <w:bookmarkEnd w:id="183"/>
    <w:bookmarkEnd w:id="184"/>
    <w:bookmarkStart w:id="201"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2" w:name="X1c23f32a0c4fb01eeb7a12ce26c2e72f92774fe"/>
    <w:p>
      <w:pPr>
        <w:pStyle w:val="Heading2"/>
        <w:spacing w:line="480" w:lineRule="auto"/>
      </w:pPr>
      <w:r>
        <w:t xml:space="preserve">A.1 Signal Intensity in Escalation Ladders in Orbit Constructing and Validating a Counterspace Escalati: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85"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3.0877</w:t>
            </w:r>
          </w:p>
        </w:tc>
        <w:tc>
          <w:tcPr>
            <w:tcW w:w="0" w:type="auto"/>
          </w:tcPr>
          <w:p>
            <w:pPr>
              <w:spacing w:line="240" w:lineRule="auto" w:before="0" w:after="0"/>
              <w:pStyle w:val="Compact"/>
            </w:pPr>
            <w:r>
              <w:rPr>
                <w:sz w:val="20"/>
                <w:szCs w:val="20"/>
              </w:rPr>
              <w:t xml:space="preserve">1.8464</w:t>
            </w:r>
          </w:p>
        </w:tc>
        <w:tc>
          <w:tcPr>
            <w:tcW w:w="0" w:type="auto"/>
          </w:tcPr>
          <w:p>
            <w:pPr>
              <w:spacing w:line="240" w:lineRule="auto" w:before="0" w:after="0"/>
              <w:pStyle w:val="Compact"/>
            </w:pPr>
            <w:r>
              <w:rPr>
                <w:sz w:val="20"/>
                <w:szCs w:val="20"/>
              </w:rPr>
              <w:t xml:space="preserve">1.6723</w:t>
            </w:r>
          </w:p>
        </w:tc>
        <w:tc>
          <w:tcPr>
            <w:tcW w:w="0" w:type="auto"/>
          </w:tcPr>
          <w:p>
            <w:pPr>
              <w:spacing w:line="240" w:lineRule="auto" w:before="0" w:after="0"/>
              <w:pStyle w:val="Compact"/>
            </w:pPr>
            <w:r>
              <w:rPr>
                <w:sz w:val="20"/>
                <w:szCs w:val="20"/>
              </w:rPr>
              <w:t xml:space="preserve">0.0945</w:t>
            </w:r>
          </w:p>
        </w:tc>
        <w:tc>
          <w:tcPr>
            <w:tcW w:w="0" w:type="auto"/>
          </w:tcPr>
          <w:p>
            <w:pPr>
              <w:spacing w:line="240" w:lineRule="auto" w:before="0" w:after="0"/>
              <w:pStyle w:val="Compact"/>
            </w:pPr>
            <w:r>
              <w:rPr>
                <w:sz w:val="20"/>
                <w:szCs w:val="20"/>
              </w:rPr>
              <w:t xml:space="preserve">[-0.5311, 6.7065]</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0.0974</w:t>
            </w:r>
          </w:p>
        </w:tc>
        <w:tc>
          <w:tcPr>
            <w:tcW w:w="0" w:type="auto"/>
          </w:tcPr>
          <w:p>
            <w:pPr>
              <w:spacing w:line="240" w:lineRule="auto" w:before="0" w:after="0"/>
              <w:pStyle w:val="Compact"/>
            </w:pPr>
            <w:r>
              <w:rPr>
                <w:sz w:val="20"/>
                <w:szCs w:val="20"/>
              </w:rPr>
              <w:t xml:space="preserve">0.0873</w:t>
            </w:r>
          </w:p>
        </w:tc>
        <w:tc>
          <w:tcPr>
            <w:tcW w:w="0" w:type="auto"/>
          </w:tcPr>
          <w:p>
            <w:pPr>
              <w:spacing w:line="240" w:lineRule="auto" w:before="0" w:after="0"/>
              <w:pStyle w:val="Compact"/>
            </w:pPr>
            <w:r>
              <w:rPr>
                <w:sz w:val="20"/>
                <w:szCs w:val="20"/>
              </w:rPr>
              <w:t xml:space="preserve">1.1152</w:t>
            </w:r>
          </w:p>
        </w:tc>
        <w:tc>
          <w:tcPr>
            <w:tcW w:w="0" w:type="auto"/>
          </w:tcPr>
          <w:p>
            <w:pPr>
              <w:spacing w:line="240" w:lineRule="auto" w:before="0" w:after="0"/>
              <w:pStyle w:val="Compact"/>
            </w:pPr>
            <w:r>
              <w:rPr>
                <w:sz w:val="20"/>
                <w:szCs w:val="20"/>
              </w:rPr>
              <w:t xml:space="preserve">0.2648</w:t>
            </w:r>
          </w:p>
        </w:tc>
        <w:tc>
          <w:tcPr>
            <w:tcW w:w="0" w:type="auto"/>
          </w:tcPr>
          <w:p>
            <w:pPr>
              <w:spacing w:line="240" w:lineRule="auto" w:before="0" w:after="0"/>
              <w:pStyle w:val="Compact"/>
            </w:pPr>
            <w:r>
              <w:rPr>
                <w:sz w:val="20"/>
                <w:szCs w:val="20"/>
              </w:rPr>
              <w:t xml:space="preserve">[-0.0737, 0.2684]</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0.1308</w:t>
            </w:r>
          </w:p>
        </w:tc>
        <w:tc>
          <w:tcPr>
            <w:tcW w:w="0" w:type="auto"/>
          </w:tcPr>
          <w:p>
            <w:pPr>
              <w:spacing w:line="240" w:lineRule="auto" w:before="0" w:after="0"/>
              <w:pStyle w:val="Compact"/>
            </w:pPr>
            <w:r>
              <w:rPr>
                <w:sz w:val="20"/>
                <w:szCs w:val="20"/>
              </w:rPr>
              <w:t xml:space="preserve">0.0399</w:t>
            </w:r>
          </w:p>
        </w:tc>
        <w:tc>
          <w:tcPr>
            <w:tcW w:w="0" w:type="auto"/>
          </w:tcPr>
          <w:p>
            <w:pPr>
              <w:spacing w:line="240" w:lineRule="auto" w:before="0" w:after="0"/>
              <w:pStyle w:val="Compact"/>
            </w:pPr>
            <w:r>
              <w:rPr>
                <w:sz w:val="20"/>
                <w:szCs w:val="20"/>
              </w:rPr>
              <w:t xml:space="preserve">3.2804</w:t>
            </w:r>
          </w:p>
        </w:tc>
        <w:tc>
          <w:tcPr>
            <w:tcW w:w="0" w:type="auto"/>
          </w:tcPr>
          <w:p>
            <w:pPr>
              <w:spacing w:line="240" w:lineRule="auto" w:before="0" w:after="0"/>
              <w:pStyle w:val="Compact"/>
            </w:pPr>
            <w:r>
              <w:rPr>
                <w:sz w:val="20"/>
                <w:szCs w:val="20"/>
              </w:rPr>
              <w:t xml:space="preserve">0.001</w:t>
            </w:r>
          </w:p>
        </w:tc>
        <w:tc>
          <w:tcPr>
            <w:tcW w:w="0" w:type="auto"/>
          </w:tcPr>
          <w:p>
            <w:pPr>
              <w:spacing w:line="240" w:lineRule="auto" w:before="0" w:after="0"/>
              <w:pStyle w:val="Compact"/>
            </w:pPr>
            <w:r>
              <w:rPr>
                <w:sz w:val="20"/>
                <w:szCs w:val="20"/>
              </w:rPr>
              <w:t xml:space="preserve">[0.0527, 0.209]</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-0.9476</w:t>
            </w:r>
          </w:p>
        </w:tc>
        <w:tc>
          <w:tcPr>
            <w:tcW w:w="0" w:type="auto"/>
          </w:tcPr>
          <w:p>
            <w:pPr>
              <w:spacing w:line="240" w:lineRule="auto" w:before="0" w:after="0"/>
              <w:pStyle w:val="Compact"/>
            </w:pPr>
            <w:r>
              <w:rPr>
                <w:sz w:val="20"/>
                <w:szCs w:val="20"/>
              </w:rPr>
              <w:t xml:space="preserve">0.4848</w:t>
            </w:r>
          </w:p>
        </w:tc>
        <w:tc>
          <w:tcPr>
            <w:tcW w:w="0" w:type="auto"/>
          </w:tcPr>
          <w:p>
            <w:pPr>
              <w:spacing w:line="240" w:lineRule="auto" w:before="0" w:after="0"/>
              <w:pStyle w:val="Compact"/>
            </w:pPr>
            <w:r>
              <w:rPr>
                <w:sz w:val="20"/>
                <w:szCs w:val="20"/>
              </w:rPr>
              <w:t xml:space="preserve">-1.9546</w:t>
            </w:r>
          </w:p>
        </w:tc>
        <w:tc>
          <w:tcPr>
            <w:tcW w:w="0" w:type="auto"/>
          </w:tcPr>
          <w:p>
            <w:pPr>
              <w:spacing w:line="240" w:lineRule="auto" w:before="0" w:after="0"/>
              <w:pStyle w:val="Compact"/>
            </w:pPr>
            <w:r>
              <w:rPr>
                <w:sz w:val="20"/>
                <w:szCs w:val="20"/>
              </w:rPr>
              <w:t xml:space="preserve">0.0506</w:t>
            </w:r>
          </w:p>
        </w:tc>
        <w:tc>
          <w:tcPr>
            <w:tcW w:w="0" w:type="auto"/>
          </w:tcPr>
          <w:p>
            <w:pPr>
              <w:spacing w:line="240" w:lineRule="auto" w:before="0" w:after="0"/>
              <w:pStyle w:val="Compact"/>
            </w:pPr>
            <w:r>
              <w:rPr>
                <w:sz w:val="20"/>
                <w:szCs w:val="20"/>
              </w:rPr>
              <w:t xml:space="preserve">[-1.8978, 0.0026]</w:t>
            </w:r>
          </w:p>
        </w:tc>
      </w:tr>
    </w:tbl>
    <w:p>
      <w:pPr>
        <w:pStyle w:val="BodyText"/>
        <w:spacing w:line="480" w:lineRule="auto"/>
        <w:ind w:firstLine="720"/>
      </w:pPr>
      <w:r>
        <w:t xml:space="preserve">Fit: N = 30 R2 = 0.095 R2_adj = -0.0095 F = 9.8689 F_p = 0.0001606</w:t>
      </w:r>
    </w:p>
    <w:bookmarkEnd w:id="185"/>
    <w:bookmarkStart w:id="189"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87" name="Picture"/>
            <a:graphic>
              <a:graphicData uri="http://schemas.openxmlformats.org/drawingml/2006/picture">
                <pic:pic>
                  <pic:nvPicPr>
                    <pic:cNvPr descr="D:/Claude_Code/brain/collegium/candidates/dissertations/SECURITY_DETERRENCE_05/research_papers/p1/paper_fig1.png" id="188" name="Picture"/>
                    <pic:cNvPicPr>
                      <a:picLocks noChangeArrowheads="1" noChangeAspect="1"/>
                    </pic:cNvPicPr>
                  </pic:nvPicPr>
                  <pic:blipFill>
                    <a:blip r:embed="rId18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89"/>
    <w:bookmarkStart w:id="190"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10.64861/EIBC5616</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https://amostech.space/year/2020/artificial-intelligence-and-autonomy-in-space-balancing-risks-and-benefits-for-deterrence-and-escalation-control/</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https://amostech.space/year/2016/assessment-for-operator-confidence-in-automated-space-situational-awareness-and-satellite-control-systems/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https://amostech.space/year/2018/ssa-decision-support-system-development-and-evaluation-using-cognitive-systems-engineering/</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https://amostech.space/year/2015/satellite-photometric-error-determination/</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https://amostech.space/year/2006/maui-space-surveillance-system-satellite-categorization-laboratory/</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https://amostech.space/year/2020/australias-emerging-space-policy-defense-burden-sharing-in-orbit-and-space-situational-awareness/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https://amostech.space/year/2021/safety-norms-for-space-security-how-the-development-of-stm-norms-can-strengthen-security-in-space/</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10.64861/UHIX1013</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https://amostech.space/year/2022/mirror-recoating-of-large-primary-optic/</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10.1016/j.actaastro.2023.02.043</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10.1016/j.actaastro.2025.01.061</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10.1016/j.actaastro.2024.09.003</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10.1016/j.actaastro.2025.08.048</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10.1016/j.actaastro.2026.01.049</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10.1016/j.actaastro.2025.09.070</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10.1016/j.actaastro.2025.01.040</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10.1016/j.actaastro.2025.03.010</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10.1016/j.actaastro.2024.12.029</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10.1016/j.actaastro.2025.07.033</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10.1016/j.actaastro.2025.07.007</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10.1016/j.actaastro.2025.11.069</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Abstract-only document presenting</w:t>
            </w:r>
            <w:r>
              <w:rPr>
                <w:sz w:val="20"/>
                <w:szCs w:val="20"/>
              </w:rPr>
              <w:t xml:space="preserve"> </w:t>
            </w:r>
            <w:r>
              <w:rPr>
                <w:sz w:val="20"/>
                <w:szCs w:val="20"/>
              </w:rPr>
              <w:t xml:space="preserve">“Astro-Economics”</w:t>
            </w:r>
            <w:r>
              <w:rPr>
                <w:sz w:val="20"/>
                <w:szCs w:val="20"/>
              </w:rPr>
              <w:t xml:space="preserve"> </w:t>
            </w:r>
            <w:r>
              <w:rPr>
                <w:sz w:val="20"/>
                <w:szCs w:val="20"/>
              </w:rPr>
              <w:t xml:space="preserve">as a framework for integrating the space economy into national deterrence strategy, with attention to the UK space sector, resource competition, and international norms. The source file contains only the abstract/summary (12 lines); no body text is available.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Stilwell IAC 2024 Orbital Capacity</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Verification and Validation of Orbital Capacity Assessment Tools (AMOS)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CMSY++ Method for Catch Time Series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JABBA: Just Another Bayesian Biomass Assessment</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10.1016/j.fishres.2018.03.010</w:t>
            </w:r>
          </w:p>
        </w:tc>
      </w:tr>
    </w:tbl>
    <w:bookmarkEnd w:id="190"/>
    <w:bookmarkStart w:id="191"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91"/>
    <w:bookmarkEnd w:id="192"/>
    <w:bookmarkStart w:id="200" w:name="X12b550775e8f3a242dc47253db1764bcc7ac389"/>
    <w:p>
      <w:pPr>
        <w:pStyle w:val="Heading2"/>
        <w:spacing w:line="480" w:lineRule="auto"/>
      </w:pPr>
      <w:r>
        <w:t xml:space="preserve">A.2 Attention Accumulation in Escalation Ladders in Orbit Constructing and Validating a Counterspace Escalati: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93"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0.7271</w:t>
            </w:r>
          </w:p>
        </w:tc>
        <w:tc>
          <w:tcPr>
            <w:tcW w:w="0" w:type="auto"/>
          </w:tcPr>
          <w:p>
            <w:pPr>
              <w:spacing w:line="240" w:lineRule="auto" w:before="0" w:after="0"/>
              <w:pStyle w:val="Compact"/>
            </w:pPr>
            <w:r>
              <w:rPr>
                <w:sz w:val="20"/>
                <w:szCs w:val="20"/>
              </w:rPr>
              <w:t xml:space="preserve">0.2817</w:t>
            </w:r>
          </w:p>
        </w:tc>
        <w:tc>
          <w:tcPr>
            <w:tcW w:w="0" w:type="auto"/>
          </w:tcPr>
          <w:p>
            <w:pPr>
              <w:spacing w:line="240" w:lineRule="auto" w:before="0" w:after="0"/>
              <w:pStyle w:val="Compact"/>
            </w:pPr>
            <w:r>
              <w:rPr>
                <w:sz w:val="20"/>
                <w:szCs w:val="20"/>
              </w:rPr>
              <w:t xml:space="preserve">2.5813</w:t>
            </w:r>
          </w:p>
        </w:tc>
        <w:tc>
          <w:tcPr>
            <w:tcW w:w="0" w:type="auto"/>
          </w:tcPr>
          <w:p>
            <w:pPr>
              <w:spacing w:line="240" w:lineRule="auto" w:before="0" w:after="0"/>
              <w:pStyle w:val="Compact"/>
            </w:pPr>
            <w:r>
              <w:rPr>
                <w:sz w:val="20"/>
                <w:szCs w:val="20"/>
              </w:rPr>
              <w:t xml:space="preserve">0.0098</w:t>
            </w:r>
          </w:p>
        </w:tc>
        <w:tc>
          <w:tcPr>
            <w:tcW w:w="0" w:type="auto"/>
          </w:tcPr>
          <w:p>
            <w:pPr>
              <w:spacing w:line="240" w:lineRule="auto" w:before="0" w:after="0"/>
              <w:pStyle w:val="Compact"/>
            </w:pPr>
            <w:r>
              <w:rPr>
                <w:sz w:val="20"/>
                <w:szCs w:val="20"/>
              </w:rPr>
              <w:t xml:space="preserve">[0.175, 1.2791]</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-0.2851</w:t>
            </w:r>
          </w:p>
        </w:tc>
        <w:tc>
          <w:tcPr>
            <w:tcW w:w="0" w:type="auto"/>
          </w:tcPr>
          <w:p>
            <w:pPr>
              <w:spacing w:line="240" w:lineRule="auto" w:before="0" w:after="0"/>
              <w:pStyle w:val="Compact"/>
            </w:pPr>
            <w:r>
              <w:rPr>
                <w:sz w:val="20"/>
                <w:szCs w:val="20"/>
              </w:rPr>
              <w:t xml:space="preserve">0.1268</w:t>
            </w:r>
          </w:p>
        </w:tc>
        <w:tc>
          <w:tcPr>
            <w:tcW w:w="0" w:type="auto"/>
          </w:tcPr>
          <w:p>
            <w:pPr>
              <w:spacing w:line="240" w:lineRule="auto" w:before="0" w:after="0"/>
              <w:pStyle w:val="Compact"/>
            </w:pPr>
            <w:r>
              <w:rPr>
                <w:sz w:val="20"/>
                <w:szCs w:val="20"/>
              </w:rPr>
              <w:t xml:space="preserve">-2.2492</w:t>
            </w:r>
          </w:p>
        </w:tc>
        <w:tc>
          <w:tcPr>
            <w:tcW w:w="0" w:type="auto"/>
          </w:tcPr>
          <w:p>
            <w:pPr>
              <w:spacing w:line="240" w:lineRule="auto" w:before="0" w:after="0"/>
              <w:pStyle w:val="Compact"/>
            </w:pPr>
            <w:r>
              <w:rPr>
                <w:sz w:val="20"/>
                <w:szCs w:val="20"/>
              </w:rPr>
              <w:t xml:space="preserve">0.0245</w:t>
            </w:r>
          </w:p>
        </w:tc>
        <w:tc>
          <w:tcPr>
            <w:tcW w:w="0" w:type="auto"/>
          </w:tcPr>
          <w:p>
            <w:pPr>
              <w:spacing w:line="240" w:lineRule="auto" w:before="0" w:after="0"/>
              <w:pStyle w:val="Compact"/>
            </w:pPr>
            <w:r>
              <w:rPr>
                <w:sz w:val="20"/>
                <w:szCs w:val="20"/>
              </w:rPr>
              <w:t xml:space="preserve">[-0.5335, -0.0367]</w:t>
            </w:r>
          </w:p>
        </w:tc>
      </w:tr>
    </w:tbl>
    <w:p>
      <w:pPr>
        <w:pStyle w:val="BodyText"/>
        <w:spacing w:line="480" w:lineRule="auto"/>
        <w:ind w:firstLine="720"/>
      </w:pPr>
      <w:r>
        <w:t xml:space="preserve">Fit: N = 30 R2 = 0.0878 elasticity_b = -0.2851 progress_ratio_2^b = 0.8207</w:t>
      </w:r>
    </w:p>
    <w:bookmarkEnd w:id="193"/>
    <w:bookmarkStart w:id="197"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95" name="Picture"/>
            <a:graphic>
              <a:graphicData uri="http://schemas.openxmlformats.org/drawingml/2006/picture">
                <pic:pic>
                  <pic:nvPicPr>
                    <pic:cNvPr descr="D:/Claude_Code/brain/collegium/candidates/dissertations/SECURITY_DETERRENCE_05/research_papers/p2/paper_fig1.png" id="196" name="Picture"/>
                    <pic:cNvPicPr>
                      <a:picLocks noChangeArrowheads="1" noChangeAspect="1"/>
                    </pic:cNvPicPr>
                  </pic:nvPicPr>
                  <pic:blipFill>
                    <a:blip r:embed="rId19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97"/>
    <w:bookmarkStart w:id="198"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10.64861/EIBC5616</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https://amostech.space/year/2020/artificial-intelligence-and-autonomy-in-space-balancing-risks-and-benefits-for-deterrence-and-escalation-control/</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https://amostech.space/year/2016/assessment-for-operator-confidence-in-automated-space-situational-awareness-and-satellite-control-systems/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https://amostech.space/year/2018/ssa-decision-support-system-development-and-evaluation-using-cognitive-systems-engineering/</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https://amostech.space/year/2015/satellite-photometric-error-determination/</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https://amostech.space/year/2006/maui-space-surveillance-system-satellite-categorization-laboratory/</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https://amostech.space/year/2020/australias-emerging-space-policy-defense-burden-sharing-in-orbit-and-space-situational-awareness/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https://amostech.space/year/2021/safety-norms-for-space-security-how-the-development-of-stm-norms-can-strengthen-security-in-space/</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10.64861/UHIX1013</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https://amostech.space/year/2022/mirror-recoating-of-large-primary-optic/</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10.1016/j.actaastro.2023.02.043</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10.1016/j.actaastro.2025.01.061</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10.1016/j.actaastro.2024.09.003</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10.1016/j.actaastro.2025.08.048</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10.1016/j.actaastro.2026.01.049</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10.1016/j.actaastro.2025.09.070</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10.1016/j.actaastro.2025.01.040</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10.1016/j.actaastro.2025.03.010</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10.1016/j.actaastro.2024.12.029</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10.1016/j.actaastro.2025.07.033</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10.1016/j.actaastro.2025.07.007</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10.1016/j.actaastro.2025.11.069</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Abstract-only document presenting</w:t>
            </w:r>
            <w:r>
              <w:rPr>
                <w:sz w:val="20"/>
                <w:szCs w:val="20"/>
              </w:rPr>
              <w:t xml:space="preserve"> </w:t>
            </w:r>
            <w:r>
              <w:rPr>
                <w:sz w:val="20"/>
                <w:szCs w:val="20"/>
              </w:rPr>
              <w:t xml:space="preserve">“Astro-Economics”</w:t>
            </w:r>
            <w:r>
              <w:rPr>
                <w:sz w:val="20"/>
                <w:szCs w:val="20"/>
              </w:rPr>
              <w:t xml:space="preserve"> </w:t>
            </w:r>
            <w:r>
              <w:rPr>
                <w:sz w:val="20"/>
                <w:szCs w:val="20"/>
              </w:rPr>
              <w:t xml:space="preserve">as a framework for integrating the space economy into national deterrence strategy, with attention to the UK space sector, resource competition, and international norms. The source file contains only the abstract/summary (12 lines); no body text is available.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Stilwell IAC 2024 Orbital Capacity</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Verification and Validation of Orbital Capacity Assessment Tools (AMOS)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CMSY++ Method for Catch Time Series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JABBA: Just Another Bayesian Biomass Assessment</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10.1016/j.fishres.2018.03.010</w:t>
            </w:r>
          </w:p>
        </w:tc>
      </w:tr>
    </w:tbl>
    <w:bookmarkEnd w:id="198"/>
    <w:bookmarkStart w:id="199"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99"/>
    <w:bookmarkEnd w:id="200"/>
    <w:bookmarkEnd w:id="201"/>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6" Type="http://schemas.openxmlformats.org/officeDocument/2006/relationships/image" Target="media/rId186.png"/><Relationship Id="rId194" Type="http://schemas.openxmlformats.org/officeDocument/2006/relationships/image" Target="media/rId194.png"/><Relationship Id="rId168" Type="http://schemas.openxmlformats.org/officeDocument/2006/relationships/hyperlink" Target="https://doi.org/10.1016/j.actaastro.2023.02.043" TargetMode="External"/><Relationship Id="rId172" Type="http://schemas.openxmlformats.org/officeDocument/2006/relationships/hyperlink" Target="https://doi.org/10.1016/j.actaastro.2024.09.003" TargetMode="External"/><Relationship Id="rId180" Type="http://schemas.openxmlformats.org/officeDocument/2006/relationships/hyperlink" Target="https://doi.org/10.1016/j.actaastro.2025.01.040" TargetMode="External"/><Relationship Id="rId170" Type="http://schemas.openxmlformats.org/officeDocument/2006/relationships/hyperlink" Target="https://doi.org/10.1016/j.actaastro.2025.01.061" TargetMode="External"/><Relationship Id="rId182" Type="http://schemas.openxmlformats.org/officeDocument/2006/relationships/hyperlink" Target="https://doi.org/10.1016/j.actaastro.2025.03.010" TargetMode="External"/><Relationship Id="rId174" Type="http://schemas.openxmlformats.org/officeDocument/2006/relationships/hyperlink" Target="https://doi.org/10.1016/j.actaastro.2025.08.048" TargetMode="External"/><Relationship Id="rId178" Type="http://schemas.openxmlformats.org/officeDocument/2006/relationships/hyperlink" Target="https://doi.org/10.1016/j.actaastro.2025.09.070" TargetMode="External"/><Relationship Id="rId176" Type="http://schemas.openxmlformats.org/officeDocument/2006/relationships/hyperlink" Target="https://doi.org/10.1016/j.actaastro.2026.01.049" TargetMode="External"/><Relationship Id="rId159" Type="http://schemas.openxmlformats.org/officeDocument/2006/relationships/hyperlink" Target="https://doi.org/10.64861/EIBC5616" TargetMode="External"/></Relationships>
</file>

<file path=word/_rels/footnotes.xml.rels><?xml version='1.0' encoding='UTF-8' standalone='yes'?>
<Relationships xmlns="http://schemas.openxmlformats.org/package/2006/relationships"><Relationship Id="rId168" Type="http://schemas.openxmlformats.org/officeDocument/2006/relationships/hyperlink" Target="https://doi.org/10.1016/j.actaastro.2023.02.043" TargetMode="External"/><Relationship Id="rId172" Type="http://schemas.openxmlformats.org/officeDocument/2006/relationships/hyperlink" Target="https://doi.org/10.1016/j.actaastro.2024.09.003" TargetMode="External"/><Relationship Id="rId180" Type="http://schemas.openxmlformats.org/officeDocument/2006/relationships/hyperlink" Target="https://doi.org/10.1016/j.actaastro.2025.01.040" TargetMode="External"/><Relationship Id="rId170" Type="http://schemas.openxmlformats.org/officeDocument/2006/relationships/hyperlink" Target="https://doi.org/10.1016/j.actaastro.2025.01.061" TargetMode="External"/><Relationship Id="rId182" Type="http://schemas.openxmlformats.org/officeDocument/2006/relationships/hyperlink" Target="https://doi.org/10.1016/j.actaastro.2025.03.010" TargetMode="External"/><Relationship Id="rId174" Type="http://schemas.openxmlformats.org/officeDocument/2006/relationships/hyperlink" Target="https://doi.org/10.1016/j.actaastro.2025.08.048" TargetMode="External"/><Relationship Id="rId178" Type="http://schemas.openxmlformats.org/officeDocument/2006/relationships/hyperlink" Target="https://doi.org/10.1016/j.actaastro.2025.09.070" TargetMode="External"/><Relationship Id="rId176" Type="http://schemas.openxmlformats.org/officeDocument/2006/relationships/hyperlink" Target="https://doi.org/10.1016/j.actaastro.2026.01.049" TargetMode="External"/><Relationship Id="rId159" Type="http://schemas.openxmlformats.org/officeDocument/2006/relationships/hyperlink" Target="https://doi.org/10.64861/EIBC56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Escalation Ladders in Orbit: Constructing and Validating a Counterspace Escalati</dc:title>
  <dc:creator>Beatriz Renner (1B-SEC-217)</dc:creator>
  <cp:keywords/>
  <dcterms:created xsi:type="dcterms:W3CDTF">2026-07-02T21:55:47Z</dcterms:created>
  <dcterms:modified xsi:type="dcterms:W3CDTF">2026-07-02T21:55:47Z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