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6e684efce78d77399eb72bd383739622be664d8"/>
    <w:p>
      <w:pPr>
        <w:pStyle w:val="Heading1"/>
      </w:pPr>
      <w:r>
        <w:t xml:space="preserve">Signal Intensity in Sea-Lane Logic in Cislunar Space Does Corbett’s Limited-War Theory Explain Patr: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Liv Ramos (1B-SEC-229) and the dissertation project</w:t>
      </w:r>
      <w:r>
        <w:t xml:space="preserve"> </w:t>
      </w:r>
      <w:r>
        <w:rPr>
          <w:i/>
          <w:iCs/>
        </w:rPr>
        <w:t xml:space="preserve">Sea-Lane Logic in Cislunar Space: Does Corbett’s Limited-War Theory Explain Patr</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R2=0.09727332538319788, R2_adj=-0.006887444764894779, F=1.967985991301678, F_p=0.14353731105191067. The exact term summary is: const coef=2.7179257896309927 p=0.012731476757618723; recency_index coef=0.16592412742539253 p=0.022499679860690024; cites_num coef=0.021082695839708128 p=0.6006904979132557; venue_score coef=-0.29246975974684764 p=0.5875420803102045.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Michael Felten, U.S. Air Force; John Colombi, AFIT; Richard Cobb, AFIT; David Meyer, AFIT. Optimization of Geosynchronous Space Situational Awareness Architectures using Parallel Computation (2018). [AMOS]</w:t>
      </w:r>
      <w:r>
        <w:t xml:space="preserve"> </w:t>
      </w:r>
      <w:bookmarkStart w:id="68" w:name="ref-2"/>
      <w:bookmarkEnd w:id="68"/>
      <w:r>
        <w:t xml:space="preserve">2. Susan Lederer, NASA JSC, L. F. Pace, NASA JSC, P. Hickson, U British Columbia, T. Glesne, Schafer Pacific, H. M. Cowardin, U Texas El Paso, J. M. Frith, UTexas El Paso, B. Buckalew, JETS Jacobs Technology, R. Maeda, Integrity Applications Incorporated, D. Douglas, Integrity Applications Incorporated, D. Nishimoto, Integrity Applications Incorporated. Deploying the NASA Meter Class Autonomous Telescope (MCAT) on Ascension Island (2015). [AMOS]</w:t>
      </w:r>
      <w:r>
        <w:t xml:space="preserve"> </w:t>
      </w:r>
      <w:bookmarkStart w:id="69" w:name="ref-3"/>
      <w:bookmarkEnd w:id="69"/>
      <w:r>
        <w:t xml:space="preserve">3. Todd Harrison, Center for Strategic and International Studies. International Perspectives on Space Weapons (2020). [AMOS]</w:t>
      </w:r>
      <w:r>
        <w:t xml:space="preserve"> </w:t>
      </w:r>
      <w:bookmarkStart w:id="70" w:name="ref-4"/>
      <w:bookmarkEnd w:id="70"/>
      <w:r>
        <w:t xml:space="preserve">4. W. Thomas Vestrand, Los Alamos National Laboratory; Yancey H. Sechrest, Los Alamos National Laboratory; Robert J. Hill Jr., Los Alamos National Laboratory; David M. Palmer, Los Alamos National Laboratory; Lucas P. Parker, Los Alamos National Laboratory; Marion W. Vance, Los Alamos National Laboratory; Przemek R. Wozniak, Los Alamos National Laboratory. Exploring a New Class of Bright, Ultra-fast, Glints from Resident Space Objects (2022). [AMOS]</w:t>
      </w:r>
      <w:r>
        <w:t xml:space="preserve"> </w:t>
      </w:r>
      <w:bookmarkStart w:id="71" w:name="ref-5"/>
      <w:bookmarkEnd w:id="71"/>
      <w:r>
        <w:t xml:space="preserve">5. W. Bruce Masse (Los Alamos National Laboratory), Robert P. Weaver (Los Alamos National Laboratory), Dallas H. Abbott (Lamont Doherty Earth Observatory of Columbia University), Viacheslav K. Gusiakov (Tsunami Laboratory), Edward A. Bryant (University of Wollongong). Missing in Action? Evaluating the Putative Absence of Impacts by Large Asteroids and Comets during the Quaternary Period (2007). [AMOS]</w:t>
      </w:r>
      <w:r>
        <w:t xml:space="preserve"> </w:t>
      </w:r>
      <w:bookmarkStart w:id="72" w:name="ref-6"/>
      <w:bookmarkEnd w:id="72"/>
      <w:r>
        <w:t xml:space="preserve">6. Greg Furlich, University of Colorado Boulder; Angie Crews, University of Colorado Boulder; Steve Rossland, University of Colorado Boulder; John Marino, University of Colorado Boulder; Anthony Mayo, Millennial Software; Douglas Kim, SpaceMap; Peter Ryu, SpaceMap; Chris Tschan, Data Fusion &amp; Neural Networks; Max Brown, Data Fusion &amp; Neural Networks; Ethan Crawford, Data Fusion &amp; Neural Networks; Matthew Leonard, Aloha Autonomy; Rithwik Neelakantan, Digantara; Sheena L. Winder, Kall Morris Inc.; Jack McGuigan, Observable Space; Jesse Williams, GTC Analytics; Brian Goodwin, RAIC Labs; Jubilee Prasad Rao, R4C Tech; Jimson Huang, Purdue University; Sean Ruda, Purdue University; Jack Al-Kahwati, Stardrive Inc.; Yasir Latif, Space Protocol; Samya Bagchi, Space Protocol; Latha Madhuri Pratti, Space Protocol; Cindy Chin, Planetary Systems AI; Mack Reed, Planetary Systems AI; Samantha Louque, Virginia Tech Applied Research Center; Melissa Hills, Virginia Tech Applied Research Center; Dan Pribulick, ICR; Major Travis Pond, SDA Tools, Applications, Processing Lab, SSC, USSF; Scott Brodeur, SDA Tools, Applications, Processing Lab, SSC, USSF; David Kurtenbach, SDA Tools, Applications, Processing Lab, SSC, USSF; Roger Altobelli, SDA Tools, Applications, Processing Lab, SSC, USSF. Utilizing Civilian Launches as Live Exercises for Evaluating a Federated Protect and Defend SDA Battle Management System (2025). doi:</w:t>
      </w:r>
      <w:r>
        <w:t xml:space="preserve"> </w:t>
      </w:r>
      <w:hyperlink r:id="rId73">
        <w:r>
          <w:rPr>
            <w:rStyle w:val="Hyperlink"/>
          </w:rPr>
          <w:t xml:space="preserve">10.64861/PFBR4795</w:t>
        </w:r>
      </w:hyperlink>
      <w:r>
        <w:t xml:space="preserve"> </w:t>
      </w:r>
      <w:bookmarkStart w:id="74" w:name="ref-7"/>
      <w:bookmarkEnd w:id="74"/>
      <w:r>
        <w:t xml:space="preserve">7. Scott Steele, The Open University. Can International Law Provide a Basis for Actively Removing Space Debris? (2020). [AMOS]</w:t>
      </w:r>
      <w:r>
        <w:t xml:space="preserve"> </w:t>
      </w:r>
      <w:bookmarkStart w:id="75" w:name="ref-8"/>
      <w:bookmarkEnd w:id="75"/>
      <w:r>
        <w:t xml:space="preserve">8. Charles Constant, University College London; Santosh Bhattarai, University College London; Marek Ziebart, University College London. Limitations of Current Practices in Uncooperative Space Surveillance: Analysis of Mega-Constellation Data Time-Series (2023). doi:</w:t>
      </w:r>
      <w:r>
        <w:t xml:space="preserve"> </w:t>
      </w:r>
      <w:hyperlink r:id="rId76">
        <w:r>
          <w:rPr>
            <w:rStyle w:val="Hyperlink"/>
          </w:rPr>
          <w:t xml:space="preserve">10.64861/QYAX9070</w:t>
        </w:r>
      </w:hyperlink>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2.7179</w:t>
            </w:r>
          </w:p>
        </w:tc>
        <w:tc>
          <w:tcPr>
            <w:tcW w:w="0" w:type="auto"/>
          </w:tcPr>
          <w:p>
            <w:pPr>
              <w:spacing w:line="240" w:lineRule="auto" w:before="0" w:after="0"/>
              <w:pStyle w:val="Compact"/>
            </w:pPr>
            <w:r>
              <w:rPr>
                <w:sz w:val="20"/>
                <w:szCs w:val="20"/>
              </w:rPr>
              <w:t xml:space="preserve">1.091</w:t>
            </w:r>
          </w:p>
        </w:tc>
        <w:tc>
          <w:tcPr>
            <w:tcW w:w="0" w:type="auto"/>
          </w:tcPr>
          <w:p>
            <w:pPr>
              <w:spacing w:line="240" w:lineRule="auto" w:before="0" w:after="0"/>
              <w:pStyle w:val="Compact"/>
            </w:pPr>
            <w:r>
              <w:rPr>
                <w:sz w:val="20"/>
                <w:szCs w:val="20"/>
              </w:rPr>
              <w:t xml:space="preserve">2.4912</w:t>
            </w:r>
          </w:p>
        </w:tc>
        <w:tc>
          <w:tcPr>
            <w:tcW w:w="0" w:type="auto"/>
          </w:tcPr>
          <w:p>
            <w:pPr>
              <w:spacing w:line="240" w:lineRule="auto" w:before="0" w:after="0"/>
              <w:pStyle w:val="Compact"/>
            </w:pPr>
            <w:r>
              <w:rPr>
                <w:sz w:val="20"/>
                <w:szCs w:val="20"/>
              </w:rPr>
              <w:t xml:space="preserve">0.0127</w:t>
            </w:r>
          </w:p>
        </w:tc>
        <w:tc>
          <w:tcPr>
            <w:tcW w:w="0" w:type="auto"/>
          </w:tcPr>
          <w:p>
            <w:pPr>
              <w:spacing w:line="240" w:lineRule="auto" w:before="0" w:after="0"/>
              <w:pStyle w:val="Compact"/>
            </w:pPr>
            <w:r>
              <w:rPr>
                <w:sz w:val="20"/>
                <w:szCs w:val="20"/>
              </w:rPr>
              <w:t xml:space="preserve">[0.5796, 4.8563]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0.1659</w:t>
            </w:r>
          </w:p>
        </w:tc>
        <w:tc>
          <w:tcPr>
            <w:tcW w:w="0" w:type="auto"/>
          </w:tcPr>
          <w:p>
            <w:pPr>
              <w:spacing w:line="240" w:lineRule="auto" w:before="0" w:after="0"/>
              <w:pStyle w:val="Compact"/>
            </w:pPr>
            <w:r>
              <w:rPr>
                <w:sz w:val="20"/>
                <w:szCs w:val="20"/>
              </w:rPr>
              <w:t xml:space="preserve">0.0727</w:t>
            </w:r>
          </w:p>
        </w:tc>
        <w:tc>
          <w:tcPr>
            <w:tcW w:w="0" w:type="auto"/>
          </w:tcPr>
          <w:p>
            <w:pPr>
              <w:spacing w:line="240" w:lineRule="auto" w:before="0" w:after="0"/>
              <w:pStyle w:val="Compact"/>
            </w:pPr>
            <w:r>
              <w:rPr>
                <w:sz w:val="20"/>
                <w:szCs w:val="20"/>
              </w:rPr>
              <w:t xml:space="preserve">2.2818</w:t>
            </w:r>
          </w:p>
        </w:tc>
        <w:tc>
          <w:tcPr>
            <w:tcW w:w="0" w:type="auto"/>
          </w:tcPr>
          <w:p>
            <w:pPr>
              <w:spacing w:line="240" w:lineRule="auto" w:before="0" w:after="0"/>
              <w:pStyle w:val="Compact"/>
            </w:pPr>
            <w:r>
              <w:rPr>
                <w:sz w:val="20"/>
                <w:szCs w:val="20"/>
              </w:rPr>
              <w:t xml:space="preserve">0.0225</w:t>
            </w:r>
          </w:p>
        </w:tc>
        <w:tc>
          <w:tcPr>
            <w:tcW w:w="0" w:type="auto"/>
          </w:tcPr>
          <w:p>
            <w:pPr>
              <w:spacing w:line="240" w:lineRule="auto" w:before="0" w:after="0"/>
              <w:pStyle w:val="Compact"/>
            </w:pPr>
            <w:r>
              <w:rPr>
                <w:sz w:val="20"/>
                <w:szCs w:val="20"/>
              </w:rPr>
              <w:t xml:space="preserve">[0.0234, 0.3084]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0.0211</w:t>
            </w:r>
          </w:p>
        </w:tc>
        <w:tc>
          <w:tcPr>
            <w:tcW w:w="0" w:type="auto"/>
          </w:tcPr>
          <w:p>
            <w:pPr>
              <w:spacing w:line="240" w:lineRule="auto" w:before="0" w:after="0"/>
              <w:pStyle w:val="Compact"/>
            </w:pPr>
            <w:r>
              <w:rPr>
                <w:sz w:val="20"/>
                <w:szCs w:val="20"/>
              </w:rPr>
              <w:t xml:space="preserve">0.0403</w:t>
            </w:r>
          </w:p>
        </w:tc>
        <w:tc>
          <w:tcPr>
            <w:tcW w:w="0" w:type="auto"/>
          </w:tcPr>
          <w:p>
            <w:pPr>
              <w:spacing w:line="240" w:lineRule="auto" w:before="0" w:after="0"/>
              <w:pStyle w:val="Compact"/>
            </w:pPr>
            <w:r>
              <w:rPr>
                <w:sz w:val="20"/>
                <w:szCs w:val="20"/>
              </w:rPr>
              <w:t xml:space="preserve">0.5234</w:t>
            </w:r>
          </w:p>
        </w:tc>
        <w:tc>
          <w:tcPr>
            <w:tcW w:w="0" w:type="auto"/>
          </w:tcPr>
          <w:p>
            <w:pPr>
              <w:spacing w:line="240" w:lineRule="auto" w:before="0" w:after="0"/>
              <w:pStyle w:val="Compact"/>
            </w:pPr>
            <w:r>
              <w:rPr>
                <w:sz w:val="20"/>
                <w:szCs w:val="20"/>
              </w:rPr>
              <w:t xml:space="preserve">0.6007</w:t>
            </w:r>
          </w:p>
        </w:tc>
        <w:tc>
          <w:tcPr>
            <w:tcW w:w="0" w:type="auto"/>
          </w:tcPr>
          <w:p>
            <w:pPr>
              <w:spacing w:line="240" w:lineRule="auto" w:before="0" w:after="0"/>
              <w:pStyle w:val="Compact"/>
            </w:pPr>
            <w:r>
              <w:rPr>
                <w:sz w:val="20"/>
                <w:szCs w:val="20"/>
              </w:rPr>
              <w:t xml:space="preserve">[-0.0579, 0.1]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-0.2925</w:t>
            </w:r>
          </w:p>
        </w:tc>
        <w:tc>
          <w:tcPr>
            <w:tcW w:w="0" w:type="auto"/>
          </w:tcPr>
          <w:p>
            <w:pPr>
              <w:spacing w:line="240" w:lineRule="auto" w:before="0" w:after="0"/>
              <w:pStyle w:val="Compact"/>
            </w:pPr>
            <w:r>
              <w:rPr>
                <w:sz w:val="20"/>
                <w:szCs w:val="20"/>
              </w:rPr>
              <w:t xml:space="preserve">0.5392</w:t>
            </w:r>
          </w:p>
        </w:tc>
        <w:tc>
          <w:tcPr>
            <w:tcW w:w="0" w:type="auto"/>
          </w:tcPr>
          <w:p>
            <w:pPr>
              <w:spacing w:line="240" w:lineRule="auto" w:before="0" w:after="0"/>
              <w:pStyle w:val="Compact"/>
            </w:pPr>
            <w:r>
              <w:rPr>
                <w:sz w:val="20"/>
                <w:szCs w:val="20"/>
              </w:rPr>
              <w:t xml:space="preserve">-0.5424</w:t>
            </w:r>
          </w:p>
        </w:tc>
        <w:tc>
          <w:tcPr>
            <w:tcW w:w="0" w:type="auto"/>
          </w:tcPr>
          <w:p>
            <w:pPr>
              <w:spacing w:line="240" w:lineRule="auto" w:before="0" w:after="0"/>
              <w:pStyle w:val="Compact"/>
            </w:pPr>
            <w:r>
              <w:rPr>
                <w:sz w:val="20"/>
                <w:szCs w:val="20"/>
              </w:rPr>
              <w:t xml:space="preserve">0.5875</w:t>
            </w:r>
          </w:p>
        </w:tc>
        <w:tc>
          <w:tcPr>
            <w:tcW w:w="0" w:type="auto"/>
          </w:tcPr>
          <w:p>
            <w:pPr>
              <w:spacing w:line="240" w:lineRule="auto" w:before="0" w:after="0"/>
              <w:pStyle w:val="Compact"/>
            </w:pPr>
            <w:r>
              <w:rPr>
                <w:sz w:val="20"/>
                <w:szCs w:val="20"/>
              </w:rPr>
              <w:t xml:space="preserve">[-1.3493, 0.7644]</w:t>
            </w:r>
          </w:p>
        </w:tc>
      </w:tr>
    </w:tbl>
    <w:p>
      <w:pPr>
        <w:pStyle w:val="BodyText"/>
      </w:pPr>
      <w:r>
        <w:t xml:space="preserve">Fit: N = 30 R2 = 0.0973 R2_adj = -0.0069 F = 1.968 F_p = 0.1435</w:t>
      </w:r>
    </w:p>
    <w:p>
      <w:pPr>
        <w:pStyle w:val="CaptionedFigure"/>
      </w:pPr>
      <w:r>
        <w:drawing>
          <wp:inline>
            <wp:extent cx="5669280" cy="3657600"/>
            <wp:effectExtent b="0" l="0" r="0" t="0"/>
            <wp:docPr descr="Figure 1. Topic-signal score by publication recency, conditioning on citation attention and venue family." title="" id="80" name="Picture"/>
            <a:graphic>
              <a:graphicData uri="http://schemas.openxmlformats.org/drawingml/2006/picture">
                <pic:pic>
                  <pic:nvPicPr>
                    <pic:cNvPr descr="D:\Claude_Code\brain\collegium\candidates\dissertations\SECURITY_DETERRENCE_04\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https://amostech.space/year/2018/optimization-of-geosynchronous-space-situational-awareness-architectures-using-parallel-computation/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https://amostech.space/year/2015/deploying-the-nasa-meter-class-autonomous-telescope-mcat-on-ascension-island/</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10.64861/HKAM1019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https://amostech.space/year/2019/demonstration-of-shift-scale-and-rotation-invariant-target-recognition-using-polar-mellin-transforms-in-a-hybrid-opto-electronic-correlator/</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10.64861/CXGE3201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https://amostech.space/year/2022/exploring-a-new-class-of-bright-ultra-fast-glints-from-resident-space-objects/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https://amostech.space/year/2007/missing-in-action-evaluating-the-putative-absence-of-impacts-by-large-asteroids-and-comets-during-the-quaternary-period/</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10.1016/j.actaastro.2024.10.063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10.1016/j.actaastro.2024.09.021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10.1016/j.actaastro.2017.03.011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10.1016/j.actaastro.2024.11.021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10.1016/j.actaastro.2026.01.021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10.1016/j.actaastro.2022.12.014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10.1016/j.actaastro.2024.06.015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10.1016/j.actaastro.2024.06.046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10.1016/j.actaastro.2022.07.042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2.7179</w:t>
            </w:r>
          </w:p>
        </w:tc>
        <w:tc>
          <w:tcPr>
            <w:tcW w:w="0" w:type="auto"/>
          </w:tcPr>
          <w:p>
            <w:pPr>
              <w:spacing w:line="240" w:lineRule="auto" w:before="0" w:after="0"/>
              <w:pStyle w:val="Compact"/>
            </w:pPr>
            <w:r>
              <w:rPr>
                <w:sz w:val="20"/>
                <w:szCs w:val="20"/>
              </w:rPr>
              <w:t xml:space="preserve">1.091</w:t>
            </w:r>
          </w:p>
        </w:tc>
        <w:tc>
          <w:tcPr>
            <w:tcW w:w="0" w:type="auto"/>
          </w:tcPr>
          <w:p>
            <w:pPr>
              <w:spacing w:line="240" w:lineRule="auto" w:before="0" w:after="0"/>
              <w:pStyle w:val="Compact"/>
            </w:pPr>
            <w:r>
              <w:rPr>
                <w:sz w:val="20"/>
                <w:szCs w:val="20"/>
              </w:rPr>
              <w:t xml:space="preserve">2.4912</w:t>
            </w:r>
          </w:p>
        </w:tc>
        <w:tc>
          <w:tcPr>
            <w:tcW w:w="0" w:type="auto"/>
          </w:tcPr>
          <w:p>
            <w:pPr>
              <w:spacing w:line="240" w:lineRule="auto" w:before="0" w:after="0"/>
              <w:pStyle w:val="Compact"/>
            </w:pPr>
            <w:r>
              <w:rPr>
                <w:sz w:val="20"/>
                <w:szCs w:val="20"/>
              </w:rPr>
              <w:t xml:space="preserve">0.0127</w:t>
            </w:r>
          </w:p>
        </w:tc>
        <w:tc>
          <w:tcPr>
            <w:tcW w:w="0" w:type="auto"/>
          </w:tcPr>
          <w:p>
            <w:pPr>
              <w:spacing w:line="240" w:lineRule="auto" w:before="0" w:after="0"/>
              <w:pStyle w:val="Compact"/>
            </w:pPr>
            <w:r>
              <w:rPr>
                <w:sz w:val="20"/>
                <w:szCs w:val="20"/>
              </w:rPr>
              <w:t xml:space="preserve">[0.5796, 4.8563]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0.1659</w:t>
            </w:r>
          </w:p>
        </w:tc>
        <w:tc>
          <w:tcPr>
            <w:tcW w:w="0" w:type="auto"/>
          </w:tcPr>
          <w:p>
            <w:pPr>
              <w:spacing w:line="240" w:lineRule="auto" w:before="0" w:after="0"/>
              <w:pStyle w:val="Compact"/>
            </w:pPr>
            <w:r>
              <w:rPr>
                <w:sz w:val="20"/>
                <w:szCs w:val="20"/>
              </w:rPr>
              <w:t xml:space="preserve">0.0727</w:t>
            </w:r>
          </w:p>
        </w:tc>
        <w:tc>
          <w:tcPr>
            <w:tcW w:w="0" w:type="auto"/>
          </w:tcPr>
          <w:p>
            <w:pPr>
              <w:spacing w:line="240" w:lineRule="auto" w:before="0" w:after="0"/>
              <w:pStyle w:val="Compact"/>
            </w:pPr>
            <w:r>
              <w:rPr>
                <w:sz w:val="20"/>
                <w:szCs w:val="20"/>
              </w:rPr>
              <w:t xml:space="preserve">2.2818</w:t>
            </w:r>
          </w:p>
        </w:tc>
        <w:tc>
          <w:tcPr>
            <w:tcW w:w="0" w:type="auto"/>
          </w:tcPr>
          <w:p>
            <w:pPr>
              <w:spacing w:line="240" w:lineRule="auto" w:before="0" w:after="0"/>
              <w:pStyle w:val="Compact"/>
            </w:pPr>
            <w:r>
              <w:rPr>
                <w:sz w:val="20"/>
                <w:szCs w:val="20"/>
              </w:rPr>
              <w:t xml:space="preserve">0.0225</w:t>
            </w:r>
          </w:p>
        </w:tc>
        <w:tc>
          <w:tcPr>
            <w:tcW w:w="0" w:type="auto"/>
          </w:tcPr>
          <w:p>
            <w:pPr>
              <w:spacing w:line="240" w:lineRule="auto" w:before="0" w:after="0"/>
              <w:pStyle w:val="Compact"/>
            </w:pPr>
            <w:r>
              <w:rPr>
                <w:sz w:val="20"/>
                <w:szCs w:val="20"/>
              </w:rPr>
              <w:t xml:space="preserve">[0.0234, 0.3084]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0.0211</w:t>
            </w:r>
          </w:p>
        </w:tc>
        <w:tc>
          <w:tcPr>
            <w:tcW w:w="0" w:type="auto"/>
          </w:tcPr>
          <w:p>
            <w:pPr>
              <w:spacing w:line="240" w:lineRule="auto" w:before="0" w:after="0"/>
              <w:pStyle w:val="Compact"/>
            </w:pPr>
            <w:r>
              <w:rPr>
                <w:sz w:val="20"/>
                <w:szCs w:val="20"/>
              </w:rPr>
              <w:t xml:space="preserve">0.0403</w:t>
            </w:r>
          </w:p>
        </w:tc>
        <w:tc>
          <w:tcPr>
            <w:tcW w:w="0" w:type="auto"/>
          </w:tcPr>
          <w:p>
            <w:pPr>
              <w:spacing w:line="240" w:lineRule="auto" w:before="0" w:after="0"/>
              <w:pStyle w:val="Compact"/>
            </w:pPr>
            <w:r>
              <w:rPr>
                <w:sz w:val="20"/>
                <w:szCs w:val="20"/>
              </w:rPr>
              <w:t xml:space="preserve">0.5234</w:t>
            </w:r>
          </w:p>
        </w:tc>
        <w:tc>
          <w:tcPr>
            <w:tcW w:w="0" w:type="auto"/>
          </w:tcPr>
          <w:p>
            <w:pPr>
              <w:spacing w:line="240" w:lineRule="auto" w:before="0" w:after="0"/>
              <w:pStyle w:val="Compact"/>
            </w:pPr>
            <w:r>
              <w:rPr>
                <w:sz w:val="20"/>
                <w:szCs w:val="20"/>
              </w:rPr>
              <w:t xml:space="preserve">0.6007</w:t>
            </w:r>
          </w:p>
        </w:tc>
        <w:tc>
          <w:tcPr>
            <w:tcW w:w="0" w:type="auto"/>
          </w:tcPr>
          <w:p>
            <w:pPr>
              <w:spacing w:line="240" w:lineRule="auto" w:before="0" w:after="0"/>
              <w:pStyle w:val="Compact"/>
            </w:pPr>
            <w:r>
              <w:rPr>
                <w:sz w:val="20"/>
                <w:szCs w:val="20"/>
              </w:rPr>
              <w:t xml:space="preserve">[-0.0579, 0.1]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-0.2925</w:t>
            </w:r>
          </w:p>
        </w:tc>
        <w:tc>
          <w:tcPr>
            <w:tcW w:w="0" w:type="auto"/>
          </w:tcPr>
          <w:p>
            <w:pPr>
              <w:spacing w:line="240" w:lineRule="auto" w:before="0" w:after="0"/>
              <w:pStyle w:val="Compact"/>
            </w:pPr>
            <w:r>
              <w:rPr>
                <w:sz w:val="20"/>
                <w:szCs w:val="20"/>
              </w:rPr>
              <w:t xml:space="preserve">0.5392</w:t>
            </w:r>
          </w:p>
        </w:tc>
        <w:tc>
          <w:tcPr>
            <w:tcW w:w="0" w:type="auto"/>
          </w:tcPr>
          <w:p>
            <w:pPr>
              <w:spacing w:line="240" w:lineRule="auto" w:before="0" w:after="0"/>
              <w:pStyle w:val="Compact"/>
            </w:pPr>
            <w:r>
              <w:rPr>
                <w:sz w:val="20"/>
                <w:szCs w:val="20"/>
              </w:rPr>
              <w:t xml:space="preserve">-0.5424</w:t>
            </w:r>
          </w:p>
        </w:tc>
        <w:tc>
          <w:tcPr>
            <w:tcW w:w="0" w:type="auto"/>
          </w:tcPr>
          <w:p>
            <w:pPr>
              <w:spacing w:line="240" w:lineRule="auto" w:before="0" w:after="0"/>
              <w:pStyle w:val="Compact"/>
            </w:pPr>
            <w:r>
              <w:rPr>
                <w:sz w:val="20"/>
                <w:szCs w:val="20"/>
              </w:rPr>
              <w:t xml:space="preserve">0.5875</w:t>
            </w:r>
          </w:p>
        </w:tc>
        <w:tc>
          <w:tcPr>
            <w:tcW w:w="0" w:type="auto"/>
          </w:tcPr>
          <w:p>
            <w:pPr>
              <w:spacing w:line="240" w:lineRule="auto" w:before="0" w:after="0"/>
              <w:pStyle w:val="Compact"/>
            </w:pPr>
            <w:r>
              <w:rPr>
                <w:sz w:val="20"/>
                <w:szCs w:val="20"/>
              </w:rPr>
              <w:t xml:space="preserve">[-1.3493, 0.7644]</w:t>
            </w:r>
          </w:p>
        </w:tc>
      </w:tr>
    </w:tbl>
    <w:p>
      <w:pPr>
        <w:pStyle w:val="BodyText"/>
      </w:pPr>
      <w:r>
        <w:t xml:space="preserve">Fit: N = 30 R2 = 0.0973 R2_adj = -0.0069 F = 1.968 F_p = 0.1435</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3" Target="https://doi.org/10.64861/PFBR4795" TargetMode="External" /><Relationship Type="http://schemas.openxmlformats.org/officeDocument/2006/relationships/hyperlink" Id="rId76" Target="https://doi.org/10.64861/QYAX9070"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PFBR4795" TargetMode="External" /><Relationship Type="http://schemas.openxmlformats.org/officeDocument/2006/relationships/hyperlink" Id="rId76" Target="https://doi.org/10.64861/QYAX907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2026-06-29T09:44:28Z</dcterms:created>
  <dcterms:modified xsi:type="dcterms:W3CDTF">2026-06-29T09:44:28Z</dcterms:modified>
</cp:coreProperties>
</file>

<file path=docProps/custom.xml><?xml version="1.0" encoding="utf-8"?>
<Properties xmlns="http://schemas.openxmlformats.org/officeDocument/2006/custom-properties" xmlns:vt="http://schemas.openxmlformats.org/officeDocument/2006/docPropsVTypes"/>
</file>