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omments.xml" ContentType="application/vnd.openxmlformats-officedocument.wordprocessingml.comment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4" Type="http://schemas.openxmlformats.org/officeDocument/2006/relationships/extended-properties" Target="docProps/app.xml"/><Relationship Id="rId3" Type="http://schemas.openxmlformats.org/package/2006/relationships/metadata/core-properties" Target="docProps/core.xml"/><Relationship Id="rId5" Type="http://schemas.openxmlformats.org/officeDocument/2006/relationships/custom-properties" Target="docProps/custom.xml"/></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jc w:val="center"/>
      </w:pPr>
    </w:p>
    <w:p>
      <w:pPr>
        <w:jc w:val="center"/>
      </w:pPr>
    </w:p>
    <w:p>
      <w:pPr>
        <w:jc w:val="center"/>
      </w:pPr>
    </w:p>
    <w:p>
      <w:pPr>
        <w:pStyle w:val="Title"/>
        <w:jc w:val="center"/>
      </w:pPr>
      <w:r>
        <w:rPr>
          <w:rFonts w:ascii="Times New Roman" w:hAnsi="Times New Roman"/>
          <w:b/>
        </w:rPr>
        <w:t>SEA-LANE LOGIC IN CISLUNAR SPACE: DOES CORBETT'S LIMITED-WAR THEORY EXPLAIN PATR</w:t>
      </w:r>
    </w:p>
    <w:p>
      <w:pPr>
        <w:jc w:val="center"/>
      </w:pPr>
    </w:p>
    <w:p>
      <w:pPr>
        <w:jc w:val="center"/>
      </w:pPr>
      <w:r>
        <w:rPr>
          <w:rFonts w:ascii="Times New Roman" w:hAnsi="Times New Roman"/>
          <w:sz w:val="24"/>
        </w:rPr>
        <w:t>by</w:t>
      </w:r>
    </w:p>
    <w:p>
      <w:pPr>
        <w:jc w:val="center"/>
      </w:pPr>
      <w:r>
        <w:rPr>
          <w:rFonts w:ascii="Times New Roman" w:hAnsi="Times New Roman"/>
          <w:b/>
          <w:sz w:val="28"/>
        </w:rPr>
        <w:t>Liv Ramos</w:t>
      </w:r>
    </w:p>
    <w:p>
      <w:pPr>
        <w:jc w:val="center"/>
      </w:pPr>
      <w:r>
        <w:rPr>
          <w:rFonts w:ascii="Times New Roman" w:hAnsi="Times New Roman"/>
          <w:sz w:val="24"/>
        </w:rPr>
        <w:t>1B-SEC-229</w:t>
      </w:r>
    </w:p>
    <w:p>
      <w:pPr>
        <w:jc w:val="center"/>
      </w:pPr>
      <w:r>
        <w:rPr>
          <w:rFonts w:ascii="Times New Roman" w:hAnsi="Times New Roman"/>
          <w:sz w:val="24"/>
        </w:rPr>
        <w:t>COLLEGIUM 1st Battalion candidate</w:t>
      </w:r>
    </w:p>
    <w:p>
      <w:pPr>
        <w:jc w:val="center"/>
      </w:pPr>
    </w:p>
    <w:p>
      <w:pPr>
        <w:jc w:val="center"/>
      </w:pPr>
    </w:p>
    <w:p>
      <w:pPr>
        <w:jc w:val="center"/>
      </w:pPr>
      <w:r>
        <w:rPr>
          <w:rFonts w:ascii="Times New Roman" w:hAnsi="Times New Roman"/>
          <w:sz w:val="24"/>
        </w:rPr>
        <w:t>A dissertation submitted in conformity with the requirements for the degree of Doctor of Philosophy</w:t>
      </w:r>
    </w:p>
    <w:p>
      <w:pPr>
        <w:jc w:val="center"/>
      </w:pPr>
    </w:p>
    <w:p>
      <w:pPr>
        <w:jc w:val="center"/>
      </w:pPr>
      <w:r>
        <w:rPr>
          <w:rFonts w:ascii="Times New Roman" w:hAnsi="Times New Roman"/>
          <w:sz w:val="24"/>
        </w:rPr>
        <w:t>2026</w:t>
      </w: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r>
        <w:rPr>
          <w:rFonts w:ascii="Times New Roman" w:hAnsi="Times New Roman"/>
          <w:sz w:val="24"/>
        </w:rPr>
        <w:t>(c) 2026 COLLEGIUM 1st Battalion</w:t>
      </w:r>
    </w:p>
    <w:p>
      <w:pPr>
        <w:jc w:val="center"/>
      </w:pPr>
      <w:r>
        <w:rPr>
          <w:rFonts w:ascii="Times New Roman" w:hAnsi="Times New Roman"/>
          <w:sz w:val="24"/>
        </w:rPr>
        <w:t>All Rights Reserved</w:t>
      </w:r>
    </w:p>
    <w:p>
      <w:r>
        <w:br w:type="page"/>
      </w:r>
    </w:p>
    <w:p>
      <w:pPr>
        <w:pStyle w:val="Date"/>
        <w:spacing w:line="480" w:lineRule="auto"/>
      </w:pPr>
      <w:r>
        <w:t xml:space="preserve">2025-12-31</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bookmarkStart w:id="70" w:name="chapter-1.-introduction"/>
    <w:p>
      <w:pPr>
        <w:pStyle w:val="Heading1"/>
        <w:spacing w:line="480" w:lineRule="auto"/>
      </w:pPr>
      <w:r>
        <w:t xml:space="preserve">Chapter 1. Introduction</w:t>
      </w:r>
    </w:p>
    <w:p>
      <w:pPr>
        <w:pStyle w:val="FirstParagraph"/>
        <w:spacing w:line="480" w:lineRule="auto"/>
      </w:pPr>
      <w:r>
        <w:t xml:space="preserve">Space governance tends to arrive late. The pattern is old. A capability appears, an incident follows, and only afterward do states begin to argue about the rule that should have governed the behavior in the first place. This dissertation begins from that lag. It asks whether the early visibility of a governance problem, the moment when a topic begins to circulate in the technical and policy literature before any settled operating norm exists, can be turned into a falsifiable measurement rather than left as an untested intuition. The candidate project,</w:t>
      </w:r>
      <w:r>
        <w:t xml:space="preserve"> </w:t>
      </w:r>
      <w:r>
        <w:rPr>
          <w:i/>
          <w:iCs/>
        </w:rPr>
        <w:t xml:space="preserve">Sea-Lane Logic in Cislunar Space: Does Corbett’s Limited-War Theory Explain Patrol and Presence in the Earth-Moon System</w:t>
      </w:r>
      <w:r>
        <w:t xml:space="preserve">, takes a maritime-strategic frame and puts it to a documentary test. The question driving the whole inquiry is disciplined and small. Can a claim about the salience of cislunar sea-lane logic be recovered from the timing, citation attention, and venue structure of the sources that discuss it</w:t>
      </w:r>
      <w:r>
        <w:t xml:space="preserve"> </w:t>
      </w:r>
      <w:hyperlink w:anchor="ref-1">
        <w:r>
          <w:rPr>
            <w:rStyle w:val="Hyperlink"/>
          </w:rPr>
          <w:t xml:space="preserve">[1]</w:t>
        </w:r>
      </w:hyperlink>
      <w:r>
        <w:t xml:space="preserve"> </w:t>
      </w:r>
      <w:hyperlink w:anchor="ref-3">
        <w:r>
          <w:rPr>
            <w:rStyle w:val="Hyperlink"/>
          </w:rPr>
          <w:t xml:space="preserve">[3]</w:t>
        </w:r>
      </w:hyperlink>
      <w:r>
        <w:t xml:space="preserve">?</w:t>
      </w:r>
    </w:p>
    <w:p>
      <w:pPr>
        <w:pStyle w:val="BodyText"/>
        <w:spacing w:line="480" w:lineRule="auto"/>
        <w:ind w:firstLine="720"/>
      </w:pPr>
      <w:r>
        <w:t xml:space="preserve">The maritime analogy is not decorative. It has a specific pedigree. Julian Corbett argued that command of the sea is rarely absolute and rarely permanent, that the practical object of naval strategy is the control of communication lines rather than the annihilation of an adversary, and that limited war at sea turns on presence, patrol, and the protection of trade routes. Cislunar space is beginning to be described in the same vocabulary. Transfer trajectories, libration points, and the narrow orbital corridors that connect low Earth orbit to lunar orbit are increasingly framed as lines of communication that a state might contest, patrol, or deny</w:t>
      </w:r>
      <w:r>
        <w:t xml:space="preserve"> </w:t>
      </w:r>
      <w:hyperlink w:anchor="ref-3">
        <w:r>
          <w:rPr>
            <w:rStyle w:val="Hyperlink"/>
          </w:rPr>
          <w:t xml:space="preserve">[3]</w:t>
        </w:r>
      </w:hyperlink>
      <w:r>
        <w:t xml:space="preserve">. Whether that framing is a genuine analytic shift or a passing rhetorical fashion is exactly the sort of claim that ought to be testable against evidence rather than asserted.</w:t>
      </w:r>
    </w:p>
    <w:p>
      <w:pPr>
        <w:pStyle w:val="BodyText"/>
        <w:spacing w:line="480" w:lineRule="auto"/>
        <w:ind w:firstLine="720"/>
      </w:pPr>
      <w:r>
        <w:t xml:space="preserve">Here is the difficulty. The genre gets in the way. Most writing about cislunar security operates at the level of the essay. It gathers plausible references, arranges them into an argument, and reaches a conclusion whose evidentiary basis is hard to inspect. A reader cannot easily tell which claims rest on measured structure in the sources and which rest on the author’s confidence. This dissertation refuses that posture. It commits to a chain that a skeptical reader can follow end to end: from the selection of source records, to the construction of variables, to the estimator output, to the interpretation, with every number traceable back to an auditable file. Nothing in the empirical chapters is asserted that cannot be recovered from the retained data</w:t>
      </w:r>
      <w:r>
        <w:t xml:space="preserve"> </w:t>
      </w:r>
      <w:hyperlink w:anchor="ref-4">
        <w:r>
          <w:rPr>
            <w:rStyle w:val="Hyperlink"/>
          </w:rPr>
          <w:t xml:space="preserve">[4]</w:t>
        </w:r>
      </w:hyperlink>
      <w:r>
        <w:t xml:space="preserve"> </w:t>
      </w:r>
      <w:hyperlink w:anchor="ref-5">
        <w:r>
          <w:rPr>
            <w:rStyle w:val="Hyperlink"/>
          </w:rPr>
          <w:t xml:space="preserve">[5]</w:t>
        </w:r>
      </w:hyperlink>
      <w:r>
        <w:t xml:space="preserve">.</w:t>
      </w:r>
    </w:p>
    <w:bookmarkStart w:id="61" w:name="the-stakes"/>
    <w:p>
      <w:pPr>
        <w:pStyle w:val="Heading2"/>
        <w:spacing w:line="480" w:lineRule="auto"/>
      </w:pPr>
      <w:r>
        <w:t xml:space="preserve">The stakes</w:t>
      </w:r>
    </w:p>
    <w:p>
      <w:pPr>
        <w:pStyle w:val="FirstParagraph"/>
        <w:spacing w:line="480" w:lineRule="auto"/>
      </w:pPr>
      <w:r>
        <w:t xml:space="preserve">Why should anyone care whether a governance topic is visible in source metadata? The answer is about cost. Premature confidence is expensive in this domain. If analysts overstate the maturity of cislunar sea-lane thinking, they may recommend doctrine, force structure, or treaty language for a problem that the field has not yet characterized. If they understate it, they may miss an emerging contest until it is already dangerous. International perspectives on space weapons already show how contested the vocabulary of orbital security has become, with states reading the same capabilities as either stabilizing or threatening depending on the frame they bring</w:t>
      </w:r>
      <w:r>
        <w:t xml:space="preserve"> </w:t>
      </w:r>
      <w:hyperlink w:anchor="ref-3">
        <w:r>
          <w:rPr>
            <w:rStyle w:val="Hyperlink"/>
          </w:rPr>
          <w:t xml:space="preserve">[3]</w:t>
        </w:r>
      </w:hyperlink>
      <w:r>
        <w:t xml:space="preserve">. Legal scholarship on autonomous weapons and the militarization of outer space raises the same worry from the normative side, warning that the governing rules are being outpaced by the systems they are meant to constrain</w:t>
      </w:r>
      <w:r>
        <w:t xml:space="preserve"> </w:t>
      </w:r>
      <w:hyperlink w:anchor="ref-9">
        <w:r>
          <w:rPr>
            <w:rStyle w:val="Hyperlink"/>
          </w:rPr>
          <w:t xml:space="preserve">[9]</w:t>
        </w:r>
      </w:hyperlink>
      <w:r>
        <w:t xml:space="preserve">. A measurement that tells us where the literature actually concentrates its attention is a modest but real corrective to both errors.</w:t>
      </w:r>
    </w:p>
    <w:p>
      <w:pPr>
        <w:pStyle w:val="BodyText"/>
        <w:spacing w:line="480" w:lineRule="auto"/>
        <w:ind w:firstLine="720"/>
      </w:pPr>
      <w:r>
        <w:t xml:space="preserve">The stakes are also methodological. Space policy studies has a recurring temptation to treat citation counts, publication dates, and venue prestige as if they spoke for themselves. They do not. A citation count drawn from a local index is not a universal measure of influence. A venue-family code is ordinal and easily overread. Recency can reflect a genuine surge in attention or merely the shape of the corpus that happened to be retrieved. Treating these signals as measurements, with all the caution that measurement demands, is itself a contribution to how the subfield handles evidence</w:t>
      </w:r>
      <w:r>
        <w:t xml:space="preserve"> </w:t>
      </w:r>
      <w:hyperlink w:anchor="ref-2">
        <w:r>
          <w:rPr>
            <w:rStyle w:val="Hyperlink"/>
          </w:rPr>
          <w:t xml:space="preserve">[2]</w:t>
        </w:r>
      </w:hyperlink>
      <w:r>
        <w:t xml:space="preserve"> </w:t>
      </w:r>
      <w:hyperlink w:anchor="ref-4">
        <w:r>
          <w:rPr>
            <w:rStyle w:val="Hyperlink"/>
          </w:rPr>
          <w:t xml:space="preserve">[4]</w:t>
        </w:r>
      </w:hyperlink>
      <w:r>
        <w:t xml:space="preserve">.</w:t>
      </w:r>
    </w:p>
    <w:bookmarkEnd w:id="61"/>
    <w:bookmarkStart w:id="62" w:name="the-single-falsifiable-contribution"/>
    <w:p>
      <w:pPr>
        <w:pStyle w:val="Heading2"/>
        <w:spacing w:line="480" w:lineRule="auto"/>
      </w:pPr>
      <w:r>
        <w:t xml:space="preserve">The single falsifiable contribution</w:t>
      </w:r>
    </w:p>
    <w:p>
      <w:pPr>
        <w:pStyle w:val="FirstParagraph"/>
        <w:spacing w:line="480" w:lineRule="auto"/>
      </w:pPr>
      <w:r>
        <w:t xml:space="preserve">The claim is deliberately singular. This dissertation makes one testable claim, stated so that it can fail. The null hypothesis is that the candidate topic signal, a deterministic count of theme-relevant terms in each retrieved record, is unrelated to publication recency, citation attention, and venue family across the retrieved corpus. The alternative is that the signal is systematically related to those three observable features, rising in particular with recency and citation attention. If the null cannot be rejected, the honest finding is that the corpus does not yet exhibit the structure that a maturing governance topic would produce, and the dissertation says so plainly.</w:t>
      </w:r>
    </w:p>
    <w:p>
      <w:pPr>
        <w:pStyle w:val="BodyText"/>
        <w:spacing w:line="480" w:lineRule="auto"/>
        <w:ind w:firstLine="720"/>
      </w:pPr>
      <w:r>
        <w:t xml:space="preserve">That single contribution is deliberately narrow, and the narrowness is the point. A doctoral project can either try to settle the entire question of whether Corbett’s limited-war theory explains cislunar patrol and presence, and thereby overreach, or it can isolate one component of that question that obtainable evidence can actually adjudicate. This project chooses the second. It tests whether the topic is visible in the structure of its own literature, treats that as a precondition for the larger theoretical claim, and leaves the fuller causal question to a design with richer document-level coding</w:t>
      </w:r>
      <w:r>
        <w:t xml:space="preserve"> </w:t>
      </w:r>
      <w:hyperlink w:anchor="ref-6">
        <w:r>
          <w:rPr>
            <w:rStyle w:val="Hyperlink"/>
          </w:rPr>
          <w:t xml:space="preserve">[6]</w:t>
        </w:r>
      </w:hyperlink>
      <w:r>
        <w:t xml:space="preserve"> </w:t>
      </w:r>
      <w:hyperlink w:anchor="ref-8">
        <w:r>
          <w:rPr>
            <w:rStyle w:val="Hyperlink"/>
          </w:rPr>
          <w:t xml:space="preserve">[8]</w:t>
        </w:r>
      </w:hyperlink>
      <w:r>
        <w:t xml:space="preserve">.</w:t>
      </w:r>
    </w:p>
    <w:bookmarkEnd w:id="62"/>
    <w:bookmarkStart w:id="63" w:name="the-empirical-spine"/>
    <w:p>
      <w:pPr>
        <w:pStyle w:val="Heading2"/>
        <w:spacing w:line="480" w:lineRule="auto"/>
      </w:pPr>
      <w:r>
        <w:t xml:space="preserve">The empirical spine</w:t>
      </w:r>
    </w:p>
    <w:p>
      <w:pPr>
        <w:pStyle w:val="FirstParagraph"/>
        <w:spacing w:line="480" w:lineRule="auto"/>
      </w:pPr>
      <w:r>
        <w:t xml:space="preserve">Two empirical papers carry the test. They divide the labor. Paper 1 examines cross-sectional structure. It regresses a composite topic-signal score on a recency index, a reported citation count, and an ordinal venue-family score, using ordinary least squares with robust HC1 standard errors over thirty retrieved source records. The estimator asks a direct question: do the observable features of a source predict how strongly that source registers the candidate theme? Paper 2 examines accumulation over time. It fits a log-log learning-curve model of citation growth against article age across the same thirty records, asking whether attention accrues with a measurable age-based shape or arrives without temporal structure. The two are complementary. One reads the corpus as a snapshot; the other reads it as a process.</w:t>
      </w:r>
    </w:p>
    <w:p>
      <w:pPr>
        <w:pStyle w:val="BodyText"/>
        <w:spacing w:line="480" w:lineRule="auto"/>
        <w:ind w:firstLine="720"/>
      </w:pPr>
      <w:r>
        <w:t xml:space="preserve">The headline numbers preview what the results chapter reports in full. Paper 1 returns an overall fit that is weak at the model level, with the recency coefficient reaching conventional significance while citation count and venue family do not. Paper 2 returns a negative age elasticity that is imprecisely estimated. Neither result licenses a sweeping claim. Both results discipline one. The recency signal is real enough to notice; the rest of the structure is thin enough to caution against overreading. That combination, a partial and honest answer, is the kind of finding this design is built to produce</w:t>
      </w:r>
      <w:r>
        <w:t xml:space="preserve"> </w:t>
      </w:r>
      <w:hyperlink w:anchor="ref-1">
        <w:r>
          <w:rPr>
            <w:rStyle w:val="Hyperlink"/>
          </w:rPr>
          <w:t xml:space="preserve">[1]</w:t>
        </w:r>
      </w:hyperlink>
      <w:r>
        <w:t xml:space="preserve"> </w:t>
      </w:r>
      <w:hyperlink w:anchor="ref-5">
        <w:r>
          <w:rPr>
            <w:rStyle w:val="Hyperlink"/>
          </w:rPr>
          <w:t xml:space="preserve">[5]</w:t>
        </w:r>
      </w:hyperlink>
      <w:r>
        <w:t xml:space="preserve">.</w:t>
      </w:r>
    </w:p>
    <w:bookmarkEnd w:id="63"/>
    <w:bookmarkStart w:id="64" w:name="Xa68a5ef19445c60b3dd5c655ccce66844e7fb5a"/>
    <w:p>
      <w:pPr>
        <w:pStyle w:val="Heading2"/>
        <w:spacing w:line="480" w:lineRule="auto"/>
      </w:pPr>
      <w:r>
        <w:t xml:space="preserve">Why a bibliometric test, and not a case study</w:t>
      </w:r>
    </w:p>
    <w:p>
      <w:pPr>
        <w:pStyle w:val="FirstParagraph"/>
        <w:spacing w:line="480" w:lineRule="auto"/>
      </w:pPr>
      <w:r>
        <w:t xml:space="preserve">A reasonable objection arrives early: if the question is whether Corbett’s theory explains cislunar patrol, why not simply study a cislunar case? The point holds. The answer is that there are, as yet, almost no cases to study. Sustained patrol-and-presence operations in the Earth-Moon system do not exist at the scale that would let a case study discriminate between competing strategic theories. What exists is a rapidly growing literature that anticipates such operations, argues about their governance, and builds the sensing and awareness infrastructure they would require. When the phenomenon of interest is still emerging, the earliest empirical purchase available is often the structure of the discourse that surrounds it, and reading that structure carefully is a legitimate way to ask whether a frame is taking hold before the operations it describes have matured</w:t>
      </w:r>
      <w:r>
        <w:t xml:space="preserve"> </w:t>
      </w:r>
      <w:hyperlink w:anchor="ref-3">
        <w:r>
          <w:rPr>
            <w:rStyle w:val="Hyperlink"/>
          </w:rPr>
          <w:t xml:space="preserve">[3]</w:t>
        </w:r>
      </w:hyperlink>
      <w:r>
        <w:t xml:space="preserve"> </w:t>
      </w:r>
      <w:hyperlink w:anchor="ref-6">
        <w:r>
          <w:rPr>
            <w:rStyle w:val="Hyperlink"/>
          </w:rPr>
          <w:t xml:space="preserve">[6]</w:t>
        </w:r>
      </w:hyperlink>
      <w:r>
        <w:t xml:space="preserve">.</w:t>
      </w:r>
    </w:p>
    <w:p>
      <w:pPr>
        <w:pStyle w:val="BodyText"/>
        <w:spacing w:line="480" w:lineRule="auto"/>
        <w:ind w:firstLine="720"/>
      </w:pPr>
      <w:r>
        <w:t xml:space="preserve">This is a familiar move in the study of emerging domains, though it is rarely made explicitly in space policy. Fields that lack a settled empirical record frequently turn to their own literatures as an object of study, asking where attention concentrates, how vocabulary shifts, and which venues carry a conversation. The discipline required is to treat those metadata signals as measurements with error rather than as transparent windows onto truth. A recency trend can reflect genuine diffusion or merely the shape of a retrieved corpus. A citation pattern can reflect influence or index coverage. The bibliometric test earns its place not by claiming to settle the strategic question but by supplying a reproducible foundation on which a later, richer design can build</w:t>
      </w:r>
      <w:r>
        <w:t xml:space="preserve"> </w:t>
      </w:r>
      <w:hyperlink w:anchor="ref-4">
        <w:r>
          <w:rPr>
            <w:rStyle w:val="Hyperlink"/>
          </w:rPr>
          <w:t xml:space="preserve">[4]</w:t>
        </w:r>
      </w:hyperlink>
      <w:r>
        <w:t xml:space="preserve"> </w:t>
      </w:r>
      <w:hyperlink w:anchor="ref-5">
        <w:r>
          <w:rPr>
            <w:rStyle w:val="Hyperlink"/>
          </w:rPr>
          <w:t xml:space="preserve">[5]</w:t>
        </w:r>
      </w:hyperlink>
      <w:r>
        <w:t xml:space="preserve">.</w:t>
      </w:r>
    </w:p>
    <w:p>
      <w:pPr>
        <w:pStyle w:val="BodyText"/>
        <w:spacing w:line="480" w:lineRule="auto"/>
        <w:ind w:firstLine="720"/>
      </w:pPr>
      <w:r>
        <w:t xml:space="preserve">There is also an economy to the choice. A metadata screen can be run, audited, and re-run at low cost, and its every step can be exposed to a skeptical reader. That transparency is worth more, at this stage of the field’s development, than the false precision of a case study built on too few cases. The design trades breadth of claim for depth of auditability, and for a doctoral project whose contribution must be defensible line by line, that is the right trade</w:t>
      </w:r>
      <w:r>
        <w:t xml:space="preserve"> </w:t>
      </w:r>
      <w:hyperlink w:anchor="ref-2">
        <w:r>
          <w:rPr>
            <w:rStyle w:val="Hyperlink"/>
          </w:rPr>
          <w:t xml:space="preserve">[2]</w:t>
        </w:r>
      </w:hyperlink>
      <w:r>
        <w:t xml:space="preserve"> </w:t>
      </w:r>
      <w:hyperlink w:anchor="ref-8">
        <w:r>
          <w:rPr>
            <w:rStyle w:val="Hyperlink"/>
          </w:rPr>
          <w:t xml:space="preserve">[8]</w:t>
        </w:r>
      </w:hyperlink>
      <w:r>
        <w:t xml:space="preserve">.</w:t>
      </w:r>
    </w:p>
    <w:bookmarkEnd w:id="64"/>
    <w:bookmarkStart w:id="65" w:name="the-shape-of-the-argument"/>
    <w:p>
      <w:pPr>
        <w:pStyle w:val="Heading2"/>
        <w:spacing w:line="480" w:lineRule="auto"/>
      </w:pPr>
      <w:r>
        <w:t xml:space="preserve">The shape of the argument</w:t>
      </w:r>
    </w:p>
    <w:p>
      <w:pPr>
        <w:pStyle w:val="FirstParagraph"/>
        <w:spacing w:line="480" w:lineRule="auto"/>
      </w:pPr>
      <w:r>
        <w:t xml:space="preserve">The dissertation advances a claim, tests it, and reports the result honestly, in that order. The claim is that a maturing security frame leaves a recoverable trace in the timing, attention, and venue distribution of its literature. The test is two estimators over thirty retained records. The result, previewed above and reported in full in Chapter 6, is a partial confirmation: the recency dimension carries a genuine signal, while citation attention and venue family do not, and the temporal model returns a directionally consistent but imprecise elasticity. The interpretive spine of the whole document is the refusal to read that partial result as either a triumph or a failure. It is a map of where the evidence is strong and where it is thin, which is exactly what a bounded inquiry should produce</w:t>
      </w:r>
      <w:r>
        <w:t xml:space="preserve"> </w:t>
      </w:r>
      <w:hyperlink w:anchor="ref-1">
        <w:r>
          <w:rPr>
            <w:rStyle w:val="Hyperlink"/>
          </w:rPr>
          <w:t xml:space="preserve">[1]</w:t>
        </w:r>
      </w:hyperlink>
      <w:r>
        <w:t xml:space="preserve"> </w:t>
      </w:r>
      <w:hyperlink w:anchor="ref-9">
        <w:r>
          <w:rPr>
            <w:rStyle w:val="Hyperlink"/>
          </w:rPr>
          <w:t xml:space="preserve">[9]</w:t>
        </w:r>
      </w:hyperlink>
      <w:r>
        <w:t xml:space="preserve">.</w:t>
      </w:r>
    </w:p>
    <w:p>
      <w:pPr>
        <w:pStyle w:val="BodyText"/>
        <w:spacing w:line="480" w:lineRule="auto"/>
        <w:ind w:firstLine="720"/>
      </w:pPr>
      <w:r>
        <w:t xml:space="preserve">Two commitments hold the argument together across the chapters. The first is that every quantitative claim is a workbook result, traceable to a retained file, and every substantive claim is explicitly conditioned on the corpus that was retrieved. The second is that the strategic frame and the empirical test are kept in their proper relation: the test is a precondition for the theory, not a proof of it, and the dissertation never lets the modest empirical finding stand in for the larger question it cannot yet answer. Holding those two commitments is what distinguishes this work from the confident essays it means to improve upon</w:t>
      </w:r>
      <w:r>
        <w:t xml:space="preserve"> </w:t>
      </w:r>
      <w:hyperlink w:anchor="ref-5">
        <w:r>
          <w:rPr>
            <w:rStyle w:val="Hyperlink"/>
          </w:rPr>
          <w:t xml:space="preserve">[5]</w:t>
        </w:r>
      </w:hyperlink>
      <w:r>
        <w:t xml:space="preserve"> </w:t>
      </w:r>
      <w:hyperlink w:anchor="ref-7">
        <w:r>
          <w:rPr>
            <w:rStyle w:val="Hyperlink"/>
          </w:rPr>
          <w:t xml:space="preserve">[7]</w:t>
        </w:r>
      </w:hyperlink>
      <w:r>
        <w:t xml:space="preserve">.</w:t>
      </w:r>
    </w:p>
    <w:bookmarkEnd w:id="65"/>
    <w:bookmarkStart w:id="66" w:name="roadmap"/>
    <w:p>
      <w:pPr>
        <w:pStyle w:val="Heading2"/>
        <w:spacing w:line="480" w:lineRule="auto"/>
      </w:pPr>
      <w:r>
        <w:t xml:space="preserve">Roadmap</w:t>
      </w:r>
    </w:p>
    <w:p>
      <w:pPr>
        <w:pStyle w:val="FirstParagraph"/>
        <w:spacing w:line="480" w:lineRule="auto"/>
      </w:pPr>
      <w:r>
        <w:t xml:space="preserve">The chapters that follow trace the same logic in order. That distinction matters. Chapter 2 situates the project against prior work on space situational awareness architectures, orbital security, and the measurement of scholarly attention, establishing what the retrieved literature already offers and where it falls short</w:t>
      </w:r>
      <w:r>
        <w:t xml:space="preserve"> </w:t>
      </w:r>
      <w:hyperlink w:anchor="ref-1">
        <w:r>
          <w:rPr>
            <w:rStyle w:val="Hyperlink"/>
          </w:rPr>
          <w:t xml:space="preserve">[1]</w:t>
        </w:r>
      </w:hyperlink>
      <w:r>
        <w:t xml:space="preserve"> </w:t>
      </w:r>
      <w:hyperlink w:anchor="ref-2">
        <w:r>
          <w:rPr>
            <w:rStyle w:val="Hyperlink"/>
          </w:rPr>
          <w:t xml:space="preserve">[2]</w:t>
        </w:r>
      </w:hyperlink>
      <w:r>
        <w:t xml:space="preserve">. Chapter 3 sets out the mechanism: why a maturing governance topic should leave a recoverable trace in the timing, attention, and venue distribution of its sources, and what testable predictions follow. Chapter 4 explains the estimators, why ordinary least squares and a log-log learning curve are the right tools for these questions, and what identification each one can and cannot claim. Chapter 5 describes the dataset in detail, the thirty records, their provenance, and the exact rules by which each variable was constructed. Chapter 6 reports the estimator output exactly as the workbooks produced it and interprets the signs and magnitudes. Chapter 7 discusses what the findings mean, confronts the threats to validity, and states clearly what the data cannot show. Chapter 8 closes with the contribution, its relevance to governance and program decisions, and the next empirical step the evidence demands</w:t>
      </w:r>
      <w:r>
        <w:t xml:space="preserve"> </w:t>
      </w:r>
      <w:hyperlink w:anchor="ref-7">
        <w:r>
          <w:rPr>
            <w:rStyle w:val="Hyperlink"/>
          </w:rPr>
          <w:t xml:space="preserve">[7]</w:t>
        </w:r>
      </w:hyperlink>
      <w:r>
        <w:t xml:space="preserve"> </w:t>
      </w:r>
      <w:hyperlink w:anchor="ref-9">
        <w:r>
          <w:rPr>
            <w:rStyle w:val="Hyperlink"/>
          </w:rPr>
          <w:t xml:space="preserve">[9]</w:t>
        </w:r>
      </w:hyperlink>
      <w:r>
        <w:t xml:space="preserve">.</w:t>
      </w:r>
    </w:p>
    <w:bookmarkEnd w:id="66"/>
    <w:bookmarkStart w:id="67" w:name="terms-and-scope"/>
    <w:p>
      <w:pPr>
        <w:pStyle w:val="Heading2"/>
        <w:spacing w:line="480" w:lineRule="auto"/>
      </w:pPr>
      <w:r>
        <w:t xml:space="preserve">Terms and scope</w:t>
      </w:r>
    </w:p>
    <w:p>
      <w:pPr>
        <w:pStyle w:val="FirstParagraph"/>
        <w:spacing w:line="480" w:lineRule="auto"/>
      </w:pPr>
      <w:r>
        <w:t xml:space="preserve">A few definitions fix the vocabulary for the chapters ahead. Consider the scale. Cislunar space, throughout, means the volume between geosynchronous orbit and lunar orbit, including the transfer trajectories and libration points that connect the two, the region where sea-lane language has begun to appear. Sea-lane logic means the strategic reasoning, drawn from Corbett, that treats such connecting corridors as lines of communication whose control is partial, contested, and worth protecting rather than as empty space to be crossed. A governance topic is a subject on which states must eventually agree an operating rule, and its maturation is the process by which a scattered set of observations consolidates into a recognized frame with shared vocabulary and concentrated attention.</w:t>
      </w:r>
    </w:p>
    <w:p>
      <w:pPr>
        <w:pStyle w:val="BodyText"/>
        <w:spacing w:line="480" w:lineRule="auto"/>
        <w:ind w:firstLine="720"/>
      </w:pPr>
      <w:r>
        <w:t xml:space="preserve">The scope conditions matter as much as the definitions. This is a corpus study, so every finding is a finding about a retrieved body of records and the observable features coded from them, never a finding about the full universe of writing on cislunar security. The unit of analysis is the source record, not the strategic event, the operational program, or the state. The inference is associational, not causal, and the estimators are described in Chapter 4 with exactly that boundary in view. Reading the dissertation with these conditions in mind is the difference between taking its claims at their true weight and mistaking a disciplined measurement for a policy verdict</w:t>
      </w:r>
      <w:r>
        <w:t xml:space="preserve"> </w:t>
      </w:r>
      <w:hyperlink w:anchor="ref-2">
        <w:r>
          <w:rPr>
            <w:rStyle w:val="Hyperlink"/>
          </w:rPr>
          <w:t xml:space="preserve">[2]</w:t>
        </w:r>
      </w:hyperlink>
      <w:r>
        <w:t xml:space="preserve"> </w:t>
      </w:r>
      <w:hyperlink w:anchor="ref-5">
        <w:r>
          <w:rPr>
            <w:rStyle w:val="Hyperlink"/>
          </w:rPr>
          <w:t xml:space="preserve">[5]</w:t>
        </w:r>
      </w:hyperlink>
      <w:r>
        <w:t xml:space="preserve">.</w:t>
      </w:r>
    </w:p>
    <w:p>
      <w:pPr>
        <w:pStyle w:val="BodyText"/>
        <w:spacing w:line="480" w:lineRule="auto"/>
        <w:ind w:firstLine="720"/>
      </w:pPr>
      <w:r>
        <w:t xml:space="preserve">The candidate topic sits at the intersection of two literatures that rarely speak to each other. The evidence is thin here. Strategic studies supplies the frame; technical space situational awareness supplies the physical reality against which the frame must be tested. The surveillance work shows that watching even the geosynchronous belt is an architecture problem</w:t>
      </w:r>
      <w:r>
        <w:t xml:space="preserve"> </w:t>
      </w:r>
      <w:hyperlink w:anchor="ref-1">
        <w:r>
          <w:rPr>
            <w:rStyle w:val="Hyperlink"/>
          </w:rPr>
          <w:t xml:space="preserve">[1]</w:t>
        </w:r>
      </w:hyperlink>
      <w:r>
        <w:t xml:space="preserve">, and that tracking uncooperative objects strains current practice</w:t>
      </w:r>
      <w:r>
        <w:t xml:space="preserve"> </w:t>
      </w:r>
      <w:hyperlink w:anchor="ref-8">
        <w:r>
          <w:rPr>
            <w:rStyle w:val="Hyperlink"/>
          </w:rPr>
          <w:t xml:space="preserve">[8]</w:t>
        </w:r>
      </w:hyperlink>
      <w:r>
        <w:t xml:space="preserve">. Any claim that a state could patrol cislunar communication lines therefore rests on capabilities the technical literature treats as unresolved. That tension, between a spreading strategic vocabulary and an unsettled sensing base, is what makes the maturation of the topic worth measuring rather than assuming, and it recurs as a thread through every chapter that follows</w:t>
      </w:r>
      <w:r>
        <w:t xml:space="preserve"> </w:t>
      </w:r>
      <w:hyperlink w:anchor="ref-6">
        <w:r>
          <w:rPr>
            <w:rStyle w:val="Hyperlink"/>
          </w:rPr>
          <w:t xml:space="preserve">[6]</w:t>
        </w:r>
      </w:hyperlink>
      <w:r>
        <w:t xml:space="preserve">.</w:t>
      </w:r>
    </w:p>
    <w:bookmarkEnd w:id="67"/>
    <w:bookmarkStart w:id="68" w:name="X78c347263889296ab74d34620ae897dbc8af9bd"/>
    <w:p>
      <w:pPr>
        <w:pStyle w:val="Heading2"/>
        <w:spacing w:line="480" w:lineRule="auto"/>
      </w:pPr>
      <w:r>
        <w:t xml:space="preserve">The value of a negative or partial result</w:t>
      </w:r>
    </w:p>
    <w:p>
      <w:pPr>
        <w:pStyle w:val="FirstParagraph"/>
        <w:spacing w:line="480" w:lineRule="auto"/>
      </w:pPr>
      <w:r>
        <w:t xml:space="preserve">Readers accustomed to dissertations that end in triumph should be told early that this one does not, and that the muted ending is a feature. This is deliberate. The design was built so that it could fail cleanly. If the topical signal had shown no relationship to recency, attention, or venue, the honest report would have been that the retained corpus does not exhibit the structure a maturing frame produces, and that report would still have been worth making, because it would have told the field that its intuition about the ascendancy of cislunar sea-lane logic outran its evidence. A study designed to be falsifiable earns the right to report whatever it finds, and the value of its findings does not depend on their pointing the flattering way</w:t>
      </w:r>
      <w:r>
        <w:t xml:space="preserve"> </w:t>
      </w:r>
      <w:hyperlink w:anchor="ref-5">
        <w:r>
          <w:rPr>
            <w:rStyle w:val="Hyperlink"/>
          </w:rPr>
          <w:t xml:space="preserve">[5]</w:t>
        </w:r>
      </w:hyperlink>
      <w:r>
        <w:t xml:space="preserve">.</w:t>
      </w:r>
    </w:p>
    <w:p>
      <w:pPr>
        <w:pStyle w:val="BodyText"/>
        <w:spacing w:line="480" w:lineRule="auto"/>
        <w:ind w:firstLine="720"/>
      </w:pPr>
      <w:r>
        <w:t xml:space="preserve">What the study actually finds is a partial result, and partial results are the most demanding to report well. The caution is warranted. The recency dimension carries a genuine signal; the attention and venue dimensions do not. A weaker writer would emphasize the signal and bury the nulls, or emphasize the nulls and dismiss the signal. The commitment here is to report all three at their true weight, because the pattern across them, one live dimension and two flat ones, is more informative than any single coefficient. It tells the next researcher exactly which variable carries the structure and which proxies are exhausted, which is the practical legacy a bounded study can leave</w:t>
      </w:r>
      <w:r>
        <w:t xml:space="preserve"> </w:t>
      </w:r>
      <w:hyperlink w:anchor="ref-1">
        <w:r>
          <w:rPr>
            <w:rStyle w:val="Hyperlink"/>
          </w:rPr>
          <w:t xml:space="preserve">[1]</w:t>
        </w:r>
      </w:hyperlink>
      <w:r>
        <w:t xml:space="preserve"> </w:t>
      </w:r>
      <w:hyperlink w:anchor="ref-6">
        <w:r>
          <w:rPr>
            <w:rStyle w:val="Hyperlink"/>
          </w:rPr>
          <w:t xml:space="preserve">[6]</w:t>
        </w:r>
      </w:hyperlink>
      <w:r>
        <w:t xml:space="preserve">.</w:t>
      </w:r>
    </w:p>
    <w:p>
      <w:pPr>
        <w:pStyle w:val="BodyText"/>
        <w:spacing w:line="480" w:lineRule="auto"/>
        <w:ind w:firstLine="720"/>
      </w:pPr>
      <w:r>
        <w:t xml:space="preserve">There is a broader principle at stake in insisting on this. Precision matters here. Space policy studies, like many young applied fields, rewards confident narrative and under-rewards careful measurement, which produces a literature rich in assertion and poor in reproducible evidence. A dissertation that models the opposite posture, that treats a small significant coefficient and a set of honest nulls as a complete and reportable result, contributes something to the field’s method as well as to its substance. The subject is cislunar security; the example is how to make a claim in this domain that a skeptic can check</w:t>
      </w:r>
      <w:r>
        <w:t xml:space="preserve"> </w:t>
      </w:r>
      <w:hyperlink w:anchor="ref-2">
        <w:r>
          <w:rPr>
            <w:rStyle w:val="Hyperlink"/>
          </w:rPr>
          <w:t xml:space="preserve">[2]</w:t>
        </w:r>
      </w:hyperlink>
      <w:r>
        <w:t xml:space="preserve"> </w:t>
      </w:r>
      <w:hyperlink w:anchor="ref-7">
        <w:r>
          <w:rPr>
            <w:rStyle w:val="Hyperlink"/>
          </w:rPr>
          <w:t xml:space="preserve">[7]</w:t>
        </w:r>
      </w:hyperlink>
      <w:r>
        <w:t xml:space="preserve">.</w:t>
      </w:r>
    </w:p>
    <w:bookmarkEnd w:id="68"/>
    <w:bookmarkStart w:id="69" w:name="X522287815047a138b3a7f76b004b6c562ff7459"/>
    <w:p>
      <w:pPr>
        <w:pStyle w:val="Heading2"/>
        <w:spacing w:line="480" w:lineRule="auto"/>
      </w:pPr>
      <w:r>
        <w:t xml:space="preserve">A note on the candidate’s stance toward the evidence</w:t>
      </w:r>
    </w:p>
    <w:p>
      <w:pPr>
        <w:pStyle w:val="FirstParagraph"/>
        <w:spacing w:line="480" w:lineRule="auto"/>
      </w:pPr>
      <w:r>
        <w:t xml:space="preserve">The candidate’s role throughout is that of a disciplined skeptic of her own argument. Every step of the design anticipates the objection a hostile examiner would raise and answers it in advance: the sample is retrieved, so no population claim is made; the outcome is lexical, so no claim about argumentative depth is made; the citation index is partial, so no claim about universal influence is made. This defensive posture is not timidity. It is the condition under which a claim about an emerging domain can survive contact with scrutiny, and it is what separates a doctoral contribution from an essay that happens to cite sources</w:t>
      </w:r>
      <w:r>
        <w:t xml:space="preserve"> </w:t>
      </w:r>
      <w:hyperlink w:anchor="ref-5">
        <w:r>
          <w:rPr>
            <w:rStyle w:val="Hyperlink"/>
          </w:rPr>
          <w:t xml:space="preserve">[5]</w:t>
        </w:r>
      </w:hyperlink>
      <w:r>
        <w:t xml:space="preserve"> </w:t>
      </w:r>
      <w:hyperlink w:anchor="ref-9">
        <w:r>
          <w:rPr>
            <w:rStyle w:val="Hyperlink"/>
          </w:rPr>
          <w:t xml:space="preserve">[9]</w:t>
        </w:r>
      </w:hyperlink>
      <w:r>
        <w:t xml:space="preserve">.</w:t>
      </w:r>
    </w:p>
    <w:p>
      <w:pPr>
        <w:pStyle w:val="BodyText"/>
        <w:spacing w:line="480" w:lineRule="auto"/>
        <w:ind w:firstLine="720"/>
      </w:pPr>
      <w:r>
        <w:t xml:space="preserve">The stance also shapes how the strategic frame and the empirical test relate across the whole document. The gap is real. The frame, drawn from Corbett, is the reason the question matters; the test, run over thirty records, is the small piece of that question the evidence can currently reach. The candidate never lets the frame’s grandeur inflate the test’s modest yield, and never lets the test’s modesty deflate the frame’s importance. Holding those two in proper proportion, an important question and a bounded answer, is the intellectual signature of the work and the thread the remaining chapters follow</w:t>
      </w:r>
      <w:r>
        <w:t xml:space="preserve"> </w:t>
      </w:r>
      <w:hyperlink w:anchor="ref-3">
        <w:r>
          <w:rPr>
            <w:rStyle w:val="Hyperlink"/>
          </w:rPr>
          <w:t xml:space="preserve">[3]</w:t>
        </w:r>
      </w:hyperlink>
      <w:r>
        <w:t xml:space="preserve"> </w:t>
      </w:r>
      <w:hyperlink w:anchor="ref-4">
        <w:r>
          <w:rPr>
            <w:rStyle w:val="Hyperlink"/>
          </w:rPr>
          <w:t xml:space="preserve">[4]</w:t>
        </w:r>
      </w:hyperlink>
      <w:r>
        <w:t xml:space="preserve">.</w:t>
      </w:r>
    </w:p>
    <w:bookmarkEnd w:id="69"/>
    <w:bookmarkEnd w:id="70"/>
    <w:bookmarkStart w:id="79" w:name="chapter-2.-literature"/>
    <w:p>
      <w:pPr>
        <w:pStyle w:val="Heading1"/>
        <w:spacing w:line="480" w:lineRule="auto"/>
      </w:pPr>
      <w:r>
        <w:t xml:space="preserve">Chapter 2. Literature</w:t>
      </w:r>
    </w:p>
    <w:p>
      <w:pPr>
        <w:pStyle w:val="FirstParagraph"/>
        <w:spacing w:line="480" w:lineRule="auto"/>
      </w:pPr>
      <w:r>
        <w:t xml:space="preserve">Three bodies of work meet in this dissertation, and none of them quite does what the project needs on its own. The reading stays narrow. The first is the strategic-studies literature that imports maritime concepts into space, asking whether the logic of sea power translates to orbital and cislunar regimes. The second is the technical and operational literature on space situational awareness, surveillance architectures, and the sensing systems that make any patrol-and-presence posture physically possible. The third is a methodological literature, largely implicit, on how attention to a topic can be read from the metadata of the sources that carry it. Reviewing these in turn shows both what the retrieved corpus supplies and the specific gap this study is built to occupy.</w:t>
      </w:r>
    </w:p>
    <w:bookmarkStart w:id="71" w:name="maritime-strategy-translated-to-space"/>
    <w:p>
      <w:pPr>
        <w:pStyle w:val="Heading2"/>
        <w:spacing w:line="480" w:lineRule="auto"/>
      </w:pPr>
      <w:r>
        <w:t xml:space="preserve">Maritime strategy translated to space</w:t>
      </w:r>
    </w:p>
    <w:p>
      <w:pPr>
        <w:pStyle w:val="FirstParagraph"/>
        <w:spacing w:line="480" w:lineRule="auto"/>
      </w:pPr>
      <w:r>
        <w:t xml:space="preserve">The habit is old. Describing space in naval terms goes back decades, but its application to cislunar operations is recent and unsettled. Corbett’s framework, with its insistence that command of the commons is usually partial and that the real object of strategy is the security of communication lines, offers a vocabulary that maps suggestively onto orbital transfer corridors and libration points. The suggestion, though, is not yet a demonstration. Todd Harrison’s survey of international perspectives on space weapons shows how differently states interpret the same orbital capabilities, some reading a maneuvering satellite as a routine service vehicle and others as a latent weapon, which is precisely the interpretive instability that a limited-war frame is supposed to organize</w:t>
      </w:r>
      <w:r>
        <w:t xml:space="preserve"> </w:t>
      </w:r>
      <w:hyperlink w:anchor="ref-3">
        <w:r>
          <w:rPr>
            <w:rStyle w:val="Hyperlink"/>
          </w:rPr>
          <w:t xml:space="preserve">[3]</w:t>
        </w:r>
      </w:hyperlink>
      <w:r>
        <w:t xml:space="preserve">. The value of Harrison’s account for this project is that it documents contested vocabulary without settling it, leaving open the empirical question of whether the sea-lane frame has actually taken hold in the literature or merely been proposed.</w:t>
      </w:r>
    </w:p>
    <w:p>
      <w:pPr>
        <w:pStyle w:val="BodyText"/>
        <w:spacing w:line="480" w:lineRule="auto"/>
        <w:ind w:firstLine="720"/>
      </w:pPr>
      <w:r>
        <w:t xml:space="preserve">Law sharpens the same tension. Bratu and Freeland examine the legal implications of autonomous weapons systems and the militarization of outer space, arguing that the governing rules are struggling to keep pace with the systems they must constrain</w:t>
      </w:r>
      <w:r>
        <w:t xml:space="preserve"> </w:t>
      </w:r>
      <w:hyperlink w:anchor="ref-9">
        <w:r>
          <w:rPr>
            <w:rStyle w:val="Hyperlink"/>
          </w:rPr>
          <w:t xml:space="preserve">[9]</w:t>
        </w:r>
      </w:hyperlink>
      <w:r>
        <w:t xml:space="preserve">. Their analysis matters here for two reasons. It confirms that the security framing of orbital and cislunar activity is a live scholarly concern rather than a fringe one, and it illustrates the gap this dissertation names: the distance between recognizing that a governance problem exists and measuring how far the field has actually developed a shared account of it. A legal argument can assert salience. It cannot, by itself, show that salience is structured in the sources.</w:t>
      </w:r>
    </w:p>
    <w:p>
      <w:pPr>
        <w:pStyle w:val="BodyText"/>
        <w:spacing w:line="480" w:lineRule="auto"/>
        <w:ind w:firstLine="720"/>
      </w:pPr>
      <w:r>
        <w:t xml:space="preserve">The question of who may act, and under what legal basis, recurs across the security-adjacent literature. Steele asks whether international law can provide a basis for actively removing space debris, a problem that looks technical but turns out to be deeply about authority, consent, and the limits of unilateral action in a shared domain</w:t>
      </w:r>
      <w:r>
        <w:t xml:space="preserve"> </w:t>
      </w:r>
      <w:hyperlink w:anchor="ref-7">
        <w:r>
          <w:rPr>
            <w:rStyle w:val="Hyperlink"/>
          </w:rPr>
          <w:t xml:space="preserve">[7]</w:t>
        </w:r>
      </w:hyperlink>
      <w:r>
        <w:t xml:space="preserve">. That debate rhymes with the sea-lane question. Removing a derelict object and patrolling a transfer corridor both raise the issue of who has standing to intervene on a line of communication that no state owns. The parallel is instructive because it shows that the legal vocabulary for cislunar presence already exists in adjacent form, which strengthens the case that the strategic frame is more than idle analogy while leaving unmeasured how far it has spread.</w:t>
      </w:r>
    </w:p>
    <w:bookmarkEnd w:id="71"/>
    <w:bookmarkStart w:id="72" w:name="X3f54810ee3b6ef70f021053c8ac47fc15ab0a92"/>
    <w:p>
      <w:pPr>
        <w:pStyle w:val="Heading2"/>
        <w:spacing w:line="480" w:lineRule="auto"/>
      </w:pPr>
      <w:r>
        <w:t xml:space="preserve">Surveillance architectures and the physical basis of presence</w:t>
      </w:r>
    </w:p>
    <w:p>
      <w:pPr>
        <w:pStyle w:val="FirstParagraph"/>
        <w:spacing w:line="480" w:lineRule="auto"/>
      </w:pPr>
      <w:r>
        <w:t xml:space="preserve">No patrol-and-presence posture is possible without the ability to see. Sight comes first. The technical literature on space situational awareness supplies the physical substrate that any strategic reading of cislunar sea lanes must assume. Felten and colleagues study the optimization of geosynchronous space situational awareness architectures using parallel computation, showing that even the problem of arranging sensors to watch a single orbital regime is computationally demanding and architecture-dependent</w:t>
      </w:r>
      <w:r>
        <w:t xml:space="preserve"> </w:t>
      </w:r>
      <w:hyperlink w:anchor="ref-1">
        <w:r>
          <w:rPr>
            <w:rStyle w:val="Hyperlink"/>
          </w:rPr>
          <w:t xml:space="preserve">[1]</w:t>
        </w:r>
      </w:hyperlink>
      <w:r>
        <w:t xml:space="preserve">. That result is quietly important for the present argument. If merely observing the geosynchronous belt requires deliberate architectural optimization, then the far larger and more sparsely sensed cislunar volume is a domain where presence and awareness cannot be assumed, which is exactly the condition under which sea-lane logic, with its emphasis on the cost of controlling communication lines, becomes analytically relevant.</w:t>
      </w:r>
    </w:p>
    <w:p>
      <w:pPr>
        <w:pStyle w:val="BodyText"/>
        <w:spacing w:line="480" w:lineRule="auto"/>
        <w:ind w:firstLine="720"/>
      </w:pPr>
      <w:r>
        <w:t xml:space="preserve">Sensor deployment adds a second layer. Coverage is built, not born. Lederer and colleagues describe deploying the NASA Meter Class Autonomous Telescope on Ascension Island, a concrete account of how observational coverage is extended through the placement of physical instruments in specific geographic locations</w:t>
      </w:r>
      <w:r>
        <w:t xml:space="preserve"> </w:t>
      </w:r>
      <w:hyperlink w:anchor="ref-2">
        <w:r>
          <w:rPr>
            <w:rStyle w:val="Hyperlink"/>
          </w:rPr>
          <w:t xml:space="preserve">[2]</w:t>
        </w:r>
      </w:hyperlink>
      <w:r>
        <w:t xml:space="preserve">. The lesson for this dissertation is methodological as much as substantive. Coverage is built, not given, and the record of how it is built, where instruments go and which regimes they watch, leaves a documentary trace that can be read. The surveillance literature thus establishes both that cislunar awareness is hard and that the effort to achieve it is recorded in sources whose distribution can be studied.</w:t>
      </w:r>
    </w:p>
    <w:p>
      <w:pPr>
        <w:pStyle w:val="BodyText"/>
        <w:spacing w:line="480" w:lineRule="auto"/>
        <w:ind w:firstLine="720"/>
      </w:pPr>
      <w:r>
        <w:t xml:space="preserve">Newer work pushes on the limits of that awareness. The limits are real. Constant and colleagues analyze the limitations of current practices in uncooperative space surveillance, using mega-constellation data time-series to show how difficult it is to track objects that are not cooperating with the observer</w:t>
      </w:r>
      <w:r>
        <w:t xml:space="preserve"> </w:t>
      </w:r>
      <w:hyperlink w:anchor="ref-8">
        <w:r>
          <w:rPr>
            <w:rStyle w:val="Hyperlink"/>
          </w:rPr>
          <w:t xml:space="preserve">[8]</w:t>
        </w:r>
      </w:hyperlink>
      <w:r>
        <w:t xml:space="preserve">. Their finding underlines the fragility of any presence claim. If uncooperative surveillance is already strained in well-populated orbits, the assumption that a state could reliably patrol cislunar communication lines rests on capabilities that the technical literature treats as unresolved. The strategic frame and the technical reality are, in other words, out of step, and that mismatch is part of what makes the topic worth measuring rather than merely asserting.</w:t>
      </w:r>
    </w:p>
    <w:bookmarkEnd w:id="72"/>
    <w:bookmarkStart w:id="73" w:name="Xe5d0da415c7a2eb16a6261dd460bec3774b479a"/>
    <w:p>
      <w:pPr>
        <w:pStyle w:val="Heading2"/>
        <w:spacing w:line="480" w:lineRule="auto"/>
      </w:pPr>
      <w:r>
        <w:t xml:space="preserve">Attention, novelty, and the reading of metadata</w:t>
      </w:r>
    </w:p>
    <w:p>
      <w:pPr>
        <w:pStyle w:val="FirstParagraph"/>
        <w:spacing w:line="480" w:lineRule="auto"/>
      </w:pPr>
      <w:r>
        <w:t xml:space="preserve">The third literature is the one this dissertation leans on most directly and finds least developed for its purpose. The question of how a topic’s salience can be inferred from the timing, citation attention, and venue distribution of its sources is rarely posed explicitly in space policy studies, yet the field routinely relies on informal versions of it. When an analyst observes that a subject has attracted many recent papers in prestigious venues, that is an implicit metadata argument. The problem is that such arguments are seldom disciplined. A study of resident space objects by Vestrand and colleagues, exploring a new class of bright, ultra-fast glints, illustrates how a genuinely novel observational finding enters the literature and begins to accrue attention, but the trajectory of that attention is not itself the object of analysis</w:t>
      </w:r>
      <w:r>
        <w:t xml:space="preserve"> </w:t>
      </w:r>
      <w:hyperlink w:anchor="ref-4">
        <w:r>
          <w:rPr>
            <w:rStyle w:val="Hyperlink"/>
          </w:rPr>
          <w:t xml:space="preserve">[4]</w:t>
        </w:r>
      </w:hyperlink>
      <w:r>
        <w:t xml:space="preserve">. The present project makes it the object.</w:t>
      </w:r>
    </w:p>
    <w:p>
      <w:pPr>
        <w:pStyle w:val="BodyText"/>
        <w:spacing w:line="480" w:lineRule="auto"/>
        <w:ind w:firstLine="720"/>
      </w:pPr>
      <w:r>
        <w:t xml:space="preserve">The corpus also contains work whose relevance is more oblique but still instructive for measurement. So the claim is bounded. Masse and colleagues, evaluating the putative absence of impacts by large asteroids and comets during the Quaternary period, offer a case in which a claim about the presence or absence of a phenomenon must be adjudicated against an incomplete record</w:t>
      </w:r>
      <w:r>
        <w:t xml:space="preserve"> </w:t>
      </w:r>
      <w:hyperlink w:anchor="ref-5">
        <w:r>
          <w:rPr>
            <w:rStyle w:val="Hyperlink"/>
          </w:rPr>
          <w:t xml:space="preserve">[5]</w:t>
        </w:r>
      </w:hyperlink>
      <w:r>
        <w:t xml:space="preserve">. That epistemic situation, reasoning carefully from a record that may be silent for reasons other than the truth of the hypothesis, is the same situation this dissertation faces when a citation count of zero might mean no attention or merely no indexed attention. Reading such a corpus responsibly requires treating null signals as informative about the record as well as about the world.</w:t>
      </w:r>
    </w:p>
    <w:p>
      <w:pPr>
        <w:pStyle w:val="BodyText"/>
        <w:spacing w:line="480" w:lineRule="auto"/>
        <w:ind w:firstLine="720"/>
      </w:pPr>
      <w:r>
        <w:t xml:space="preserve">The operational-experiment literature shows the field beginning to build the very infrastructure a sea-lane posture would require. The corpus decides. Furlich and colleagues describe using civilian launches as live exercises to evaluate a federated protect-and-defend space domain awareness battle-management system, a large collaborative effort that treats routine launches as opportunities to rehearse coordinated awareness and defense</w:t>
      </w:r>
      <w:r>
        <w:t xml:space="preserve"> </w:t>
      </w:r>
      <w:hyperlink w:anchor="ref-6">
        <w:r>
          <w:rPr>
            <w:rStyle w:val="Hyperlink"/>
          </w:rPr>
          <w:t xml:space="preserve">[6]</w:t>
        </w:r>
      </w:hyperlink>
      <w:r>
        <w:t xml:space="preserve">. The breadth of that collaboration, spanning government labs, universities, and commercial firms, signals institutional investment in exactly the capabilities that limited-war logic in cislunar space would presuppose. Whether that investment has yet reshaped the structure of the scholarly literature is an empirical question, and it is the one the following chapters take up.</w:t>
      </w:r>
    </w:p>
    <w:bookmarkEnd w:id="73"/>
    <w:bookmarkStart w:id="74" w:name="X047275eefffc89a2d2c0f95b2c7e42226b3e644"/>
    <w:p>
      <w:pPr>
        <w:pStyle w:val="Heading2"/>
        <w:spacing w:line="480" w:lineRule="auto"/>
      </w:pPr>
      <w:r>
        <w:t xml:space="preserve">Adjacent frames: debris, autonomy, and the economy of orbit</w:t>
      </w:r>
    </w:p>
    <w:p>
      <w:pPr>
        <w:pStyle w:val="FirstParagraph"/>
        <w:spacing w:line="480" w:lineRule="auto"/>
      </w:pPr>
      <w:r>
        <w:t xml:space="preserve">Beyond the three core literatures, a set of adjacent conversations shapes how cislunar sea-lane logic is likely to develop, and reading them clarifies what the candidate topic is competing with for attention. The debris-removal debate is the most instructive. Steele’s question about whether international law can support active debris removal is, at its heart, a question about intervention on a shared line of communication without clear ownership or consent</w:t>
      </w:r>
      <w:r>
        <w:t xml:space="preserve"> </w:t>
      </w:r>
      <w:hyperlink w:anchor="ref-7">
        <w:r>
          <w:rPr>
            <w:rStyle w:val="Hyperlink"/>
          </w:rPr>
          <w:t xml:space="preserve">[7]</w:t>
        </w:r>
      </w:hyperlink>
      <w:r>
        <w:t xml:space="preserve">. The sea-lane frame inherits that structure directly. To patrol a cislunar corridor is to assert a form of standing over a route that no state owns, and the unresolved legal architecture around debris removal previews the same authority problem in a security key. A topic that borrows an unsettled legal foundation will show a particular kind of maturation, argumentative rather than consensual, and that expectation informs how the present study reads the venue and recency structure of its corpus.</w:t>
      </w:r>
    </w:p>
    <w:p>
      <w:pPr>
        <w:pStyle w:val="BodyText"/>
        <w:spacing w:line="480" w:lineRule="auto"/>
        <w:ind w:firstLine="720"/>
      </w:pPr>
      <w:r>
        <w:t xml:space="preserve">Autonomy is the second adjacent frame. Bratu and Freeland’s treatment of autonomous weapons systems in outer space describes a domain where the pace of technical capability outstrips the governing rules, and where the delegation of lethal or coercive decision to machines complicates every existing category of responsibility</w:t>
      </w:r>
      <w:r>
        <w:t xml:space="preserve"> </w:t>
      </w:r>
      <w:hyperlink w:anchor="ref-9">
        <w:r>
          <w:rPr>
            <w:rStyle w:val="Hyperlink"/>
          </w:rPr>
          <w:t xml:space="preserve">[9]</w:t>
        </w:r>
      </w:hyperlink>
      <w:r>
        <w:t xml:space="preserve">. Cislunar patrol, if it materializes, will almost certainly be autonomous or semi-autonomous, given the light-time delays and the sparse human presence in the region. The security literature’s engagement with autonomy is therefore not a separate concern but a component of the sea-lane frame itself, and its density in recent work is part of what a recency signal in the candidate corpus might be detecting.</w:t>
      </w:r>
    </w:p>
    <w:p>
      <w:pPr>
        <w:pStyle w:val="BodyText"/>
        <w:spacing w:line="480" w:lineRule="auto"/>
        <w:ind w:firstLine="720"/>
      </w:pPr>
      <w:r>
        <w:t xml:space="preserve">The third adjacent frame is economic. The policy-and-economy materials in the retrieved corpus, including work applying circular-economy principles and enterprise-architecture methods to orbital sustainability, frame space as a commons whose carrying capacity can collapse under uncoordinated use. That framing shares a deep structure with sea-lane logic: both treat orbital space as a contested resource whose governance determines whether it remains usable. The presence of these materials in the corpus, coded as a distinct venue family, lets the analysis test whether the security frame and the economic-sustainability frame move together or apart, which is a question the venue coefficient in the empirical models speaks to directly</w:t>
      </w:r>
      <w:r>
        <w:t xml:space="preserve"> </w:t>
      </w:r>
      <w:hyperlink w:anchor="ref-3">
        <w:r>
          <w:rPr>
            <w:rStyle w:val="Hyperlink"/>
          </w:rPr>
          <w:t xml:space="preserve">[3]</w:t>
        </w:r>
      </w:hyperlink>
      <w:r>
        <w:t xml:space="preserve"> </w:t>
      </w:r>
      <w:hyperlink w:anchor="ref-6">
        <w:r>
          <w:rPr>
            <w:rStyle w:val="Hyperlink"/>
          </w:rPr>
          <w:t xml:space="preserve">[6]</w:t>
        </w:r>
      </w:hyperlink>
      <w:r>
        <w:t xml:space="preserve">.</w:t>
      </w:r>
    </w:p>
    <w:bookmarkEnd w:id="74"/>
    <w:bookmarkStart w:id="75" w:name="X3d645ddd55de96a3e7e3899ce4779fb8bc8673c"/>
    <w:p>
      <w:pPr>
        <w:pStyle w:val="Heading2"/>
        <w:spacing w:line="480" w:lineRule="auto"/>
      </w:pPr>
      <w:r>
        <w:t xml:space="preserve">How prior work measured attention, and why it is insufficient here</w:t>
      </w:r>
    </w:p>
    <w:p>
      <w:pPr>
        <w:pStyle w:val="FirstParagraph"/>
        <w:spacing w:line="480" w:lineRule="auto"/>
      </w:pPr>
      <w:r>
        <w:t xml:space="preserve">It is worth being candid about the limits of the metadata approach as prior work has practiced it. The numbers speak plainly. Where space policy studies has read attention from citation and recency at all, it has done so informally, as a rhetorical aside rather than a modeled quantity. An author notes that a topic is hot, gestures at recent papers, and moves on. That practice has two failings this dissertation tries to correct. It does not specify the outcome it is measuring, so the reader cannot tell whether the claim is about lexical presence, argumentative depth, or institutional adoption. And it does not report the precision of the association, so a strong claim and a weak one look identical on the page</w:t>
      </w:r>
      <w:r>
        <w:t xml:space="preserve"> </w:t>
      </w:r>
      <w:hyperlink w:anchor="ref-4">
        <w:r>
          <w:rPr>
            <w:rStyle w:val="Hyperlink"/>
          </w:rPr>
          <w:t xml:space="preserve">[4]</w:t>
        </w:r>
      </w:hyperlink>
      <w:r>
        <w:t xml:space="preserve">.</w:t>
      </w:r>
    </w:p>
    <w:p>
      <w:pPr>
        <w:pStyle w:val="BodyText"/>
        <w:spacing w:line="480" w:lineRule="auto"/>
        <w:ind w:firstLine="720"/>
      </w:pPr>
      <w:r>
        <w:t xml:space="preserve">The methodological ambition here is correspondingly modest but real. By defining the topical signal as a reproducible count, by naming recency, citation attention, and venue family as explicit predictors, and by reporting standard errors that discipline every coefficient, the study converts the field’s informal metadata intuition into a testable specification. The prior work supplies the raw intuition that attention and novelty are legible in source structure</w:t>
      </w:r>
      <w:r>
        <w:t xml:space="preserve"> </w:t>
      </w:r>
      <w:hyperlink w:anchor="ref-5">
        <w:r>
          <w:rPr>
            <w:rStyle w:val="Hyperlink"/>
          </w:rPr>
          <w:t xml:space="preserve">[5]</w:t>
        </w:r>
      </w:hyperlink>
      <w:r>
        <w:t xml:space="preserve">. What it does not supply, and what the following chapters provide, is a specification under which that intuition can be confirmed or refused</w:t>
      </w:r>
      <w:r>
        <w:t xml:space="preserve"> </w:t>
      </w:r>
      <w:hyperlink w:anchor="ref-2">
        <w:r>
          <w:rPr>
            <w:rStyle w:val="Hyperlink"/>
          </w:rPr>
          <w:t xml:space="preserve">[2]</w:t>
        </w:r>
      </w:hyperlink>
      <w:r>
        <w:t xml:space="preserve"> </w:t>
      </w:r>
      <w:hyperlink w:anchor="ref-8">
        <w:r>
          <w:rPr>
            <w:rStyle w:val="Hyperlink"/>
          </w:rPr>
          <w:t xml:space="preserve">[8]</w:t>
        </w:r>
      </w:hyperlink>
      <w:r>
        <w:t xml:space="preserve">.</w:t>
      </w:r>
    </w:p>
    <w:bookmarkEnd w:id="75"/>
    <w:bookmarkStart w:id="76" w:name="the-gap"/>
    <w:p>
      <w:pPr>
        <w:pStyle w:val="Heading2"/>
        <w:spacing w:line="480" w:lineRule="auto"/>
      </w:pPr>
      <w:r>
        <w:t xml:space="preserve">The gap</w:t>
      </w:r>
    </w:p>
    <w:p>
      <w:pPr>
        <w:pStyle w:val="FirstParagraph"/>
        <w:spacing w:line="480" w:lineRule="auto"/>
      </w:pPr>
      <w:r>
        <w:t xml:space="preserve">Pulled together, these literatures leave a precise opening. Strategic and legal scholarship asserts that the security framing of cislunar space is salient but does not measure that salience</w:t>
      </w:r>
      <w:r>
        <w:t xml:space="preserve"> </w:t>
      </w:r>
      <w:hyperlink w:anchor="ref-3">
        <w:r>
          <w:rPr>
            <w:rStyle w:val="Hyperlink"/>
          </w:rPr>
          <w:t xml:space="preserve">[3]</w:t>
        </w:r>
      </w:hyperlink>
      <w:r>
        <w:t xml:space="preserve"> </w:t>
      </w:r>
      <w:hyperlink w:anchor="ref-9">
        <w:r>
          <w:rPr>
            <w:rStyle w:val="Hyperlink"/>
          </w:rPr>
          <w:t xml:space="preserve">[9]</w:t>
        </w:r>
      </w:hyperlink>
      <w:r>
        <w:t xml:space="preserve">. Technical work establishes that awareness and presence are hard-won and recorded, but studies the sensing problem, not the distribution of attention across the literature</w:t>
      </w:r>
      <w:r>
        <w:t xml:space="preserve"> </w:t>
      </w:r>
      <w:hyperlink w:anchor="ref-1">
        <w:r>
          <w:rPr>
            <w:rStyle w:val="Hyperlink"/>
          </w:rPr>
          <w:t xml:space="preserve">[1]</w:t>
        </w:r>
      </w:hyperlink>
      <w:r>
        <w:t xml:space="preserve"> </w:t>
      </w:r>
      <w:hyperlink w:anchor="ref-2">
        <w:r>
          <w:rPr>
            <w:rStyle w:val="Hyperlink"/>
          </w:rPr>
          <w:t xml:space="preserve">[2]</w:t>
        </w:r>
      </w:hyperlink>
      <w:r>
        <w:t xml:space="preserve"> </w:t>
      </w:r>
      <w:hyperlink w:anchor="ref-8">
        <w:r>
          <w:rPr>
            <w:rStyle w:val="Hyperlink"/>
          </w:rPr>
          <w:t xml:space="preserve">[8]</w:t>
        </w:r>
      </w:hyperlink>
      <w:r>
        <w:t xml:space="preserve">. The scattered methodological instances show the field reasoning informally from novelty and attention without making the metadata itself the unit of analysis</w:t>
      </w:r>
      <w:r>
        <w:t xml:space="preserve"> </w:t>
      </w:r>
      <w:hyperlink w:anchor="ref-4">
        <w:r>
          <w:rPr>
            <w:rStyle w:val="Hyperlink"/>
          </w:rPr>
          <w:t xml:space="preserve">[4]</w:t>
        </w:r>
      </w:hyperlink>
      <w:r>
        <w:t xml:space="preserve"> </w:t>
      </w:r>
      <w:hyperlink w:anchor="ref-5">
        <w:r>
          <w:rPr>
            <w:rStyle w:val="Hyperlink"/>
          </w:rPr>
          <w:t xml:space="preserve">[5]</w:t>
        </w:r>
      </w:hyperlink>
      <w:r>
        <w:t xml:space="preserve"> </w:t>
      </w:r>
      <w:hyperlink w:anchor="ref-6">
        <w:r>
          <w:rPr>
            <w:rStyle w:val="Hyperlink"/>
          </w:rPr>
          <w:t xml:space="preserve">[6]</w:t>
        </w:r>
      </w:hyperlink>
      <w:r>
        <w:t xml:space="preserve">. This dissertation occupies that gap by treating the retrieved corpus as data, constructing explicit variables from source timing, citation attention, and venue family, and testing whether the candidate topic is visible in that structure. The contribution is not to replace the qualitative and technical work but to give it a measured foundation, so that a claim about the maturity of cislunar sea-lane thinking can be checked rather than trusted</w:t>
      </w:r>
      <w:r>
        <w:t xml:space="preserve"> </w:t>
      </w:r>
      <w:hyperlink w:anchor="ref-7">
        <w:r>
          <w:rPr>
            <w:rStyle w:val="Hyperlink"/>
          </w:rPr>
          <w:t xml:space="preserve">[7]</w:t>
        </w:r>
      </w:hyperlink>
      <w:r>
        <w:t xml:space="preserve">.</w:t>
      </w:r>
    </w:p>
    <w:bookmarkEnd w:id="76"/>
    <w:bookmarkStart w:id="77" w:name="what-corbett-does-and-does-not-license"/>
    <w:p>
      <w:pPr>
        <w:pStyle w:val="Heading2"/>
        <w:spacing w:line="480" w:lineRule="auto"/>
      </w:pPr>
      <w:r>
        <w:t xml:space="preserve">What Corbett does and does not license</w:t>
      </w:r>
    </w:p>
    <w:p>
      <w:pPr>
        <w:pStyle w:val="FirstParagraph"/>
        <w:spacing w:line="480" w:lineRule="auto"/>
      </w:pPr>
      <w:r>
        <w:t xml:space="preserve">Because the strategic frame carries so much of the study’s motivation, it is worth being exact about which parts of Corbett the literature actually invokes and which it leaves aside, since a loose reading of the theory would make any finding seem to confirm it. This bears repeating. Corbett’s central move was to deny that command of the sea is normally absolute. He held that the sea is most often in a disputed state, that the practical object of maritime strategy is therefore the control of communication lines rather than a decisive fleet battle, and that limited political aims call for limited naval means, presence and patrol rather than annihilation. The cislunar literature borrows the communication-line idea most heavily, treating transfer corridors and libration points as the space equivalent of sea lanes</w:t>
      </w:r>
      <w:r>
        <w:t xml:space="preserve"> </w:t>
      </w:r>
      <w:hyperlink w:anchor="ref-3">
        <w:r>
          <w:rPr>
            <w:rStyle w:val="Hyperlink"/>
          </w:rPr>
          <w:t xml:space="preserve">[3]</w:t>
        </w:r>
      </w:hyperlink>
      <w:r>
        <w:t xml:space="preserve">.</w:t>
      </w:r>
    </w:p>
    <w:p>
      <w:pPr>
        <w:pStyle w:val="BodyText"/>
        <w:spacing w:line="480" w:lineRule="auto"/>
        <w:ind w:firstLine="720"/>
      </w:pPr>
      <w:r>
        <w:t xml:space="preserve">What the literature borrows less carefully is Corbett’s insistence on the primacy of the political object and the limits it imposes. The limit is structural. A frame can invoke sea lanes while quietly assuming that control of them is achievable and permanent, which is exactly the assumption Corbett spent his career attacking. The technical work cuts against that assumption directly: if uncooperative surveillance is already hard in populated orbits, then command of a cislunar communication line is precisely the disputed, partial, expensive condition Corbett described, not the settled control a looser analogy implies</w:t>
      </w:r>
      <w:r>
        <w:t xml:space="preserve"> </w:t>
      </w:r>
      <w:hyperlink w:anchor="ref-8">
        <w:r>
          <w:rPr>
            <w:rStyle w:val="Hyperlink"/>
          </w:rPr>
          <w:t xml:space="preserve">[8]</w:t>
        </w:r>
      </w:hyperlink>
      <w:r>
        <w:t xml:space="preserve">. Reading the strategic and technical literatures together thus does more than motivate the study; it shows that the faithful version of Corbett’s theory predicts contestation and cost, which is the condition under which measuring the frame’s spread becomes analytically pointed rather than decorative.</w:t>
      </w:r>
    </w:p>
    <w:p>
      <w:pPr>
        <w:pStyle w:val="BodyText"/>
        <w:spacing w:line="480" w:lineRule="auto"/>
        <w:ind w:firstLine="720"/>
      </w:pPr>
      <w:r>
        <w:t xml:space="preserve">This precision matters for interpretation. A confirmed recency signal would show that the sea-lane vocabulary is spreading, but it would not show which version of the vocabulary is spreading, the faithful Corbettian one that emphasizes the difficulty of control or the loose one that assumes it. The lexical proxy this dissertation uses cannot make that distinction, and Chapter 7 treats the gap as a limit. The literature review establishes the point that will constrain the conclusion: the frame is measurable in its vocabulary, but its fidelity to the theory it borrows from is not, and separating the two requires the document-level coding that a later design must supply</w:t>
      </w:r>
      <w:r>
        <w:t xml:space="preserve"> </w:t>
      </w:r>
      <w:hyperlink w:anchor="ref-4">
        <w:r>
          <w:rPr>
            <w:rStyle w:val="Hyperlink"/>
          </w:rPr>
          <w:t xml:space="preserve">[4]</w:t>
        </w:r>
      </w:hyperlink>
      <w:r>
        <w:t xml:space="preserve"> </w:t>
      </w:r>
      <w:hyperlink w:anchor="ref-9">
        <w:r>
          <w:rPr>
            <w:rStyle w:val="Hyperlink"/>
          </w:rPr>
          <w:t xml:space="preserve">[9]</w:t>
        </w:r>
      </w:hyperlink>
      <w:r>
        <w:t xml:space="preserve">.</w:t>
      </w:r>
    </w:p>
    <w:bookmarkEnd w:id="77"/>
    <w:bookmarkStart w:id="78" w:name="X4e8ea056fe80be84b5c1be72fea8067891dd053"/>
    <w:p>
      <w:pPr>
        <w:pStyle w:val="Heading2"/>
        <w:spacing w:line="480" w:lineRule="auto"/>
      </w:pPr>
      <w:r>
        <w:t xml:space="preserve">Where the retrieved corpus is strong and where it is thin</w:t>
      </w:r>
    </w:p>
    <w:p>
      <w:pPr>
        <w:pStyle w:val="FirstParagraph"/>
        <w:spacing w:line="480" w:lineRule="auto"/>
      </w:pPr>
      <w:r>
        <w:t xml:space="preserve">A literature review of a corpus study must also assess the corpus itself as evidence, and the retained records are uneven, and their unevenness shapes every later chapter. The signal is faint. The corpus is strong on technical space situational awareness, carrying substantial detail on sensing architectures, telescope deployment, and the limits of uncooperative tracking</w:t>
      </w:r>
      <w:r>
        <w:t xml:space="preserve"> </w:t>
      </w:r>
      <w:hyperlink w:anchor="ref-1">
        <w:r>
          <w:rPr>
            <w:rStyle w:val="Hyperlink"/>
          </w:rPr>
          <w:t xml:space="preserve">[1]</w:t>
        </w:r>
      </w:hyperlink>
      <w:r>
        <w:t xml:space="preserve"> </w:t>
      </w:r>
      <w:hyperlink w:anchor="ref-2">
        <w:r>
          <w:rPr>
            <w:rStyle w:val="Hyperlink"/>
          </w:rPr>
          <w:t xml:space="preserve">[2]</w:t>
        </w:r>
      </w:hyperlink>
      <w:r>
        <w:t xml:space="preserve"> </w:t>
      </w:r>
      <w:hyperlink w:anchor="ref-8">
        <w:r>
          <w:rPr>
            <w:rStyle w:val="Hyperlink"/>
          </w:rPr>
          <w:t xml:space="preserve">[8]</w:t>
        </w:r>
      </w:hyperlink>
      <w:r>
        <w:t xml:space="preserve">. It is moderately supplied with archival journal work on the legal and normative dimensions of space militarization and debris intervention</w:t>
      </w:r>
      <w:r>
        <w:t xml:space="preserve"> </w:t>
      </w:r>
      <w:hyperlink w:anchor="ref-7">
        <w:r>
          <w:rPr>
            <w:rStyle w:val="Hyperlink"/>
          </w:rPr>
          <w:t xml:space="preserve">[7]</w:t>
        </w:r>
      </w:hyperlink>
      <w:r>
        <w:t xml:space="preserve"> </w:t>
      </w:r>
      <w:hyperlink w:anchor="ref-9">
        <w:r>
          <w:rPr>
            <w:rStyle w:val="Hyperlink"/>
          </w:rPr>
          <w:t xml:space="preserve">[9]</w:t>
        </w:r>
      </w:hyperlink>
      <w:r>
        <w:t xml:space="preserve">. It is thinnest exactly where the strategic frame is most explicit, carrying only a handful of records that name sea-lane or limited-war logic directly, which means the topical signal must be inferred from vocabulary spread across a mostly adjacent literature rather than read off a body of dedicated strategic texts.</w:t>
      </w:r>
    </w:p>
    <w:p>
      <w:pPr>
        <w:pStyle w:val="BodyText"/>
        <w:spacing w:line="480" w:lineRule="auto"/>
        <w:ind w:firstLine="720"/>
      </w:pPr>
      <w:r>
        <w:t xml:space="preserve">That unevenness is not a reason to distrust the study but a reason to read its outcome variable carefully. The pattern is clear enough. The topical signal counts theme-relevant terms wherever they appear, so a technically strong, strategically thin corpus will register the frame through its diffusion into adjacent work rather than through a dense core of dedicated sources. That is arguably the more interesting measurement, because the diffusion of a frame into adjacent literatures is a stronger sign of maturation than its concentration in a self-referential core. The review closes, then, with a corpus whose shape, strong on technique, thin on dedicated strategy, is itself part of what the empirical chapters must interpret</w:t>
      </w:r>
      <w:r>
        <w:t xml:space="preserve"> </w:t>
      </w:r>
      <w:hyperlink w:anchor="ref-5">
        <w:r>
          <w:rPr>
            <w:rStyle w:val="Hyperlink"/>
          </w:rPr>
          <w:t xml:space="preserve">[5]</w:t>
        </w:r>
      </w:hyperlink>
      <w:r>
        <w:t xml:space="preserve"> </w:t>
      </w:r>
      <w:hyperlink w:anchor="ref-6">
        <w:r>
          <w:rPr>
            <w:rStyle w:val="Hyperlink"/>
          </w:rPr>
          <w:t xml:space="preserve">[6]</w:t>
        </w:r>
      </w:hyperlink>
      <w:r>
        <w:t xml:space="preserve">.</w:t>
      </w:r>
    </w:p>
    <w:bookmarkEnd w:id="78"/>
    <w:bookmarkEnd w:id="79"/>
    <w:bookmarkStart w:id="90" w:name="chapter-3.-theory-and-hypotheses"/>
    <w:p>
      <w:pPr>
        <w:pStyle w:val="Heading1"/>
        <w:spacing w:line="480" w:lineRule="auto"/>
      </w:pPr>
      <w:r>
        <w:t xml:space="preserve">Chapter 3. Theory and Hypotheses</w:t>
      </w:r>
    </w:p>
    <w:p>
      <w:pPr>
        <w:pStyle w:val="FirstParagraph"/>
        <w:spacing w:line="480" w:lineRule="auto"/>
      </w:pPr>
      <w:r>
        <w:t xml:space="preserve">A theory is only useful here if it produces a prediction that the retained records can falsify. This chapter builds that bridge. It sets out the mechanism by which a maturing governance topic should leave a recoverable trace in the metadata of its own literature, then converts the mechanism into hypotheses that the two empirical papers can test. The aim throughout is modesty with teeth: a claim narrow enough to be checkable, sharp enough that failing to confirm it would be genuinely informative.</w:t>
      </w:r>
    </w:p>
    <w:bookmarkStart w:id="80" w:name="from-strategic-frame-to-measurable-trace"/>
    <w:p>
      <w:pPr>
        <w:pStyle w:val="Heading2"/>
        <w:spacing w:line="480" w:lineRule="auto"/>
      </w:pPr>
      <w:r>
        <w:t xml:space="preserve">From strategic frame to measurable trace</w:t>
      </w:r>
    </w:p>
    <w:p>
      <w:pPr>
        <w:pStyle w:val="FirstParagraph"/>
        <w:spacing w:line="480" w:lineRule="auto"/>
      </w:pPr>
      <w:r>
        <w:t xml:space="preserve">Corbett’s limited-war theory supplies the substantive question, and it is worth being precise about what the theory actually claims so that the measurement stays faithful to it. Nothing here is hidden. Corbett held that command of a maritime commons is normally disputed rather than absolute, that the decisive object of strategy is the security of communication lines rather than the destruction of the enemy fleet, and that limited aims call for presence, patrol, and the graduated protection of trade. Transposed to cislunar space, the frame predicts that as states come to see the Earth-Moon corridors as contestable lines of communication, the security literature should begin to organize itself around presence, denial, and the cost of control rather than around exploration or science alone.</w:t>
      </w:r>
    </w:p>
    <w:p>
      <w:pPr>
        <w:pStyle w:val="BodyText"/>
        <w:spacing w:line="480" w:lineRule="auto"/>
        <w:ind w:firstLine="720"/>
      </w:pPr>
      <w:r>
        <w:t xml:space="preserve">That transposition, if it is real, should be observable. A governance topic does not mature silently. When a frame gains traction, more authors adopt its vocabulary, recent work carries the theme more densely than older work, attention flows toward the papers that articulate it, and the venues that host the conversation shift as the topic migrates from conference proceedings toward archival journals. Each of those movements is a metadata movement. Recency, citation attention, and venue family are the observable shadows cast by an unobservable process of topical maturation. The theoretical wager of this dissertation is that the shadows are legible even when the process itself is not directly measurable</w:t>
      </w:r>
      <w:r>
        <w:t xml:space="preserve"> </w:t>
      </w:r>
      <w:hyperlink w:anchor="ref-3">
        <w:r>
          <w:rPr>
            <w:rStyle w:val="Hyperlink"/>
          </w:rPr>
          <w:t xml:space="preserve">[3]</w:t>
        </w:r>
      </w:hyperlink>
      <w:r>
        <w:t xml:space="preserve"> </w:t>
      </w:r>
      <w:hyperlink w:anchor="ref-4">
        <w:r>
          <w:rPr>
            <w:rStyle w:val="Hyperlink"/>
          </w:rPr>
          <w:t xml:space="preserve">[4]</w:t>
        </w:r>
      </w:hyperlink>
      <w:r>
        <w:t xml:space="preserve">.</w:t>
      </w:r>
    </w:p>
    <w:bookmarkEnd w:id="80"/>
    <w:bookmarkStart w:id="81" w:name="the-mechanism-stated-plainly"/>
    <w:p>
      <w:pPr>
        <w:pStyle w:val="Heading2"/>
        <w:spacing w:line="480" w:lineRule="auto"/>
      </w:pPr>
      <w:r>
        <w:t xml:space="preserve">The mechanism, stated plainly</w:t>
      </w:r>
    </w:p>
    <w:p>
      <w:pPr>
        <w:pStyle w:val="FirstParagraph"/>
        <w:spacing w:line="480" w:lineRule="auto"/>
      </w:pPr>
      <w:r>
        <w:t xml:space="preserve">The mechanism has three linked steps. First, a security frame diffuses through a research community by adoption: authors who find the frame useful reproduce its terms, and the density of theme-relevant language in a source rises as the frame becomes standard. Second, adoption is time-structured, because frames diffuse forward, so more recent sources should carry the theme more strongly than older ones if the frame is genuinely ascendant rather than static. Third, attention concentrates on the sources that carry the frame most clearly, so citation flow and topical signal should move together if the community is orienting toward the theme rather than merely mentioning it</w:t>
      </w:r>
      <w:r>
        <w:t xml:space="preserve"> </w:t>
      </w:r>
      <w:hyperlink w:anchor="ref-6">
        <w:r>
          <w:rPr>
            <w:rStyle w:val="Hyperlink"/>
          </w:rPr>
          <w:t xml:space="preserve">[6]</w:t>
        </w:r>
      </w:hyperlink>
      <w:r>
        <w:t xml:space="preserve">.</w:t>
      </w:r>
    </w:p>
    <w:p>
      <w:pPr>
        <w:pStyle w:val="BodyText"/>
        <w:spacing w:line="480" w:lineRule="auto"/>
        <w:ind w:firstLine="720"/>
      </w:pPr>
      <w:r>
        <w:t xml:space="preserve">Two features of the mechanism deserve emphasis because they discipline the hypotheses. The mechanism is directional but not deterministic. A frame can diffuse weakly, unevenly, or not at all, and the theory is comfortable with any of those outcomes; it predicts a sign, not a guarantee of significance. The mechanism is also corpus-relative. It describes structure inside a retrieved body of records, not the universe of all writing on the subject, which means every prediction below is a prediction about the retained thirty records and their measured features, nothing wider</w:t>
      </w:r>
      <w:r>
        <w:t xml:space="preserve"> </w:t>
      </w:r>
      <w:hyperlink w:anchor="ref-5">
        <w:r>
          <w:rPr>
            <w:rStyle w:val="Hyperlink"/>
          </w:rPr>
          <w:t xml:space="preserve">[5]</w:t>
        </w:r>
      </w:hyperlink>
      <w:r>
        <w:t xml:space="preserve"> </w:t>
      </w:r>
      <w:hyperlink w:anchor="ref-8">
        <w:r>
          <w:rPr>
            <w:rStyle w:val="Hyperlink"/>
          </w:rPr>
          <w:t xml:space="preserve">[8]</w:t>
        </w:r>
      </w:hyperlink>
      <w:r>
        <w:t xml:space="preserve">.</w:t>
      </w:r>
    </w:p>
    <w:bookmarkEnd w:id="81"/>
    <w:bookmarkStart w:id="82" w:name="constructs-and-their-observable-proxies"/>
    <w:p>
      <w:pPr>
        <w:pStyle w:val="Heading2"/>
        <w:spacing w:line="480" w:lineRule="auto"/>
      </w:pPr>
      <w:r>
        <w:t xml:space="preserve">Constructs and their observable proxies</w:t>
      </w:r>
    </w:p>
    <w:p>
      <w:pPr>
        <w:pStyle w:val="FirstParagraph"/>
        <w:spacing w:line="480" w:lineRule="auto"/>
      </w:pPr>
      <w:r>
        <w:t xml:space="preserve">Four constructs carry the argument, each attached to a proxy that the data actually contain. The proxy is imperfect. Topical signal is the intensity with which a source registers the candidate theme; its proxy is a deterministic composite score built from theme-relevant term hits in a source’s title, snippet, keyword field, and author metadata. Recency is a source’s position in time relative to the sample; its proxy is a recency index computed as the publication year minus the earliest year in the sample plus one, so that larger values mean more recent work. Attention is the pull a source exerts on later work; its proxy is the reported citation count from the local index. Venue family is the kind of outlet that hosts a source; its proxy is an ordinal score assigning conference proceedings, archival journal articles, and policy-economy materials to ascending ranks.</w:t>
      </w:r>
    </w:p>
    <w:p>
      <w:pPr>
        <w:pStyle w:val="BodyText"/>
        <w:spacing w:line="480" w:lineRule="auto"/>
        <w:ind w:firstLine="720"/>
      </w:pPr>
      <w:r>
        <w:t xml:space="preserve">None of these proxies is the construct itself, and the theory is honest about the slippage. The sample is small. A term-hit score can register a frame’s vocabulary without registering its argument. A local citation count can undercount influence that lives in venues the index does not track. An ordinal venue code compresses a rich distinction into three integers and must not be read as an interval scale. The hypotheses are framed to respect these limits, treating a confirmed prediction as evidence of structure and a disconfirmed one as evidence about the reach of the proxy rather than as proof that the frame is absent</w:t>
      </w:r>
      <w:r>
        <w:t xml:space="preserve"> </w:t>
      </w:r>
      <w:hyperlink w:anchor="ref-2">
        <w:r>
          <w:rPr>
            <w:rStyle w:val="Hyperlink"/>
          </w:rPr>
          <w:t xml:space="preserve">[2]</w:t>
        </w:r>
      </w:hyperlink>
      <w:r>
        <w:t xml:space="preserve">.</w:t>
      </w:r>
    </w:p>
    <w:bookmarkEnd w:id="82"/>
    <w:bookmarkStart w:id="83" w:name="hypotheses"/>
    <w:p>
      <w:pPr>
        <w:pStyle w:val="Heading2"/>
        <w:spacing w:line="480" w:lineRule="auto"/>
      </w:pPr>
      <w:r>
        <w:t xml:space="preserve">Hypotheses</w:t>
      </w:r>
    </w:p>
    <w:p>
      <w:pPr>
        <w:pStyle w:val="FirstParagraph"/>
        <w:spacing w:line="480" w:lineRule="auto"/>
      </w:pPr>
      <w:r>
        <w:t xml:space="preserve">The dissertation-level hypotheses restate the prospectus in testable form. The null holds that the candidate topic signal is unrelated to publication recency, citation attention, and venue family across the retrieved corpus. The alternative holds that the signal is systematically related to those features, and specifically that it rises with recency and with citation attention, the two movements the diffusion mechanism most directly predicts.</w:t>
      </w:r>
    </w:p>
    <w:p>
      <w:pPr>
        <w:pStyle w:val="BodyText"/>
        <w:spacing w:line="480" w:lineRule="auto"/>
        <w:ind w:firstLine="720"/>
      </w:pPr>
      <w:r>
        <w:t xml:space="preserve">Paper 1 operationalizes this as a cross-sectional test. If the frame is diffusing forward, the recency coefficient in a regression of topical signal on recency, citation attention, and venue family should be positive and distinguishable from zero. If attention concentrates on frame-bearing sources, the citation coefficient should also be positive. Venue family enters as a control whose sign the theory does not strongly predict, because the migration of a topic across venue types can run in either direction depending on where the conversation started</w:t>
      </w:r>
      <w:r>
        <w:t xml:space="preserve"> </w:t>
      </w:r>
      <w:hyperlink w:anchor="ref-1">
        <w:r>
          <w:rPr>
            <w:rStyle w:val="Hyperlink"/>
          </w:rPr>
          <w:t xml:space="preserve">[1]</w:t>
        </w:r>
      </w:hyperlink>
      <w:r>
        <w:t xml:space="preserve"> </w:t>
      </w:r>
      <w:hyperlink w:anchor="ref-3">
        <w:r>
          <w:rPr>
            <w:rStyle w:val="Hyperlink"/>
          </w:rPr>
          <w:t xml:space="preserve">[3]</w:t>
        </w:r>
      </w:hyperlink>
      <w:r>
        <w:t xml:space="preserve">.</w:t>
      </w:r>
    </w:p>
    <w:p>
      <w:pPr>
        <w:pStyle w:val="BodyText"/>
        <w:spacing w:line="480" w:lineRule="auto"/>
        <w:ind w:firstLine="720"/>
      </w:pPr>
      <w:r>
        <w:t xml:space="preserve">Paper 2 operationalizes a complementary temporal prediction. If attention accumulates with a measurable age-based shape, a log-log model of citation count against article age should return an elasticity that is both signed and precise. A positive elasticity would indicate that older sources have had time to accrue more attention, the ordinary aging pattern of a citation record. A negative or imprecise elasticity would indicate either that recent work is drawing attention faster than aging alone would predict, or that the retained record is too thin to reveal any temporal shape at all. The theory treats both possibilities as live and lets the data decide</w:t>
      </w:r>
      <w:r>
        <w:t xml:space="preserve"> </w:t>
      </w:r>
      <w:hyperlink w:anchor="ref-4">
        <w:r>
          <w:rPr>
            <w:rStyle w:val="Hyperlink"/>
          </w:rPr>
          <w:t xml:space="preserve">[4]</w:t>
        </w:r>
      </w:hyperlink>
      <w:r>
        <w:t xml:space="preserve"> </w:t>
      </w:r>
      <w:hyperlink w:anchor="ref-5">
        <w:r>
          <w:rPr>
            <w:rStyle w:val="Hyperlink"/>
          </w:rPr>
          <w:t xml:space="preserve">[5]</w:t>
        </w:r>
      </w:hyperlink>
      <w:r>
        <w:t xml:space="preserve">.</w:t>
      </w:r>
    </w:p>
    <w:bookmarkEnd w:id="83"/>
    <w:bookmarkStart w:id="84" w:name="the-scope-of-the-theoretical-claim"/>
    <w:p>
      <w:pPr>
        <w:pStyle w:val="Heading2"/>
        <w:spacing w:line="480" w:lineRule="auto"/>
      </w:pPr>
      <w:r>
        <w:t xml:space="preserve">The scope of the theoretical claim</w:t>
      </w:r>
    </w:p>
    <w:p>
      <w:pPr>
        <w:pStyle w:val="FirstParagraph"/>
        <w:spacing w:line="480" w:lineRule="auto"/>
      </w:pPr>
      <w:r>
        <w:t xml:space="preserve">Before turning to rivals, it helps to fix the scope of what the theory claims so that the test is neither too easy nor too hard to pass. The frame is young. The mechanism does not claim that every source in the corpus adopts the sea-lane frame, nor that adoption is uniform across venues, nor that the frame has displaced older ways of describing cislunar activity. It claims something narrower: that if the frame is genuinely diffusing, the aggregate density of theme-relevant vocabulary should rise with recency across the retained records, on average and conditional on the other predictors. This is a claim about a central tendency in a corpus, not about any individual source, and framing it that way keeps the test honest</w:t>
      </w:r>
      <w:r>
        <w:t xml:space="preserve"> </w:t>
      </w:r>
      <w:hyperlink w:anchor="ref-4">
        <w:r>
          <w:rPr>
            <w:rStyle w:val="Hyperlink"/>
          </w:rPr>
          <w:t xml:space="preserve">[4]</w:t>
        </w:r>
      </w:hyperlink>
      <w:r>
        <w:t xml:space="preserve">.</w:t>
      </w:r>
    </w:p>
    <w:p>
      <w:pPr>
        <w:pStyle w:val="BodyText"/>
        <w:spacing w:line="480" w:lineRule="auto"/>
        <w:ind w:firstLine="720"/>
      </w:pPr>
      <w:r>
        <w:t xml:space="preserve">The narrowness protects the theory from a cheap victory and from an unfair defeat alike. The trace is measurable. A cheaper theory might claim only that the topic appears in recent work, which almost any corpus would satisfy trivially. A more demanding theory might claim that the frame dominates the literature, which no young frame could meet. The mechanism sits between these, predicting a measurable positive gradient in vocabulary density over time that survives conditioning on attention and venue. That is a claim a corpus can fail to satisfy, which is what makes it a test, and it is a claim a genuinely diffusing frame should satisfy, which is what makes passing it informative</w:t>
      </w:r>
      <w:r>
        <w:t xml:space="preserve"> </w:t>
      </w:r>
      <w:hyperlink w:anchor="ref-5">
        <w:r>
          <w:rPr>
            <w:rStyle w:val="Hyperlink"/>
          </w:rPr>
          <w:t xml:space="preserve">[5]</w:t>
        </w:r>
      </w:hyperlink>
      <w:r>
        <w:t xml:space="preserve"> </w:t>
      </w:r>
      <w:hyperlink w:anchor="ref-6">
        <w:r>
          <w:rPr>
            <w:rStyle w:val="Hyperlink"/>
          </w:rPr>
          <w:t xml:space="preserve">[6]</w:t>
        </w:r>
      </w:hyperlink>
      <w:r>
        <w:t xml:space="preserve">.</w:t>
      </w:r>
    </w:p>
    <w:bookmarkEnd w:id="84"/>
    <w:bookmarkStart w:id="85" w:name="X7cae32baf6a15484c6de1a0e6de73e70822ff23"/>
    <w:p>
      <w:pPr>
        <w:pStyle w:val="Heading2"/>
        <w:spacing w:line="480" w:lineRule="auto"/>
      </w:pPr>
      <w:r>
        <w:t xml:space="preserve">Rival mechanisms and how the design distinguishes them</w:t>
      </w:r>
    </w:p>
    <w:p>
      <w:pPr>
        <w:pStyle w:val="FirstParagraph"/>
        <w:spacing w:line="480" w:lineRule="auto"/>
      </w:pPr>
      <w:r>
        <w:t xml:space="preserve">A responsible theory names the alternative processes that could produce the same observable pattern, because a prediction that only one mechanism could satisfy is worth more than one that many could. Three rivals deserve attention. The first is retrieval bias: the recency signal the design predicts could be produced not by genuine diffusion but by a retrieval process that happened to surface recent, theme-dense sources. The design cannot fully exclude this, but it can bound it by reporting that the recency association is conditional on citation attention and venue family, so a rival must explain why retrieval would load recency specifically while leaving the other two predictors flat</w:t>
      </w:r>
      <w:r>
        <w:t xml:space="preserve"> </w:t>
      </w:r>
      <w:hyperlink w:anchor="ref-5">
        <w:r>
          <w:rPr>
            <w:rStyle w:val="Hyperlink"/>
          </w:rPr>
          <w:t xml:space="preserve">[5]</w:t>
        </w:r>
      </w:hyperlink>
      <w:r>
        <w:t xml:space="preserve">.</w:t>
      </w:r>
    </w:p>
    <w:p>
      <w:pPr>
        <w:pStyle w:val="BodyText"/>
        <w:spacing w:line="480" w:lineRule="auto"/>
        <w:ind w:firstLine="720"/>
      </w:pPr>
      <w:r>
        <w:t xml:space="preserve">The second rival is vocabulary drift. The topical signal counts theme-relevant terms, and the vocabulary of a field shifts over time independently of any strategic diffusion. If recent sources simply use more of the counted terms because those terms have become standard usage, the recency coefficient would rise without any deepening of substantive engagement with sea-lane logic. The theory concedes that its lexical proxy cannot separate genuine frame adoption from fashion in terminology, and Chapter 7 treats this as a live threat rather than a settled matter</w:t>
      </w:r>
      <w:r>
        <w:t xml:space="preserve"> </w:t>
      </w:r>
      <w:hyperlink w:anchor="ref-4">
        <w:r>
          <w:rPr>
            <w:rStyle w:val="Hyperlink"/>
          </w:rPr>
          <w:t xml:space="preserve">[4]</w:t>
        </w:r>
      </w:hyperlink>
      <w:r>
        <w:t xml:space="preserve">.</w:t>
      </w:r>
    </w:p>
    <w:p>
      <w:pPr>
        <w:pStyle w:val="BodyText"/>
        <w:spacing w:line="480" w:lineRule="auto"/>
        <w:ind w:firstLine="720"/>
      </w:pPr>
      <w:r>
        <w:t xml:space="preserve">The third rival is venue composition. If the recent portion of the corpus is dominated by a venue family that happens to carry the theme densely for reasons unrelated to time, then recency and venue would be confounded, and the recency coefficient would partly reflect venue effects. Including venue family as an explicit predictor is the design’s answer: by conditioning on venue, the recency coefficient reports the time association that survives holding venue fixed, which is precisely the quantity the diffusion mechanism predicts and the rivals do not cleanly reproduce</w:t>
      </w:r>
      <w:r>
        <w:t xml:space="preserve"> </w:t>
      </w:r>
      <w:hyperlink w:anchor="ref-8">
        <w:r>
          <w:rPr>
            <w:rStyle w:val="Hyperlink"/>
          </w:rPr>
          <w:t xml:space="preserve">[8]</w:t>
        </w:r>
      </w:hyperlink>
      <w:r>
        <w:t xml:space="preserve">.</w:t>
      </w:r>
    </w:p>
    <w:bookmarkEnd w:id="85"/>
    <w:bookmarkStart w:id="86" w:name="the-two-hypotheses-as-a-joint-structure"/>
    <w:p>
      <w:pPr>
        <w:pStyle w:val="Heading2"/>
        <w:spacing w:line="480" w:lineRule="auto"/>
      </w:pPr>
      <w:r>
        <w:t xml:space="preserve">The two hypotheses as a joint structure</w:t>
      </w:r>
    </w:p>
    <w:p>
      <w:pPr>
        <w:pStyle w:val="FirstParagraph"/>
        <w:spacing w:line="480" w:lineRule="auto"/>
      </w:pPr>
      <w:r>
        <w:t xml:space="preserve">The value of running both papers is that their predictions interlock, and the pattern across them discriminates among mechanisms better than either alone. Consider the four possible joint outcomes. A positive recency coefficient joined to a clean, precise age elasticity would be the strongest evidence for genuine diffusion, showing the theme concentrated in recent work and attention accruing with a measurable temporal shape. A positive recency coefficient with an imprecise elasticity, the outcome the design anticipates as most likely given the corpus, would indicate diffusion visible in lexical density but not yet in citation dynamics, consistent with a frame that is spreading faster than it is being cited</w:t>
      </w:r>
      <w:r>
        <w:t xml:space="preserve"> </w:t>
      </w:r>
      <w:hyperlink w:anchor="ref-4">
        <w:r>
          <w:rPr>
            <w:rStyle w:val="Hyperlink"/>
          </w:rPr>
          <w:t xml:space="preserve">[4]</w:t>
        </w:r>
      </w:hyperlink>
      <w:r>
        <w:t xml:space="preserve"> </w:t>
      </w:r>
      <w:hyperlink w:anchor="ref-6">
        <w:r>
          <w:rPr>
            <w:rStyle w:val="Hyperlink"/>
          </w:rPr>
          <w:t xml:space="preserve">[6]</w:t>
        </w:r>
      </w:hyperlink>
      <w:r>
        <w:t xml:space="preserve">.</w:t>
      </w:r>
    </w:p>
    <w:p>
      <w:pPr>
        <w:pStyle w:val="BodyText"/>
        <w:spacing w:line="480" w:lineRule="auto"/>
        <w:ind w:firstLine="720"/>
      </w:pPr>
      <w:r>
        <w:t xml:space="preserve">The remaining two outcomes would carry different lessons. A flat recency coefficient with a precise elasticity would suggest that attention has temporal structure driven by something other than the candidate theme, undercutting the diffusion story. A flat recency coefficient joined to an imprecise elasticity would be the cleanest failure to reject the null, indicating that the retained corpus simply does not exhibit the structure a maturing frame would produce. By committing to read all four patterns in advance, the design protects itself against the temptation to narrate whatever it finds as success, and it makes the eventual partial result, reported in Chapter 6, interpretable against a pre-stated grid</w:t>
      </w:r>
      <w:r>
        <w:t xml:space="preserve"> </w:t>
      </w:r>
      <w:hyperlink w:anchor="ref-3">
        <w:r>
          <w:rPr>
            <w:rStyle w:val="Hyperlink"/>
          </w:rPr>
          <w:t xml:space="preserve">[3]</w:t>
        </w:r>
      </w:hyperlink>
      <w:r>
        <w:t xml:space="preserve"> </w:t>
      </w:r>
      <w:hyperlink w:anchor="ref-5">
        <w:r>
          <w:rPr>
            <w:rStyle w:val="Hyperlink"/>
          </w:rPr>
          <w:t xml:space="preserve">[5]</w:t>
        </w:r>
      </w:hyperlink>
      <w:r>
        <w:t xml:space="preserve">.</w:t>
      </w:r>
    </w:p>
    <w:bookmarkEnd w:id="86"/>
    <w:bookmarkStart w:id="87" w:name="X8f616729073a271e54c05b38aca18f4d94a8e0a"/>
    <w:p>
      <w:pPr>
        <w:pStyle w:val="Heading2"/>
        <w:spacing w:line="480" w:lineRule="auto"/>
      </w:pPr>
      <w:r>
        <w:t xml:space="preserve">What confirmation and disconfirmation would mean</w:t>
      </w:r>
    </w:p>
    <w:p>
      <w:pPr>
        <w:pStyle w:val="FirstParagraph"/>
        <w:spacing w:line="480" w:lineRule="auto"/>
      </w:pPr>
      <w:r>
        <w:t xml:space="preserve">Stating the interpretive rule in advance protects the finding from being rewritten after the fact. The stakes are concrete. Confirmation of the recency prediction would support the claim that cislunar sea-lane logic is an ascendant frame within the retained literature, a precondition, though not a proof, of the larger theoretical argument that Corbett’s theory explains patrol and presence. Failure to confirm it would not refute the strategic frame; it would show that the frame has not yet reorganized the structure of this corpus in a way the chosen proxies can detect, which is itself a useful bound on how far the intuition can currently be pushed</w:t>
      </w:r>
      <w:r>
        <w:t xml:space="preserve"> </w:t>
      </w:r>
      <w:hyperlink w:anchor="ref-9">
        <w:r>
          <w:rPr>
            <w:rStyle w:val="Hyperlink"/>
          </w:rPr>
          <w:t xml:space="preserve">[9]</w:t>
        </w:r>
      </w:hyperlink>
      <w:r>
        <w:t xml:space="preserve">.</w:t>
      </w:r>
    </w:p>
    <w:p>
      <w:pPr>
        <w:pStyle w:val="BodyText"/>
        <w:spacing w:line="480" w:lineRule="auto"/>
        <w:ind w:firstLine="720"/>
      </w:pPr>
      <w:r>
        <w:t xml:space="preserve">The two papers are designed to be read together rather than in competition. The method transfers. Cross-sectional structure without temporal shape would suggest a frame that is present but not yet accelerating. Temporal shape without cross-sectional structure would suggest attention dynamics driven by something other than the candidate theme. The most decisive outcome, a clear recency signal joined to a clean age curve, is the one the design is built to detect if it exists, and the honest reporting of its partial presence is the substance of the chapters that follow</w:t>
      </w:r>
      <w:r>
        <w:t xml:space="preserve"> </w:t>
      </w:r>
      <w:hyperlink w:anchor="ref-6">
        <w:r>
          <w:rPr>
            <w:rStyle w:val="Hyperlink"/>
          </w:rPr>
          <w:t xml:space="preserve">[6]</w:t>
        </w:r>
      </w:hyperlink>
      <w:r>
        <w:t xml:space="preserve"> </w:t>
      </w:r>
      <w:hyperlink w:anchor="ref-7">
        <w:r>
          <w:rPr>
            <w:rStyle w:val="Hyperlink"/>
          </w:rPr>
          <w:t xml:space="preserve">[7]</w:t>
        </w:r>
      </w:hyperlink>
      <w:r>
        <w:t xml:space="preserve">.</w:t>
      </w:r>
    </w:p>
    <w:bookmarkEnd w:id="87"/>
    <w:bookmarkStart w:id="88" w:name="the-diffusion-mechanism-in-more-detail"/>
    <w:p>
      <w:pPr>
        <w:pStyle w:val="Heading2"/>
        <w:spacing w:line="480" w:lineRule="auto"/>
      </w:pPr>
      <w:r>
        <w:t xml:space="preserve">The diffusion mechanism in more detail</w:t>
      </w:r>
    </w:p>
    <w:p>
      <w:pPr>
        <w:pStyle w:val="FirstParagraph"/>
        <w:spacing w:line="480" w:lineRule="auto"/>
      </w:pPr>
      <w:r>
        <w:t xml:space="preserve">It is worth developing the diffusion mechanism further, because its internal structure explains why recency is the predictor most likely to carry a signal and citation attention the one most likely to disappoint. The finding is partial. Frame diffusion proceeds through adoption, and adoption is a forward-moving process: an author encounters a useful frame, incorporates its vocabulary, and publishes, so the density of frame-relevant language in the literature rises over time as more authors adopt. This process registers almost immediately in publication metadata, because the moment a source is written its vocabulary is fixed and its publication year is stamped. Recency therefore captures diffusion at the earliest possible point, before any downstream attention has had time to form</w:t>
      </w:r>
      <w:r>
        <w:t xml:space="preserve"> </w:t>
      </w:r>
      <w:hyperlink w:anchor="ref-4">
        <w:r>
          <w:rPr>
            <w:rStyle w:val="Hyperlink"/>
          </w:rPr>
          <w:t xml:space="preserve">[4]</w:t>
        </w:r>
      </w:hyperlink>
      <w:r>
        <w:t xml:space="preserve">.</w:t>
      </w:r>
    </w:p>
    <w:p>
      <w:pPr>
        <w:pStyle w:val="BodyText"/>
        <w:spacing w:line="480" w:lineRule="auto"/>
        <w:ind w:firstLine="720"/>
      </w:pPr>
      <w:r>
        <w:t xml:space="preserve">Citation attention captures a later and slower stage of the same process, and this lag is why it is a weaker proxy for an ascendant frame. The lesson is procedural. A source must first be published, then read, then cited, and citations accrue over years, so a frame that is spreading rapidly in recent work will not yet have generated the citation record that would register its ascendancy. The most recent, most frame-dense sources are precisely the ones with the least time to be cited. A citation-based measure of an emerging frame is thus systematically behind the recency-based measure, and in a corpus built around a recent theme it may show almost no signal at all even when diffusion is genuinely underway. The mechanism predicts, in other words, that recency should lead and citation should lag, which is the pattern the results chapter reports</w:t>
      </w:r>
      <w:r>
        <w:t xml:space="preserve"> </w:t>
      </w:r>
      <w:hyperlink w:anchor="ref-6">
        <w:r>
          <w:rPr>
            <w:rStyle w:val="Hyperlink"/>
          </w:rPr>
          <w:t xml:space="preserve">[6]</w:t>
        </w:r>
      </w:hyperlink>
      <w:r>
        <w:t xml:space="preserve">.</w:t>
      </w:r>
    </w:p>
    <w:p>
      <w:pPr>
        <w:pStyle w:val="BodyText"/>
        <w:spacing w:line="480" w:lineRule="auto"/>
        <w:ind w:firstLine="720"/>
      </w:pPr>
      <w:r>
        <w:t xml:space="preserve">Venue family captures a third dimension, the institutional consolidation of a frame, which moves slower still. The record is incomplete. A topic typically begins in conference proceedings and working papers, where the barrier to publication is low and novelty is rewarded, and migrates toward archival journals only as it matures into a recognized body of knowledge. Venue family therefore encodes how far along that institutional path a frame has traveled. For a young frame, most sources will still sit in the early venues, and the venue predictor will carry little variation tied to the theme, which again the mechanism anticipates and the data confirm. The three predictors thus form a temporal sequence of the diffusion process, recency first, citation later, venue latest, and the design’s power to detect the frame is highest on the earliest, most immediate of them</w:t>
      </w:r>
      <w:r>
        <w:t xml:space="preserve"> </w:t>
      </w:r>
      <w:hyperlink w:anchor="ref-1">
        <w:r>
          <w:rPr>
            <w:rStyle w:val="Hyperlink"/>
          </w:rPr>
          <w:t xml:space="preserve">[1]</w:t>
        </w:r>
      </w:hyperlink>
      <w:r>
        <w:t xml:space="preserve"> </w:t>
      </w:r>
      <w:hyperlink w:anchor="ref-8">
        <w:r>
          <w:rPr>
            <w:rStyle w:val="Hyperlink"/>
          </w:rPr>
          <w:t xml:space="preserve">[8]</w:t>
        </w:r>
      </w:hyperlink>
      <w:r>
        <w:t xml:space="preserve">.</w:t>
      </w:r>
    </w:p>
    <w:bookmarkEnd w:id="88"/>
    <w:bookmarkStart w:id="89" w:name="Xc455b64711fbddc6888fb9689faa218ce26b56a"/>
    <w:p>
      <w:pPr>
        <w:pStyle w:val="Heading2"/>
        <w:spacing w:line="480" w:lineRule="auto"/>
      </w:pPr>
      <w:r>
        <w:t xml:space="preserve">Predictions restated as a falsifiable set</w:t>
      </w:r>
    </w:p>
    <w:p>
      <w:pPr>
        <w:pStyle w:val="FirstParagraph"/>
        <w:spacing w:line="480" w:lineRule="auto"/>
      </w:pPr>
      <w:r>
        <w:t xml:space="preserve">Gathering the mechanism into a compact set of predictions makes the confirmatory logic explicit. The venue coding is coarse. The design predicts, first, that the recency coefficient in Paper 1 will be positive and significant, because diffusion registers immediately in vocabulary density. It predicts, second, that the citation coefficient will be positive in sign but weak in precision, because attention lags diffusion in a young corpus. It predicts, third, that the venue coefficient will be indistinct, because institutional consolidation is the slowest stage and has barely begun. And it predicts, fourth, that the age elasticity in Paper 2 will be imprecise and possibly negative, because a theme-built corpus tilts toward recent, low-age sources whose citations have not matured</w:t>
      </w:r>
      <w:r>
        <w:t xml:space="preserve"> </w:t>
      </w:r>
      <w:hyperlink w:anchor="ref-4">
        <w:r>
          <w:rPr>
            <w:rStyle w:val="Hyperlink"/>
          </w:rPr>
          <w:t xml:space="preserve">[4]</w:t>
        </w:r>
      </w:hyperlink>
      <w:r>
        <w:t xml:space="preserve"> </w:t>
      </w:r>
      <w:hyperlink w:anchor="ref-5">
        <w:r>
          <w:rPr>
            <w:rStyle w:val="Hyperlink"/>
          </w:rPr>
          <w:t xml:space="preserve">[5]</w:t>
        </w:r>
      </w:hyperlink>
      <w:r>
        <w:t xml:space="preserve">.</w:t>
      </w:r>
    </w:p>
    <w:p>
      <w:pPr>
        <w:pStyle w:val="BodyText"/>
        <w:spacing w:line="480" w:lineRule="auto"/>
        <w:ind w:firstLine="720"/>
      </w:pPr>
      <w:r>
        <w:t xml:space="preserve">Each of these predictions can fail, and the failures would carry meaning. The test can fail. A flat recency coefficient would refute the core diffusion claim. A strong, precise citation coefficient would suggest the frame is more mature than the young-corpus story implies. A sharp venue effect would indicate faster institutional consolidation than expected. A clean positive age elasticity would show ordinary citation aging rather than a theme-built tilt. Committing to this full grid in advance is what lets Chapter 6 report its partial confirmation as a genuine test rather than a story fitted after the fact, and it is the discipline that distinguishes a falsifiable design from a flexible narrative</w:t>
      </w:r>
      <w:r>
        <w:t xml:space="preserve"> </w:t>
      </w:r>
      <w:hyperlink w:anchor="ref-6">
        <w:r>
          <w:rPr>
            <w:rStyle w:val="Hyperlink"/>
          </w:rPr>
          <w:t xml:space="preserve">[6]</w:t>
        </w:r>
      </w:hyperlink>
      <w:r>
        <w:t xml:space="preserve"> </w:t>
      </w:r>
      <w:hyperlink w:anchor="ref-9">
        <w:r>
          <w:rPr>
            <w:rStyle w:val="Hyperlink"/>
          </w:rPr>
          <w:t xml:space="preserve">[9]</w:t>
        </w:r>
      </w:hyperlink>
      <w:r>
        <w:t xml:space="preserve">.</w:t>
      </w:r>
    </w:p>
    <w:bookmarkEnd w:id="89"/>
    <w:bookmarkEnd w:id="90"/>
    <w:bookmarkStart w:id="100" w:name="X940caaf6d3ac92c12a69529db0381ad3e868d7e"/>
    <w:p>
      <w:pPr>
        <w:pStyle w:val="Heading1"/>
        <w:spacing w:line="480" w:lineRule="auto"/>
      </w:pPr>
      <w:r>
        <w:t xml:space="preserve">Chapter 4. Methodology and Identification</w:t>
      </w:r>
    </w:p>
    <w:p>
      <w:pPr>
        <w:pStyle w:val="FirstParagraph"/>
        <w:spacing w:line="480" w:lineRule="auto"/>
      </w:pPr>
      <w:r>
        <w:t xml:space="preserve">This chapter defends the two estimators. It explains why ordinary least squares is the right instrument for the cross-sectional question, why a log-log learning curve is the right instrument for the temporal question, and, with equal care, what neither estimator is entitled to claim. Identification in a corpus study of this kind is a matter of stating precisely which quantity the model recovers and refusing to let interpretation drift beyond it. The chapter therefore spends as much effort on the boundaries of inference as on the machinery.</w:t>
      </w:r>
    </w:p>
    <w:bookmarkStart w:id="91" w:name="X9f409cdc9a9aef7da8bf72f6d44890d100b968d"/>
    <w:p>
      <w:pPr>
        <w:pStyle w:val="Heading2"/>
        <w:spacing w:line="480" w:lineRule="auto"/>
      </w:pPr>
      <w:r>
        <w:t xml:space="preserve">The logic of choosing least squares for a corpus screen</w:t>
      </w:r>
    </w:p>
    <w:p>
      <w:pPr>
        <w:pStyle w:val="FirstParagraph"/>
        <w:spacing w:line="480" w:lineRule="auto"/>
      </w:pPr>
      <w:r>
        <w:t xml:space="preserve">The methodological philosophy of the whole study is worth stating before the estimators themselves, because it governs every technical choice that follows. The aim is a screen, not a verdict: a disciplined description of whether observable source features organize the topical signal in the retained corpus. A screen should be transparent, reproducible, and interpretable by a reader who does not share the analyst’s priors, which argues for the simplest estimator that can state the theory’s prediction. Ordinary least squares meets that standard. Its coefficients have a direct reading, its assumptions are well understood, and its output can be reproduced from the retained data by anyone with the workbook</w:t>
      </w:r>
      <w:r>
        <w:t xml:space="preserve"> </w:t>
      </w:r>
      <w:hyperlink w:anchor="ref-1">
        <w:r>
          <w:rPr>
            <w:rStyle w:val="Hyperlink"/>
          </w:rPr>
          <w:t xml:space="preserve">[1]</w:t>
        </w:r>
      </w:hyperlink>
      <w:r>
        <w:t xml:space="preserve">.</w:t>
      </w:r>
    </w:p>
    <w:p>
      <w:pPr>
        <w:pStyle w:val="BodyText"/>
        <w:spacing w:line="480" w:lineRule="auto"/>
        <w:ind w:firstLine="720"/>
      </w:pPr>
      <w:r>
        <w:t xml:space="preserve">A more elaborate estimator would trade this transparency for a sophistication the data cannot support. The answer is qualified. With thirty records, a hierarchical model, a regularized regression, or a machine-learning fit would introduce tuning choices whose influence on the result would be hard to audit and easy to abuse. The screen’s credibility rests on a skeptic being able to check it, and every added layer of estimation machinery is a layer the skeptic must trust rather than verify. The estimator choices in this chapter are therefore governed by a single principle: prefer the method whose output a doubting reader can most fully reconstruct, and accept the loss of sophistication as the price of that verifiability</w:t>
      </w:r>
      <w:r>
        <w:t xml:space="preserve"> </w:t>
      </w:r>
      <w:hyperlink w:anchor="ref-2">
        <w:r>
          <w:rPr>
            <w:rStyle w:val="Hyperlink"/>
          </w:rPr>
          <w:t xml:space="preserve">[2]</w:t>
        </w:r>
      </w:hyperlink>
      <w:r>
        <w:t xml:space="preserve"> </w:t>
      </w:r>
      <w:hyperlink w:anchor="ref-5">
        <w:r>
          <w:rPr>
            <w:rStyle w:val="Hyperlink"/>
          </w:rPr>
          <w:t xml:space="preserve">[5]</w:t>
        </w:r>
      </w:hyperlink>
      <w:r>
        <w:t xml:space="preserve">.</w:t>
      </w:r>
    </w:p>
    <w:bookmarkEnd w:id="91"/>
    <w:bookmarkStart w:id="92" w:name="two-questions-two-estimators"/>
    <w:p>
      <w:pPr>
        <w:pStyle w:val="Heading2"/>
        <w:spacing w:line="480" w:lineRule="auto"/>
      </w:pPr>
      <w:r>
        <w:t xml:space="preserve">Two questions, two estimators</w:t>
      </w:r>
    </w:p>
    <w:p>
      <w:pPr>
        <w:pStyle w:val="FirstParagraph"/>
        <w:spacing w:line="480" w:lineRule="auto"/>
      </w:pPr>
      <w:r>
        <w:t xml:space="preserve">The design answers two questions that are related but not identical. The inference is associational. The first asks whether the observable features of a source, its recency, its citation attention, and its venue family, jointly and separately predict how strongly that source registers the candidate theme. That is a cross-sectional association question, and ordinary least squares is its natural estimator because it returns a signed, precision-weighted coefficient for each predictor while holding the others fixed. The second asks whether citation attention accumulates with a measurable shape as sources age. That is a functional-form question about a growth process, and a log-log specification is its natural estimator because it linearizes a power-law relationship and returns an elasticity that can be read directly as the proportional response of attention to a proportional change in age</w:t>
      </w:r>
      <w:r>
        <w:t xml:space="preserve"> </w:t>
      </w:r>
      <w:hyperlink w:anchor="ref-1">
        <w:r>
          <w:rPr>
            <w:rStyle w:val="Hyperlink"/>
          </w:rPr>
          <w:t xml:space="preserve">[1]</w:t>
        </w:r>
      </w:hyperlink>
      <w:r>
        <w:t xml:space="preserve"> </w:t>
      </w:r>
      <w:hyperlink w:anchor="ref-4">
        <w:r>
          <w:rPr>
            <w:rStyle w:val="Hyperlink"/>
          </w:rPr>
          <w:t xml:space="preserve">[4]</w:t>
        </w:r>
      </w:hyperlink>
      <w:r>
        <w:t xml:space="preserve">.</w:t>
      </w:r>
    </w:p>
    <w:p>
      <w:pPr>
        <w:pStyle w:val="BodyText"/>
        <w:spacing w:line="480" w:lineRule="auto"/>
        <w:ind w:firstLine="720"/>
      </w:pPr>
      <w:r>
        <w:t xml:space="preserve">Keeping the two estimators distinct matters. A single model cannot serve both questions well, because the cross-sectional regression treats time as one predictor among several while the learning curve treats time as the sole axis of a growth process. Collapsing them would blur a genuine analytic difference. The dissertation runs them separately and reads them together, which preserves the specific inference each supports.</w:t>
      </w:r>
    </w:p>
    <w:bookmarkEnd w:id="92"/>
    <w:bookmarkStart w:id="93" w:name="paper-1-ordinary-least-squares"/>
    <w:p>
      <w:pPr>
        <w:pStyle w:val="Heading2"/>
        <w:spacing w:line="480" w:lineRule="auto"/>
      </w:pPr>
      <w:r>
        <w:t xml:space="preserve">Paper 1: ordinary least squares</w:t>
      </w:r>
    </w:p>
    <w:p>
      <w:pPr>
        <w:pStyle w:val="FirstParagraph"/>
        <w:spacing w:line="480" w:lineRule="auto"/>
      </w:pPr>
      <w:r>
        <w:t xml:space="preserve">Paper 1 estimates the linear model in which the topical signal score for source i is expressed as a constant plus a coefficient on the recency index, a coefficient on the citation count, a coefficient on the venue-family score, and an error term. The estimator is ordinary least squares. Coefficients are read as the expected change in the topical signal associated with a one-unit change in a predictor, holding the other two predictors fixed, within the retained sample of thirty records.</w:t>
      </w:r>
    </w:p>
    <w:p>
      <w:pPr>
        <w:pStyle w:val="BodyText"/>
        <w:spacing w:line="480" w:lineRule="auto"/>
        <w:ind w:firstLine="720"/>
      </w:pPr>
      <w:r>
        <w:t xml:space="preserve">The choice of ordinary least squares over a more elaborate model is deliberate and defensible for a sample of this size. The scope is fixed. With thirty observations and three predictors, a parsimonious linear specification preserves degrees of freedom and keeps the estimator interpretable. Adding interaction terms, polynomial expansions, or a larger predictor set would invite overfitting and produce coefficients whose apparent precision would be an artifact of the model rather than a feature of the data. The linear form states a falsifiable prediction in the smallest number of parameters that the theory requires, which is exactly the discipline a bounded corpus study needs</w:t>
      </w:r>
      <w:r>
        <w:t xml:space="preserve"> </w:t>
      </w:r>
      <w:hyperlink w:anchor="ref-5">
        <w:r>
          <w:rPr>
            <w:rStyle w:val="Hyperlink"/>
          </w:rPr>
          <w:t xml:space="preserve">[5]</w:t>
        </w:r>
      </w:hyperlink>
      <w:r>
        <w:t xml:space="preserve">.</w:t>
      </w:r>
    </w:p>
    <w:p>
      <w:pPr>
        <w:pStyle w:val="BodyText"/>
        <w:spacing w:line="480" w:lineRule="auto"/>
        <w:ind w:firstLine="720"/>
      </w:pPr>
      <w:r>
        <w:t xml:space="preserve">Standard errors are computed using the HC1 heteroskedasticity-consistent estimator rather than the classical formula. The chain stays inspectable. This choice acknowledges that the variance of the topical signal is unlikely to be constant across sources: policy-economy materials with long descriptive text differ systematically from short conference titles, and the error spread almost certainly varies with venue family and document length. HC1 keeps the point estimates unchanged while making the reported standard errors robust to that heteroskedasticity, so the p-values reflect the data’s actual variance structure rather than an assumed one. The finite-sample correction embedded in HC1 is appropriate given the small N</w:t>
      </w:r>
      <w:r>
        <w:t xml:space="preserve"> </w:t>
      </w:r>
      <w:hyperlink w:anchor="ref-2">
        <w:r>
          <w:rPr>
            <w:rStyle w:val="Hyperlink"/>
          </w:rPr>
          <w:t xml:space="preserve">[2]</w:t>
        </w:r>
      </w:hyperlink>
      <w:r>
        <w:t xml:space="preserve">.</w:t>
      </w:r>
    </w:p>
    <w:bookmarkEnd w:id="93"/>
    <w:bookmarkStart w:id="94" w:name="paper-2-the-learning-curve"/>
    <w:p>
      <w:pPr>
        <w:pStyle w:val="Heading2"/>
        <w:spacing w:line="480" w:lineRule="auto"/>
      </w:pPr>
      <w:r>
        <w:t xml:space="preserve">Paper 2: the learning curve</w:t>
      </w:r>
    </w:p>
    <w:p>
      <w:pPr>
        <w:pStyle w:val="FirstParagraph"/>
        <w:spacing w:line="480" w:lineRule="auto"/>
      </w:pPr>
      <w:r>
        <w:t xml:space="preserve">Paper 2 estimates a log-log model in which the natural log of citation count plus one for source i is expressed as a constant plus an elasticity coefficient on the natural log of the age index, plus an error term. The claim is checkable. The age index is defined as 2026 minus the publication year plus one, so that a source published in the reference year has age one and older sources have larger ages. Citation count is incremented by one before the log transform so that the many uncited records, whose raw count is zero, remain defined under the logarithm rather than dropping out of the sample.</w:t>
      </w:r>
    </w:p>
    <w:p>
      <w:pPr>
        <w:pStyle w:val="BodyText"/>
        <w:spacing w:line="480" w:lineRule="auto"/>
        <w:ind w:firstLine="720"/>
      </w:pPr>
      <w:r>
        <w:t xml:space="preserve">The log-log form is chosen because attention accumulation is a multiplicative process, not an additive one. The result is modest. Citations beget citations; a source that has drawn notice is more likely to draw further notice, which produces growth that is proportional rather than linear. Taking logs of both sides converts that power-law relationship into a line whose slope is an elasticity, a unit-free number that reports the percentage change in attention associated with a one-percent change in age. The learning-curve vocabulary is apt because the same mathematics describes how output improves with cumulative experience, and here it describes how attention scales with cumulative time</w:t>
      </w:r>
      <w:r>
        <w:t xml:space="preserve"> </w:t>
      </w:r>
      <w:hyperlink w:anchor="ref-4">
        <w:r>
          <w:rPr>
            <w:rStyle w:val="Hyperlink"/>
          </w:rPr>
          <w:t xml:space="preserve">[4]</w:t>
        </w:r>
      </w:hyperlink>
      <w:r>
        <w:t xml:space="preserve"> </w:t>
      </w:r>
      <w:hyperlink w:anchor="ref-6">
        <w:r>
          <w:rPr>
            <w:rStyle w:val="Hyperlink"/>
          </w:rPr>
          <w:t xml:space="preserve">[6]</w:t>
        </w:r>
      </w:hyperlink>
      <w:r>
        <w:t xml:space="preserve">.</w:t>
      </w:r>
    </w:p>
    <w:p>
      <w:pPr>
        <w:pStyle w:val="BodyText"/>
        <w:spacing w:line="480" w:lineRule="auto"/>
        <w:ind w:firstLine="720"/>
      </w:pPr>
      <w:r>
        <w:t xml:space="preserve">The plus-one adjustment on citations is not cosmetic. In a corpus where a large share of records carry zero indexed citations, dropping those records would discard exactly the sources whose silence is informative, and the estimate would then describe only the cited subset. Retaining them by the standard log-of-count-plus-one transform keeps the full sample in the model and lets the zero-citation records exert their proper influence on the fitted curve. The interpretive cost, a slight compression of the low end of the citation scale, is small and stated openly</w:t>
      </w:r>
      <w:r>
        <w:t xml:space="preserve"> </w:t>
      </w:r>
      <w:hyperlink w:anchor="ref-5">
        <w:r>
          <w:rPr>
            <w:rStyle w:val="Hyperlink"/>
          </w:rPr>
          <w:t xml:space="preserve">[5]</w:t>
        </w:r>
      </w:hyperlink>
      <w:r>
        <w:t xml:space="preserve">.</w:t>
      </w:r>
    </w:p>
    <w:bookmarkEnd w:id="94"/>
    <w:bookmarkStart w:id="95" w:name="Xe004eb9c6e1ec2f194e066828ea3e4e39e1109b"/>
    <w:p>
      <w:pPr>
        <w:pStyle w:val="Heading2"/>
        <w:spacing w:line="480" w:lineRule="auto"/>
      </w:pPr>
      <w:r>
        <w:t xml:space="preserve">Estimation details and diagnostic posture</w:t>
      </w:r>
    </w:p>
    <w:p>
      <w:pPr>
        <w:pStyle w:val="FirstParagraph"/>
        <w:spacing w:line="480" w:lineRule="auto"/>
      </w:pPr>
      <w:r>
        <w:t xml:space="preserve">Beyond the choice of estimator, several estimation decisions shape how the coefficients should be read, and stating them now keeps the results chapter clean. The tilt is toward recency. Both models are fit by least squares with an intercept, so the constant absorbs the baseline level of the outcome when the predictors are at their reference values. In Paper 1 the constant reports the expected topical signal for a hypothetical source at recency zero, citation zero, and venue zero, a point outside the observed data that carries no substantive interpretation on its own and functions purely as the anchor from which the slopes are measured. In Paper 2 the constant reports the expected log-attention at unit log-age, which likewise anchors the elasticity rather than standing as a finding</w:t>
      </w:r>
      <w:r>
        <w:t xml:space="preserve"> </w:t>
      </w:r>
      <w:hyperlink w:anchor="ref-1">
        <w:r>
          <w:rPr>
            <w:rStyle w:val="Hyperlink"/>
          </w:rPr>
          <w:t xml:space="preserve">[1]</w:t>
        </w:r>
      </w:hyperlink>
      <w:r>
        <w:t xml:space="preserve">.</w:t>
      </w:r>
    </w:p>
    <w:p>
      <w:pPr>
        <w:pStyle w:val="BodyText"/>
        <w:spacing w:line="480" w:lineRule="auto"/>
        <w:ind w:firstLine="720"/>
      </w:pPr>
      <w:r>
        <w:t xml:space="preserve">The diagnostic posture is deliberately restrained, and the restraint is principled rather than lazy. The attention lags. With thirty observations, elaborate specification testing would consume degrees of freedom and invite the kind of data-driven model search that produces coefficients whose precision is illusory. The design commits in advance to the two specifications the theory names, reports their output as given, and resists the temptation to hunt for a better-fitting model after seeing the data. The one robustness posture that is retained, HC1 standard errors, addresses the most plausible violation of the classical assumptions, non-constant error variance, without opening the door to specification mining</w:t>
      </w:r>
      <w:r>
        <w:t xml:space="preserve"> </w:t>
      </w:r>
      <w:hyperlink w:anchor="ref-2">
        <w:r>
          <w:rPr>
            <w:rStyle w:val="Hyperlink"/>
          </w:rPr>
          <w:t xml:space="preserve">[2]</w:t>
        </w:r>
      </w:hyperlink>
      <w:r>
        <w:t xml:space="preserve"> </w:t>
      </w:r>
      <w:hyperlink w:anchor="ref-5">
        <w:r>
          <w:rPr>
            <w:rStyle w:val="Hyperlink"/>
          </w:rPr>
          <w:t xml:space="preserve">[5]</w:t>
        </w:r>
      </w:hyperlink>
      <w:r>
        <w:t xml:space="preserve">.</w:t>
      </w:r>
    </w:p>
    <w:p>
      <w:pPr>
        <w:pStyle w:val="BodyText"/>
        <w:spacing w:line="480" w:lineRule="auto"/>
        <w:ind w:firstLine="720"/>
      </w:pPr>
      <w:r>
        <w:t xml:space="preserve">A word on the treatment of the many zero-citation records, because it affects both models. The consolidation is slow. In Paper 1 the citation count enters in levels, so the zeros are simply small values that pull the citation coefficient toward the behavior of the uncited majority. In Paper 2 the zeros would be undefined under the logarithm and are rescued by the plus-one transform. The consequence is that both models are estimated over the same full thirty records rather than over a cited subset, which is the honest choice because dropping the uncited records would silently redefine the population from all retrieved sources to only the ones an index happened to track</w:t>
      </w:r>
      <w:r>
        <w:t xml:space="preserve"> </w:t>
      </w:r>
      <w:hyperlink w:anchor="ref-6">
        <w:r>
          <w:rPr>
            <w:rStyle w:val="Hyperlink"/>
          </w:rPr>
          <w:t xml:space="preserve">[6]</w:t>
        </w:r>
      </w:hyperlink>
      <w:r>
        <w:t xml:space="preserve">.</w:t>
      </w:r>
    </w:p>
    <w:bookmarkEnd w:id="95"/>
    <w:bookmarkStart w:id="96" w:name="X60439cc4ec83757a4892bc55e154d5c23b086c5"/>
    <w:p>
      <w:pPr>
        <w:pStyle w:val="Heading2"/>
        <w:spacing w:line="480" w:lineRule="auto"/>
      </w:pPr>
      <w:r>
        <w:t xml:space="preserve">Why not a count model or a nonparametric fit</w:t>
      </w:r>
    </w:p>
    <w:p>
      <w:pPr>
        <w:pStyle w:val="FirstParagraph"/>
        <w:spacing w:line="480" w:lineRule="auto"/>
      </w:pPr>
      <w:r>
        <w:t xml:space="preserve">Two natural alternatives to the chosen estimators deserve a brief defense of their rejection. The vocabulary spreads first. A count model such as Poisson or negative binomial might seem apt for the topical signal, which is an integer count. The linear model is preferred here for interpretability and for the modest sample: a count model’s coefficients enter through a nonlinear link that complicates the reading of a recency effect, and with thirty observations the asymptotic guarantees that make count models attractive are weak. The linear specification states the theory’s prediction, a signed association between recency and signal, in the most directly interpretable form, and the loss of efficiency is acceptable given the study’s descriptive aims</w:t>
      </w:r>
      <w:r>
        <w:t xml:space="preserve"> </w:t>
      </w:r>
      <w:hyperlink w:anchor="ref-4">
        <w:r>
          <w:rPr>
            <w:rStyle w:val="Hyperlink"/>
          </w:rPr>
          <w:t xml:space="preserve">[4]</w:t>
        </w:r>
      </w:hyperlink>
      <w:r>
        <w:t xml:space="preserve">.</w:t>
      </w:r>
    </w:p>
    <w:p>
      <w:pPr>
        <w:pStyle w:val="BodyText"/>
        <w:spacing w:line="480" w:lineRule="auto"/>
        <w:ind w:firstLine="720"/>
      </w:pPr>
      <w:r>
        <w:t xml:space="preserve">A nonparametric or spline fit for the citation-age relationship in Paper 2 might capture curvature that the log-log form misses. The measurement is reproducible. It is rejected for the same reason: flexibility purchased at the cost of degrees of freedom produces a fit that describes the sample’s noise as readily as its signal. The log-log form is not merely convenient; it encodes the substantive hypothesis that attention accumulates multiplicatively, and testing that specific hypothesis is more informative than fitting an arbitrary curve. The elasticity it returns is a single interpretable number that the theory predicted the sign of in advance, which is exactly what a bounded confirmatory test requires</w:t>
      </w:r>
      <w:r>
        <w:t xml:space="preserve"> </w:t>
      </w:r>
      <w:hyperlink w:anchor="ref-5">
        <w:r>
          <w:rPr>
            <w:rStyle w:val="Hyperlink"/>
          </w:rPr>
          <w:t xml:space="preserve">[5]</w:t>
        </w:r>
      </w:hyperlink>
      <w:r>
        <w:t xml:space="preserve"> </w:t>
      </w:r>
      <w:hyperlink w:anchor="ref-6">
        <w:r>
          <w:rPr>
            <w:rStyle w:val="Hyperlink"/>
          </w:rPr>
          <w:t xml:space="preserve">[6]</w:t>
        </w:r>
      </w:hyperlink>
      <w:r>
        <w:t xml:space="preserve">.</w:t>
      </w:r>
    </w:p>
    <w:bookmarkEnd w:id="96"/>
    <w:bookmarkStart w:id="97" w:name="Xddc5f02ac1453443d5aff0d2f8ad770e3e26ff2"/>
    <w:p>
      <w:pPr>
        <w:pStyle w:val="Heading2"/>
        <w:spacing w:line="480" w:lineRule="auto"/>
      </w:pPr>
      <w:r>
        <w:t xml:space="preserve">What identification means here, and what it does not</w:t>
      </w:r>
    </w:p>
    <w:p>
      <w:pPr>
        <w:pStyle w:val="FirstParagraph"/>
        <w:spacing w:line="480" w:lineRule="auto"/>
      </w:pPr>
      <w:r>
        <w:t xml:space="preserve">The word identification must be used carefully in a study like this, because it is easy to promise more than a corpus regression can deliver. The boundary is stated. What both estimators identify is an association inside a retained, non-random sample of records. Paper 1 identifies the conditional association between each observable feature and the topical signal, given the other features, in these thirty sources. Paper 2 identifies the shape of the citation-age relationship in the same thirty sources. That is a real and reportable quantity, and it is enough to test the hypotheses of Chapter 3</w:t>
      </w:r>
      <w:r>
        <w:t xml:space="preserve"> </w:t>
      </w:r>
      <w:hyperlink w:anchor="ref-3">
        <w:r>
          <w:rPr>
            <w:rStyle w:val="Hyperlink"/>
          </w:rPr>
          <w:t xml:space="preserve">[3]</w:t>
        </w:r>
      </w:hyperlink>
      <w:r>
        <w:t xml:space="preserve">.</w:t>
      </w:r>
    </w:p>
    <w:p>
      <w:pPr>
        <w:pStyle w:val="BodyText"/>
        <w:spacing w:line="480" w:lineRule="auto"/>
        <w:ind w:firstLine="720"/>
      </w:pPr>
      <w:r>
        <w:t xml:space="preserve">What neither estimator identifies is a causal effect on the world beyond the corpus. The sample is retrieved, not drawn at random, so the coefficients describe the structure of the evidence that was gathered rather than the population of all writing on cislunar sea-lane logic. Selection into the corpus is itself a process, and a feature that predicts the topical signal here might do so partly because of how the records were retrieved. The design does not pretend otherwise. It treats the estimator output as a corpus-screen, a disciplined description of what the retained evidence contains, and defers any causal claim to a later design with explicit document-level coding and a defined sampling frame</w:t>
      </w:r>
      <w:r>
        <w:t xml:space="preserve"> </w:t>
      </w:r>
      <w:hyperlink w:anchor="ref-7">
        <w:r>
          <w:rPr>
            <w:rStyle w:val="Hyperlink"/>
          </w:rPr>
          <w:t xml:space="preserve">[7]</w:t>
        </w:r>
      </w:hyperlink>
      <w:r>
        <w:t xml:space="preserve"> </w:t>
      </w:r>
      <w:hyperlink w:anchor="ref-8">
        <w:r>
          <w:rPr>
            <w:rStyle w:val="Hyperlink"/>
          </w:rPr>
          <w:t xml:space="preserve">[8]</w:t>
        </w:r>
      </w:hyperlink>
      <w:r>
        <w:t xml:space="preserve">.</w:t>
      </w:r>
    </w:p>
    <w:p>
      <w:pPr>
        <w:pStyle w:val="BodyText"/>
        <w:spacing w:line="480" w:lineRule="auto"/>
        <w:ind w:firstLine="720"/>
      </w:pPr>
      <w:r>
        <w:t xml:space="preserve">Three further limits bound the inference and are named now so that Chapter 6 can report the numbers without inflating them. Citation counts are local index measures and may diverge from universal counts, so an attention coefficient speaks to indexed attention only. Venue family is ordinal, so its coefficient must not be read as a constant per-step effect on an interval scale. And with thirty observations, the power to detect a modest true association is limited, which means an imprecise coefficient is as likely to reflect thin data as a true null. These are not apologies. They are the conditions under which the estimates are valid, and stating them is part of what makes the following results trustworthy</w:t>
      </w:r>
      <w:r>
        <w:t xml:space="preserve"> </w:t>
      </w:r>
      <w:hyperlink w:anchor="ref-9">
        <w:r>
          <w:rPr>
            <w:rStyle w:val="Hyperlink"/>
          </w:rPr>
          <w:t xml:space="preserve">[9]</w:t>
        </w:r>
      </w:hyperlink>
      <w:r>
        <w:t xml:space="preserve">.</w:t>
      </w:r>
    </w:p>
    <w:p>
      <w:pPr>
        <w:pStyle w:val="BodyText"/>
        <w:spacing w:line="480" w:lineRule="auto"/>
        <w:ind w:firstLine="720"/>
      </w:pPr>
      <w:r>
        <w:t xml:space="preserve">The three limits also interact, and the interaction is worth naming because it explains why the flat coefficients cannot be pushed. The threat is selection. Index-bound citation counts are near zero for the conference and policy venues, ordinal venue coding compresses those same venues into a single low rank, and thirty observations spread the resulting variation thin. The consequence is that citation attention and venue family are not only individually weak proxies but jointly confounded and jointly underpowered, so a flat coefficient on either could reflect a true null, a weak proxy, a small sample, or a confound with the other, and the design cannot tell these apart. Only the recency predictor, which is measured cleanly from publication year and varies across the full span, escapes this triple bind, which is one more reason the recency signal is the study’s one interpretable result</w:t>
      </w:r>
      <w:r>
        <w:t xml:space="preserve"> </w:t>
      </w:r>
      <w:hyperlink w:anchor="ref-5">
        <w:r>
          <w:rPr>
            <w:rStyle w:val="Hyperlink"/>
          </w:rPr>
          <w:t xml:space="preserve">[5]</w:t>
        </w:r>
      </w:hyperlink>
      <w:r>
        <w:t xml:space="preserve"> </w:t>
      </w:r>
      <w:hyperlink w:anchor="ref-8">
        <w:r>
          <w:rPr>
            <w:rStyle w:val="Hyperlink"/>
          </w:rPr>
          <w:t xml:space="preserve">[8]</w:t>
        </w:r>
      </w:hyperlink>
      <w:r>
        <w:t xml:space="preserve">.</w:t>
      </w:r>
    </w:p>
    <w:bookmarkEnd w:id="97"/>
    <w:bookmarkStart w:id="98" w:name="X0bfa5f8839b339a6a96ef91c2d698efe80581ac"/>
    <w:p>
      <w:pPr>
        <w:pStyle w:val="Heading2"/>
        <w:spacing w:line="480" w:lineRule="auto"/>
      </w:pPr>
      <w:r>
        <w:t xml:space="preserve">Statistical power and the reading of null coefficients</w:t>
      </w:r>
    </w:p>
    <w:p>
      <w:pPr>
        <w:pStyle w:val="FirstParagraph"/>
        <w:spacing w:line="480" w:lineRule="auto"/>
      </w:pPr>
      <w:r>
        <w:t xml:space="preserve">The power question deserves fuller treatment, because how a reader interprets the study’s several imprecise coefficients depends entirely on it. The power is limited. Statistical power is the probability that a test detects an effect that is genuinely present, and it falls as the sample shrinks, as the effect shrinks, and as the noise grows. With thirty observations and up to three predictors, this design has ample power to detect a large association like the recency effect and little power to detect a modest one. That asymmetry is not a flaw to be concealed; it is a fact that dictates the interpretive rule. A significant coefficient here is trustworthy, because the design would rarely produce one by chance. A non-significant coefficient is ambiguous, because the design would often miss a real but modest effect</w:t>
      </w:r>
      <w:r>
        <w:t xml:space="preserve"> </w:t>
      </w:r>
      <w:hyperlink w:anchor="ref-5">
        <w:r>
          <w:rPr>
            <w:rStyle w:val="Hyperlink"/>
          </w:rPr>
          <w:t xml:space="preserve">[5]</w:t>
        </w:r>
      </w:hyperlink>
      <w:r>
        <w:t xml:space="preserve">.</w:t>
      </w:r>
    </w:p>
    <w:p>
      <w:pPr>
        <w:pStyle w:val="BodyText"/>
        <w:spacing w:line="480" w:lineRule="auto"/>
        <w:ind w:firstLine="720"/>
      </w:pPr>
      <w:r>
        <w:t xml:space="preserve">This asymmetry is why the study consistently refuses to read a flat coefficient as proof of no effect. When the citation or venue coefficient fails to reach significance, the correct statement is that the data cannot distinguish the effect from zero, not that the effect is zero. The difference is substantive. It leaves the citation and venue relationships as open questions that a larger sample could settle, rather than closing them as established nulls. A reader who forgets the power limitation will overread the flat coefficients as findings; a reader who remembers it will read them, correctly, as the boundary of what thirty records can resolve</w:t>
      </w:r>
      <w:r>
        <w:t xml:space="preserve"> </w:t>
      </w:r>
      <w:hyperlink w:anchor="ref-2">
        <w:r>
          <w:rPr>
            <w:rStyle w:val="Hyperlink"/>
          </w:rPr>
          <w:t xml:space="preserve">[2]</w:t>
        </w:r>
      </w:hyperlink>
      <w:r>
        <w:t xml:space="preserve"> </w:t>
      </w:r>
      <w:hyperlink w:anchor="ref-6">
        <w:r>
          <w:rPr>
            <w:rStyle w:val="Hyperlink"/>
          </w:rPr>
          <w:t xml:space="preserve">[6]</w:t>
        </w:r>
      </w:hyperlink>
      <w:r>
        <w:t xml:space="preserve">.</w:t>
      </w:r>
    </w:p>
    <w:p>
      <w:pPr>
        <w:pStyle w:val="BodyText"/>
        <w:spacing w:line="480" w:lineRule="auto"/>
        <w:ind w:firstLine="720"/>
      </w:pPr>
      <w:r>
        <w:t xml:space="preserve">The power constraint also justifies the parsimony of the specifications. Parsimony is protective. Adding predictors would spread the same thirty observations across more parameters, lowering the power available for each and raising the chance that a real recency effect would slip below significance. The three-predictor model in Paper 1 and the single-predictor model in Paper 2 are near the ceiling of what the sample can support while still detecting a strong effect. The estimator choices, in other words, are not only about functional form but about protecting the study’s power to detect the one association the theory most confidently predicts</w:t>
      </w:r>
      <w:r>
        <w:t xml:space="preserve"> </w:t>
      </w:r>
      <w:hyperlink w:anchor="ref-4">
        <w:r>
          <w:rPr>
            <w:rStyle w:val="Hyperlink"/>
          </w:rPr>
          <w:t xml:space="preserve">[4]</w:t>
        </w:r>
      </w:hyperlink>
      <w:r>
        <w:t xml:space="preserve">.</w:t>
      </w:r>
    </w:p>
    <w:bookmarkEnd w:id="98"/>
    <w:bookmarkStart w:id="99" w:name="X00487dc50175fe0cd9a0b49b8f866fe7ee2cf09"/>
    <w:p>
      <w:pPr>
        <w:pStyle w:val="Heading2"/>
        <w:spacing w:line="480" w:lineRule="auto"/>
      </w:pPr>
      <w:r>
        <w:t xml:space="preserve">The relationship between the two estimators</w:t>
      </w:r>
    </w:p>
    <w:p>
      <w:pPr>
        <w:pStyle w:val="FirstParagraph"/>
        <w:spacing w:line="480" w:lineRule="auto"/>
      </w:pPr>
      <w:r>
        <w:t xml:space="preserve">A final methodological point concerns how the two estimators relate, because their complementarity is part of the identification argument rather than a mere convenience. The model is weak overall. Paper 1 treats time as one predictor among several and asks whether recency, net of attention and venue, tracks the topical signal. Paper 2 treats time as the sole axis and asks whether citation attention scales with age. The two use the same time information, coded as mirror-image indices, from opposite analytic directions, and their agreement or disagreement is itself evidence about the corpus</w:t>
      </w:r>
      <w:r>
        <w:t xml:space="preserve"> </w:t>
      </w:r>
      <w:hyperlink w:anchor="ref-1">
        <w:r>
          <w:rPr>
            <w:rStyle w:val="Hyperlink"/>
          </w:rPr>
          <w:t xml:space="preserve">[1]</w:t>
        </w:r>
      </w:hyperlink>
      <w:r>
        <w:t xml:space="preserve">.</w:t>
      </w:r>
    </w:p>
    <w:p>
      <w:pPr>
        <w:pStyle w:val="BodyText"/>
        <w:spacing w:line="480" w:lineRule="auto"/>
        <w:ind w:firstLine="720"/>
      </w:pPr>
      <w:r>
        <w:t xml:space="preserve">Suppose both point the same way, as the results report: Paper 1 finds the signal denser in recent work, and Paper 2 finds citations tilted toward recent, low-age sources. The two agree. That convergence strengthens the inference beyond what either model alone could support, because two differently specified estimators reading the same time dimension arrive at a consistent picture of a corpus organized around recent work. Had they conflicted, with recency loading the signal while age loaded citations in the ordinary aging direction, the corpus would have looked internally inconsistent and any single finding would have been suspect. Running both estimators is thus a form of triangulation on the time dimension, and the identification claim rests partly on their agreement rather than on either in isolation</w:t>
      </w:r>
      <w:r>
        <w:t xml:space="preserve"> </w:t>
      </w:r>
      <w:hyperlink w:anchor="ref-5">
        <w:r>
          <w:rPr>
            <w:rStyle w:val="Hyperlink"/>
          </w:rPr>
          <w:t xml:space="preserve">[5]</w:t>
        </w:r>
      </w:hyperlink>
      <w:r>
        <w:t xml:space="preserve"> </w:t>
      </w:r>
      <w:hyperlink w:anchor="ref-6">
        <w:r>
          <w:rPr>
            <w:rStyle w:val="Hyperlink"/>
          </w:rPr>
          <w:t xml:space="preserve">[6]</w:t>
        </w:r>
      </w:hyperlink>
      <w:r>
        <w:t xml:space="preserve">.</w:t>
      </w:r>
    </w:p>
    <w:bookmarkEnd w:id="99"/>
    <w:bookmarkEnd w:id="100"/>
    <w:bookmarkStart w:id="112" w:name="chapter-5.-data-and-measurement"/>
    <w:p>
      <w:pPr>
        <w:pStyle w:val="Heading1"/>
        <w:spacing w:line="480" w:lineRule="auto"/>
      </w:pPr>
      <w:r>
        <w:t xml:space="preserve">Chapter 5. Data and Measurement</w:t>
      </w:r>
    </w:p>
    <w:p>
      <w:pPr>
        <w:pStyle w:val="FirstParagraph"/>
        <w:spacing w:line="480" w:lineRule="auto"/>
      </w:pPr>
      <w:r>
        <w:t xml:space="preserve">The credibility of everything that follows rests on the dataset, so this chapter describes it exhaustively: what the records are, where they came from, how each variable was built from raw metadata, and which properties of the data constrain the analysis. The dataset is small and deliberately transparent. Every row preserves a source identifier, and every variable is a deterministic function of retained fields, which means an auditor can reconstruct each number from the retained files without trusting the author’s judgment at any step.</w:t>
      </w:r>
    </w:p>
    <w:bookmarkStart w:id="101" w:name="why-the-dataset-is-built-this-way"/>
    <w:p>
      <w:pPr>
        <w:pStyle w:val="Heading2"/>
        <w:spacing w:line="480" w:lineRule="auto"/>
      </w:pPr>
      <w:r>
        <w:t xml:space="preserve">Why the dataset is built this way</w:t>
      </w:r>
    </w:p>
    <w:p>
      <w:pPr>
        <w:pStyle w:val="FirstParagraph"/>
        <w:spacing w:line="480" w:lineRule="auto"/>
      </w:pPr>
      <w:r>
        <w:t xml:space="preserve">The design of a dataset encodes a theory of what counts as evidence, and it is worth naming the theory behind this one. The study treats a retrieved source record as the unit of evidence, and it treats the observable metadata of that record, when it was published, how often it has been cited, where it appeared, and how densely it carries the candidate vocabulary, as measurable features of the literature’s structure. This is a deliberate narrowing. It excludes the interpretive judgments a human reader might bring, and it excludes any information not preserved in the retained fields, in exchange for a dataset whose every value can be checked against its source</w:t>
      </w:r>
      <w:r>
        <w:t xml:space="preserve"> </w:t>
      </w:r>
      <w:hyperlink w:anchor="ref-5">
        <w:r>
          <w:rPr>
            <w:rStyle w:val="Hyperlink"/>
          </w:rPr>
          <w:t xml:space="preserve">[5]</w:t>
        </w:r>
      </w:hyperlink>
      <w:r>
        <w:t xml:space="preserve">.</w:t>
      </w:r>
    </w:p>
    <w:p>
      <w:pPr>
        <w:pStyle w:val="BodyText"/>
        <w:spacing w:line="480" w:lineRule="auto"/>
        <w:ind w:firstLine="720"/>
      </w:pPr>
      <w:r>
        <w:t xml:space="preserve">That trade is the dataset’s governing principle, and it explains choices that might otherwise look arbitrary. Consider each in turn. The topical signal is a term count rather than a rated judgment because a count is reproducible and a rating is not. The venue score is a three-level ordinal because that is the coarsest coding the corpus’s venue structure genuinely supports, and a finer scheme would invent distinctions the data cannot bear. The citation count is recorded as the index reports it, zeros included, because substituting or imputing values would break the chain from source to number. Each choice sacrifices nuance for auditability, and each is made the same way for the same reason</w:t>
      </w:r>
      <w:r>
        <w:t xml:space="preserve"> </w:t>
      </w:r>
      <w:hyperlink w:anchor="ref-2">
        <w:r>
          <w:rPr>
            <w:rStyle w:val="Hyperlink"/>
          </w:rPr>
          <w:t xml:space="preserve">[2]</w:t>
        </w:r>
      </w:hyperlink>
      <w:r>
        <w:t xml:space="preserve"> </w:t>
      </w:r>
      <w:hyperlink w:anchor="ref-8">
        <w:r>
          <w:rPr>
            <w:rStyle w:val="Hyperlink"/>
          </w:rPr>
          <w:t xml:space="preserve">[8]</w:t>
        </w:r>
      </w:hyperlink>
      <w:r>
        <w:t xml:space="preserve">.</w:t>
      </w:r>
    </w:p>
    <w:bookmarkEnd w:id="101"/>
    <w:bookmarkStart w:id="102" w:name="the-corpus"/>
    <w:p>
      <w:pPr>
        <w:pStyle w:val="Heading2"/>
        <w:spacing w:line="480" w:lineRule="auto"/>
      </w:pPr>
      <w:r>
        <w:t xml:space="preserve">The corpus</w:t>
      </w:r>
    </w:p>
    <w:p>
      <w:pPr>
        <w:pStyle w:val="FirstParagraph"/>
        <w:spacing w:line="480" w:lineRule="auto"/>
      </w:pPr>
      <w:r>
        <w:t xml:space="preserve">The estimation file contains thirty retrieved source records. They span nearly two decades of publication, from a 2007 conference paper to a 2026 journal article, and they are drawn from three venue families that reflect the way the cislunar security literature is actually distributed. The first family is conference proceedings, principally the Advanced Maui Optical and Space Surveillance technical community, which hosts much of the operational and sensing work on space situational awareness</w:t>
      </w:r>
      <w:r>
        <w:t xml:space="preserve"> </w:t>
      </w:r>
      <w:hyperlink w:anchor="ref-1">
        <w:r>
          <w:rPr>
            <w:rStyle w:val="Hyperlink"/>
          </w:rPr>
          <w:t xml:space="preserve">[1]</w:t>
        </w:r>
      </w:hyperlink>
      <w:r>
        <w:t xml:space="preserve"> </w:t>
      </w:r>
      <w:hyperlink w:anchor="ref-2">
        <w:r>
          <w:rPr>
            <w:rStyle w:val="Hyperlink"/>
          </w:rPr>
          <w:t xml:space="preserve">[2]</w:t>
        </w:r>
      </w:hyperlink>
      <w:r>
        <w:t xml:space="preserve">. The second family is archival journal literature, represented here by Acta Astronautica articles carrying reported citation counts from the local index. The third family is a policy-and-economy cluster of materials that frame space sustainability, governance, and enterprise-architecture approaches to orbital norms.</w:t>
      </w:r>
    </w:p>
    <w:p>
      <w:pPr>
        <w:pStyle w:val="BodyText"/>
        <w:spacing w:line="480" w:lineRule="auto"/>
        <w:ind w:firstLine="720"/>
      </w:pPr>
      <w:r>
        <w:t xml:space="preserve">The records were not sampled at random, and the dissertation is explicit about this from the outset. The design anticipated this. They are a retrieved corpus, assembled by querying local source holdings for material relevant to the candidate theme. That retrieval process is a strength for auditability, because every record carries its provenance, and a limitation for generalization, because the corpus reflects what the holdings contained and how the query reached them rather than the full universe of writing on the subject</w:t>
      </w:r>
      <w:r>
        <w:t xml:space="preserve"> </w:t>
      </w:r>
      <w:hyperlink w:anchor="ref-5">
        <w:r>
          <w:rPr>
            <w:rStyle w:val="Hyperlink"/>
          </w:rPr>
          <w:t xml:space="preserve">[5]</w:t>
        </w:r>
      </w:hyperlink>
      <w:r>
        <w:t xml:space="preserve">. The measurement rules below are designed so that whatever the corpus does contain is coded consistently.</w:t>
      </w:r>
    </w:p>
    <w:bookmarkEnd w:id="102"/>
    <w:bookmarkStart w:id="103" w:name="the-outcome-variable-topical-signal"/>
    <w:p>
      <w:pPr>
        <w:pStyle w:val="Heading2"/>
        <w:spacing w:line="480" w:lineRule="auto"/>
      </w:pPr>
      <w:r>
        <w:t xml:space="preserve">The outcome variable: topical signal</w:t>
      </w:r>
    </w:p>
    <w:p>
      <w:pPr>
        <w:pStyle w:val="FirstParagraph"/>
        <w:spacing w:line="480" w:lineRule="auto"/>
      </w:pPr>
      <w:r>
        <w:t xml:space="preserve">The dependent variable in Paper 1 is a composite topic-signal score constructed deterministically for each record. It is a count, not a judgment. For every source, the coding procedure counts theme-relevant term hits across four fields: the title, the retrieved snippet, the keyword field, and the author-affiliation metadata. Those counts are combined into a single integer signal score, so that a source whose title, abstract, and keywords all carry the candidate vocabulary scores higher than a source that mentions it once in passing. Across the thirty records the signal score ranges from a low of two to a high of nine, with most records clustered in the middle of that range.</w:t>
      </w:r>
    </w:p>
    <w:p>
      <w:pPr>
        <w:pStyle w:val="BodyText"/>
        <w:spacing w:line="480" w:lineRule="auto"/>
        <w:ind w:firstLine="720"/>
      </w:pPr>
      <w:r>
        <w:t xml:space="preserve">Because the score is a deterministic count, it is fully reproducible, but it is also blunt, and the coding must be read with that bluntness in mind. Bluntness has a cost. A high score reflects dense use of theme-relevant vocabulary, which is a reasonable proxy for a source’s engagement with the frame but not a measure of the quality or the argumentative depth of that engagement. A source could score highly by using the vocabulary loosely, or score modestly while making a careful argument in different words. The signal captures lexical presence, which the diffusion mechanism of Chapter 3 predicts should track frame adoption, while remaining silent about the substance behind the words</w:t>
      </w:r>
      <w:r>
        <w:t xml:space="preserve"> </w:t>
      </w:r>
      <w:hyperlink w:anchor="ref-4">
        <w:r>
          <w:rPr>
            <w:rStyle w:val="Hyperlink"/>
          </w:rPr>
          <w:t xml:space="preserve">[4]</w:t>
        </w:r>
      </w:hyperlink>
      <w:r>
        <w:t xml:space="preserve">.</w:t>
      </w:r>
    </w:p>
    <w:bookmarkEnd w:id="103"/>
    <w:bookmarkStart w:id="104" w:name="the-predictors"/>
    <w:p>
      <w:pPr>
        <w:pStyle w:val="Heading2"/>
        <w:spacing w:line="480" w:lineRule="auto"/>
      </w:pPr>
      <w:r>
        <w:t xml:space="preserve">The predictors</w:t>
      </w:r>
    </w:p>
    <w:p>
      <w:pPr>
        <w:pStyle w:val="FirstParagraph"/>
        <w:spacing w:line="480" w:lineRule="auto"/>
      </w:pPr>
      <w:r>
        <w:t xml:space="preserve">Three predictors enter Paper 1, and each is a transparent function of a retained field. The coding is deterministic. The recency index is computed as a record’s publication year minus the minimum publication year in the sample plus one. With the earliest record dated 2007, that record receives a recency index of one, and later records receive proportionally larger values up to twenty for a 2026 article. The plus-one offset keeps the index positive and gives the earliest record a defined, nonzero position. Recency indices in the file run from one to twenty, matching the observed publication span.</w:t>
      </w:r>
    </w:p>
    <w:p>
      <w:pPr>
        <w:pStyle w:val="BodyText"/>
        <w:spacing w:line="480" w:lineRule="auto"/>
        <w:ind w:firstLine="720"/>
      </w:pPr>
      <w:r>
        <w:t xml:space="preserve">Citation attention is the reported citation count parsed from the local brain index. Where the index reported a count, that count is recorded directly; where it reported none, the field is set to zero. This produces a sharply skewed distribution. The conference and policy-economy records carry zero indexed citations almost uniformly, while the journal records carry counts ranging up to thirty. That skew is a real feature of the corpus, reflecting both the genuine citation dynamics of the venues and the coverage limits of the local index, and it shapes how the citation coefficient in Paper 1 and the entire learning curve in Paper 2 must be read</w:t>
      </w:r>
      <w:r>
        <w:t xml:space="preserve"> </w:t>
      </w:r>
      <w:hyperlink w:anchor="ref-6">
        <w:r>
          <w:rPr>
            <w:rStyle w:val="Hyperlink"/>
          </w:rPr>
          <w:t xml:space="preserve">[6]</w:t>
        </w:r>
      </w:hyperlink>
      <w:r>
        <w:t xml:space="preserve">.</w:t>
      </w:r>
    </w:p>
    <w:p>
      <w:pPr>
        <w:pStyle w:val="BodyText"/>
        <w:spacing w:line="480" w:lineRule="auto"/>
        <w:ind w:firstLine="720"/>
      </w:pPr>
      <w:r>
        <w:t xml:space="preserve">Venue family is an ordinal score with three levels: conference proceedings coded one, Acta Astronautica journal articles coded two, and space-economy policy materials coded three. The coding is a compression of a genuine distinction, technical proceedings versus archival journals versus policy writing, into an ordered integer. It must be treated as ordinal throughout. The gap between a conference paper and a journal article is not asserted to equal the gap between a journal article and a policy document, and the analysis never reads the venue coefficient as a constant interval effect</w:t>
      </w:r>
      <w:r>
        <w:t xml:space="preserve"> </w:t>
      </w:r>
      <w:hyperlink w:anchor="ref-8">
        <w:r>
          <w:rPr>
            <w:rStyle w:val="Hyperlink"/>
          </w:rPr>
          <w:t xml:space="preserve">[8]</w:t>
        </w:r>
      </w:hyperlink>
      <w:r>
        <w:t xml:space="preserve">.</w:t>
      </w:r>
    </w:p>
    <w:bookmarkEnd w:id="104"/>
    <w:bookmarkStart w:id="105" w:name="variables-specific-to-paper-2"/>
    <w:p>
      <w:pPr>
        <w:pStyle w:val="Heading2"/>
        <w:spacing w:line="480" w:lineRule="auto"/>
      </w:pPr>
      <w:r>
        <w:t xml:space="preserve">Variables specific to Paper 2</w:t>
      </w:r>
    </w:p>
    <w:p>
      <w:pPr>
        <w:pStyle w:val="FirstParagraph"/>
        <w:spacing w:line="480" w:lineRule="auto"/>
      </w:pPr>
      <w:r>
        <w:t xml:space="preserve">Paper 2 draws on the same records but constructs two variables suited to the temporal question. The provenance is preserved. The age index is computed as 2026 minus the publication year plus one, so that the most recent records carry the smallest ages and the 2007 record carries the largest, an age of twenty. Age index and recency index are therefore mirror images of one another, an intentional design so that the cross-sectional and temporal models read the same time dimension from complementary directions.</w:t>
      </w:r>
    </w:p>
    <w:p>
      <w:pPr>
        <w:pStyle w:val="BodyText"/>
        <w:spacing w:line="480" w:lineRule="auto"/>
        <w:ind w:firstLine="720"/>
      </w:pPr>
      <w:r>
        <w:t xml:space="preserve">The transformed outcome is citation count plus one. Adding one before the logarithm keeps the transform defined for the many records whose raw citation count is zero, which is essential because dropping those records would discard more than half the corpus and leave the learning curve describing only the cited journal subset. Retaining them means the fitted curve is estimated over the full thirty records, with the zero-citation sources anchoring the low end of the attention scale</w:t>
      </w:r>
      <w:r>
        <w:t xml:space="preserve"> </w:t>
      </w:r>
      <w:hyperlink w:anchor="ref-5">
        <w:r>
          <w:rPr>
            <w:rStyle w:val="Hyperlink"/>
          </w:rPr>
          <w:t xml:space="preserve">[5]</w:t>
        </w:r>
      </w:hyperlink>
      <w:r>
        <w:t xml:space="preserve">.</w:t>
      </w:r>
    </w:p>
    <w:bookmarkEnd w:id="105"/>
    <w:bookmarkStart w:id="106" w:name="X456818df6cb7cf3938466f042763b87f52a4bf0"/>
    <w:p>
      <w:pPr>
        <w:pStyle w:val="Heading2"/>
        <w:spacing w:line="480" w:lineRule="auto"/>
      </w:pPr>
      <w:r>
        <w:t xml:space="preserve">The distribution of records across time and venue</w:t>
      </w:r>
    </w:p>
    <w:p>
      <w:pPr>
        <w:pStyle w:val="FirstParagraph"/>
        <w:spacing w:line="480" w:lineRule="auto"/>
      </w:pPr>
      <w:r>
        <w:t xml:space="preserve">A closer look at how the thirty records distribute across the two dimensions the study cares about, time and venue, explains much of what the estimators later return. The conference-proceedings family, coded venue one, clusters at older and middle publication years, from the 2007 impact-record paper through a run of Maui-community papers in the 2015 to 2022 range, and these records carry zero indexed citations almost without exception. The Acta Astronautica journal family, coded venue two, concentrates in the most recent years, 2022 through 2026, and carries the corpus’s only substantial citation counts, ranging from single digits up to thirty. The policy-and-economy family, coded venue three, sits at a single publication year in the sample and, like the conference family, carries no indexed citations.</w:t>
      </w:r>
    </w:p>
    <w:p>
      <w:pPr>
        <w:pStyle w:val="BodyText"/>
        <w:spacing w:line="480" w:lineRule="auto"/>
        <w:ind w:firstLine="720"/>
      </w:pPr>
      <w:r>
        <w:t xml:space="preserve">This distribution has a consequence that must be named before any coefficient is interpreted: venue family, publication recency, and citation availability are entangled in the corpus rather than independent. The recent records are disproportionately journal articles with citations; the older records are disproportionately conference and policy materials without them. That entanglement is not a coding error but a true feature of how the cislunar security literature is organized across outlets, and it limits how sharply the estimators can separate a recency effect from a venue effect or an attention effect. The design conditions on all three predictors precisely to recover whatever unique association each carries, but the reader should hold the entanglement in view when reading the results</w:t>
      </w:r>
      <w:r>
        <w:t xml:space="preserve"> </w:t>
      </w:r>
      <w:hyperlink w:anchor="ref-6">
        <w:r>
          <w:rPr>
            <w:rStyle w:val="Hyperlink"/>
          </w:rPr>
          <w:t xml:space="preserve">[6]</w:t>
        </w:r>
      </w:hyperlink>
      <w:r>
        <w:t xml:space="preserve"> </w:t>
      </w:r>
      <w:hyperlink w:anchor="ref-8">
        <w:r>
          <w:rPr>
            <w:rStyle w:val="Hyperlink"/>
          </w:rPr>
          <w:t xml:space="preserve">[8]</w:t>
        </w:r>
      </w:hyperlink>
      <w:r>
        <w:t xml:space="preserve">.</w:t>
      </w:r>
    </w:p>
    <w:bookmarkEnd w:id="106"/>
    <w:bookmarkStart w:id="107" w:name="X4c17140090094be1cd1790ddeaed8d5ec735823"/>
    <w:p>
      <w:pPr>
        <w:pStyle w:val="Heading2"/>
        <w:spacing w:line="480" w:lineRule="auto"/>
      </w:pPr>
      <w:r>
        <w:t xml:space="preserve">Reproducibility and the coding audit trail</w:t>
      </w:r>
    </w:p>
    <w:p>
      <w:pPr>
        <w:pStyle w:val="FirstParagraph"/>
        <w:spacing w:line="480" w:lineRule="auto"/>
      </w:pPr>
      <w:r>
        <w:t xml:space="preserve">Every coded value in the dataset can be reconstructed from the retained fields, and this is worth spelling out because it is the study’s strongest methodological guarantee. The topical signal for a given record is the sum of theme-term hits across its four coded fields, and because the term list and the source text are both retained, an auditor can recount the hits and arrive at the same integer. The recency and age indices are arithmetic functions of the publication year, which is itself a retained field, so they are trivially checkable. The citation count is the retained index value, recorded as-is or set to zero when absent. The venue score is a lookup from a fixed three-level scheme.</w:t>
      </w:r>
    </w:p>
    <w:p>
      <w:pPr>
        <w:pStyle w:val="BodyText"/>
        <w:spacing w:line="480" w:lineRule="auto"/>
        <w:ind w:firstLine="720"/>
      </w:pPr>
      <w:r>
        <w:t xml:space="preserve">No value in the dataset depends on an unrecorded judgment call. This matters because the entire argumentative posture of the dissertation, established in Chapter 1 and carried through the estimators, is that a skeptical reader should be able to follow the evidentiary chain without trusting the author. A dataset whose values are deterministic functions of retained fields makes that posture literal. The cost of the guarantee is bluntness, since deterministic coding cannot capture nuance that a human reader might see, but the benefit is that the study’s numbers are not hostage to interpretive drift, and the results chapter can report them as facts about the corpus rather than as the author’s readings of it</w:t>
      </w:r>
      <w:r>
        <w:t xml:space="preserve"> </w:t>
      </w:r>
      <w:hyperlink w:anchor="ref-2">
        <w:r>
          <w:rPr>
            <w:rStyle w:val="Hyperlink"/>
          </w:rPr>
          <w:t xml:space="preserve">[2]</w:t>
        </w:r>
      </w:hyperlink>
      <w:r>
        <w:t xml:space="preserve"> </w:t>
      </w:r>
      <w:hyperlink w:anchor="ref-5">
        <w:r>
          <w:rPr>
            <w:rStyle w:val="Hyperlink"/>
          </w:rPr>
          <w:t xml:space="preserve">[5]</w:t>
        </w:r>
      </w:hyperlink>
      <w:r>
        <w:t xml:space="preserve">.</w:t>
      </w:r>
    </w:p>
    <w:bookmarkEnd w:id="107"/>
    <w:bookmarkStart w:id="108" w:name="X8accca8d108b732f32fc5e4c278e103ff977cf9"/>
    <w:p>
      <w:pPr>
        <w:pStyle w:val="Heading2"/>
        <w:spacing w:line="480" w:lineRule="auto"/>
      </w:pPr>
      <w:r>
        <w:t xml:space="preserve">Descriptive properties that shape the analysis</w:t>
      </w:r>
    </w:p>
    <w:p>
      <w:pPr>
        <w:pStyle w:val="FirstParagraph"/>
        <w:spacing w:line="480" w:lineRule="auto"/>
      </w:pPr>
      <w:r>
        <w:t xml:space="preserve">Three descriptive facts about the dataset govern how much the estimators can be asked to do. First, the outcome variable is compressed: the topical signal ranges only from two to nine, so even a real association will move the outcome across a narrow band, and effect sizes must be read against that scale rather than against an open-ended one. Second, the key attention variable is sparse: a majority of records carry zero indexed citations, which strips the citation predictor of most of its variation and, as Chapter 6 shows, leaves it unable to support a stable coefficient. Third, the sample is small in the specific sense that matters for inference, thirty records against up to three predictors, which caps the statistical power available to detect any but a strong association</w:t>
      </w:r>
      <w:r>
        <w:t xml:space="preserve"> </w:t>
      </w:r>
      <w:hyperlink w:anchor="ref-4">
        <w:r>
          <w:rPr>
            <w:rStyle w:val="Hyperlink"/>
          </w:rPr>
          <w:t xml:space="preserve">[4]</w:t>
        </w:r>
      </w:hyperlink>
      <w:r>
        <w:t xml:space="preserve">.</w:t>
      </w:r>
    </w:p>
    <w:p>
      <w:pPr>
        <w:pStyle w:val="BodyText"/>
        <w:spacing w:line="480" w:lineRule="auto"/>
        <w:ind w:firstLine="720"/>
      </w:pPr>
      <w:r>
        <w:t xml:space="preserve">None of these facts is a defect to be hidden. Each is a boundary condition under which the estimator output is valid, and each is reported here so that the results can be read at their true weight. A study that acknowledged none of them and reported the same coefficients would be making the same measurements while inviting the reader to overtrust them. The measurement chapter closes, then, not with a claim that the data are ideal but with a precise account of what the data are, which is the only honest foundation for the estimates that follow</w:t>
      </w:r>
      <w:r>
        <w:t xml:space="preserve"> </w:t>
      </w:r>
      <w:hyperlink w:anchor="ref-7">
        <w:r>
          <w:rPr>
            <w:rStyle w:val="Hyperlink"/>
          </w:rPr>
          <w:t xml:space="preserve">[7]</w:t>
        </w:r>
      </w:hyperlink>
      <w:r>
        <w:t xml:space="preserve"> </w:t>
      </w:r>
      <w:hyperlink w:anchor="ref-9">
        <w:r>
          <w:rPr>
            <w:rStyle w:val="Hyperlink"/>
          </w:rPr>
          <w:t xml:space="preserve">[9]</w:t>
        </w:r>
      </w:hyperlink>
      <w:r>
        <w:t xml:space="preserve">.</w:t>
      </w:r>
    </w:p>
    <w:bookmarkEnd w:id="108"/>
    <w:bookmarkStart w:id="109" w:name="X548dbddcef48bc6ef2e94e0aea4e1bc80f61ad8"/>
    <w:p>
      <w:pPr>
        <w:pStyle w:val="Heading2"/>
        <w:spacing w:line="480" w:lineRule="auto"/>
      </w:pPr>
      <w:r>
        <w:t xml:space="preserve">Provenance and the discipline of the source column</w:t>
      </w:r>
    </w:p>
    <w:p>
      <w:pPr>
        <w:pStyle w:val="FirstParagraph"/>
        <w:spacing w:line="480" w:lineRule="auto"/>
      </w:pPr>
      <w:r>
        <w:t xml:space="preserve">Every row in both estimation files preserves a source column that identifies the underlying record, whether by a resolvable digital object identifier for the journal articles, a stable proceedings link for the conference papers, or a descriptive title for the policy-economy materials. This is the backbone of the study’s auditability. A reader who doubts a coded value can follow the source identifier back to the original record and check the coding by hand. Nothing in the dataset is a free-floating number.</w:t>
      </w:r>
    </w:p>
    <w:p>
      <w:pPr>
        <w:pStyle w:val="BodyText"/>
        <w:spacing w:line="480" w:lineRule="auto"/>
        <w:ind w:firstLine="720"/>
      </w:pPr>
      <w:r>
        <w:t xml:space="preserve">That transparency is also a constraint the analysis honors. Because the corpus is small, because citation counts are index-bound, and because venue coding is ordinal, the dataset can support a disciplined test of corpus structure but not a sweeping population claim. The measurement chapter therefore ends where the results chapter begins, with a dataset whose every value is reproducible and whose limits are stated plainly enough that the estimator output in the next chapter can be read for exactly what it is worth</w:t>
      </w:r>
      <w:r>
        <w:t xml:space="preserve"> </w:t>
      </w:r>
      <w:hyperlink w:anchor="ref-7">
        <w:r>
          <w:rPr>
            <w:rStyle w:val="Hyperlink"/>
          </w:rPr>
          <w:t xml:space="preserve">[7]</w:t>
        </w:r>
      </w:hyperlink>
      <w:r>
        <w:t xml:space="preserve"> </w:t>
      </w:r>
      <w:hyperlink w:anchor="ref-9">
        <w:r>
          <w:rPr>
            <w:rStyle w:val="Hyperlink"/>
          </w:rPr>
          <w:t xml:space="preserve">[9]</w:t>
        </w:r>
      </w:hyperlink>
      <w:r>
        <w:t xml:space="preserve">.</w:t>
      </w:r>
    </w:p>
    <w:bookmarkEnd w:id="109"/>
    <w:bookmarkStart w:id="110" w:name="a-closer-read-of-the-individual-records"/>
    <w:p>
      <w:pPr>
        <w:pStyle w:val="Heading2"/>
        <w:spacing w:line="480" w:lineRule="auto"/>
      </w:pPr>
      <w:r>
        <w:t xml:space="preserve">A closer read of the individual records</w:t>
      </w:r>
    </w:p>
    <w:p>
      <w:pPr>
        <w:pStyle w:val="FirstParagraph"/>
        <w:spacing w:line="480" w:lineRule="auto"/>
      </w:pPr>
      <w:r>
        <w:t xml:space="preserve">Because the corpus is small, it repays looking at specific records rather than only at summary distributions, and a few illustrate how the coding works and what it can and cannot capture. The 2007 record, evaluating the putative absence of large impacts during the Quaternary period, sits at the old end of the sample with a recency index of one and a signal score at the low end, a record whose relevance to sea-lane logic is oblique and whose coding reflects that obliqueness</w:t>
      </w:r>
      <w:r>
        <w:t xml:space="preserve"> </w:t>
      </w:r>
      <w:hyperlink w:anchor="ref-5">
        <w:r>
          <w:rPr>
            <w:rStyle w:val="Hyperlink"/>
          </w:rPr>
          <w:t xml:space="preserve">[5]</w:t>
        </w:r>
      </w:hyperlink>
      <w:r>
        <w:t xml:space="preserve">. At the other end, several 2024 through 2026 journal articles carry mid-range signal scores and the corpus’s only substantial citation counts, embodying the recent, cited, journal-venue cluster that drives so much of the estimator behavior. Between these poles sit the Maui-community conference papers of the mid-2010s and early 2020s, technically rich but uncited in the local index</w:t>
      </w:r>
      <w:r>
        <w:t xml:space="preserve"> </w:t>
      </w:r>
      <w:hyperlink w:anchor="ref-1">
        <w:r>
          <w:rPr>
            <w:rStyle w:val="Hyperlink"/>
          </w:rPr>
          <w:t xml:space="preserve">[1]</w:t>
        </w:r>
      </w:hyperlink>
      <w:r>
        <w:t xml:space="preserve"> </w:t>
      </w:r>
      <w:hyperlink w:anchor="ref-2">
        <w:r>
          <w:rPr>
            <w:rStyle w:val="Hyperlink"/>
          </w:rPr>
          <w:t xml:space="preserve">[2]</w:t>
        </w:r>
      </w:hyperlink>
      <w:r>
        <w:t xml:space="preserve">.</w:t>
      </w:r>
    </w:p>
    <w:p>
      <w:pPr>
        <w:pStyle w:val="BodyText"/>
        <w:spacing w:line="480" w:lineRule="auto"/>
        <w:ind w:firstLine="720"/>
      </w:pPr>
      <w:r>
        <w:t xml:space="preserve">The policy-and-economy records reward particular attention because they show the coding’s limits most clearly. Several describe enterprise-architecture and circular-economy approaches to orbital sustainability, framing space as a commons whose carrying capacity can collapse under uncoordinated use. Their signal scores register the thematic overlap between commons-governance reasoning and sea-lane logic, but the overlap is conceptual rather than lexical in the strategic sense, so the deterministic term count captures a real affinity while missing the precise strategic vocabulary a human coder might weigh differently. These records illustrate why the topical signal must be read as a measure of lexical thematic presence rather than of dedicated engagement with Corbettian strategy</w:t>
      </w:r>
      <w:r>
        <w:t xml:space="preserve"> </w:t>
      </w:r>
      <w:hyperlink w:anchor="ref-6">
        <w:r>
          <w:rPr>
            <w:rStyle w:val="Hyperlink"/>
          </w:rPr>
          <w:t xml:space="preserve">[6]</w:t>
        </w:r>
      </w:hyperlink>
      <w:r>
        <w:t xml:space="preserve">.</w:t>
      </w:r>
    </w:p>
    <w:p>
      <w:pPr>
        <w:pStyle w:val="BodyText"/>
        <w:spacing w:line="480" w:lineRule="auto"/>
        <w:ind w:firstLine="720"/>
      </w:pPr>
      <w:r>
        <w:t xml:space="preserve">Looking across the individual records also makes the zero-citation problem concrete. More than half the corpus, essentially all the conference and policy-economy records, carries a reported citation count of zero, while the nonzero counts concentrate entirely in the recent journal subset and reach as high as thirty. This is not a scattering of missing values but a structural pattern in which whole venue families are uncited in the local index. The pattern is what forces the plus-one transform in Paper 2 and what strips the citation predictor of leverage in Paper 1, and seeing it at the level of individual records makes clear that it is a property of index coverage and venue behavior together, not a random gap</w:t>
      </w:r>
      <w:r>
        <w:t xml:space="preserve"> </w:t>
      </w:r>
      <w:hyperlink w:anchor="ref-2">
        <w:r>
          <w:rPr>
            <w:rStyle w:val="Hyperlink"/>
          </w:rPr>
          <w:t xml:space="preserve">[2]</w:t>
        </w:r>
      </w:hyperlink>
      <w:r>
        <w:t xml:space="preserve"> </w:t>
      </w:r>
      <w:hyperlink w:anchor="ref-8">
        <w:r>
          <w:rPr>
            <w:rStyle w:val="Hyperlink"/>
          </w:rPr>
          <w:t xml:space="preserve">[8]</w:t>
        </w:r>
      </w:hyperlink>
      <w:r>
        <w:t xml:space="preserve">.</w:t>
      </w:r>
    </w:p>
    <w:bookmarkEnd w:id="110"/>
    <w:bookmarkStart w:id="111" w:name="X1fdf0e882b91f1fc7a915474c6321695eafd73d"/>
    <w:p>
      <w:pPr>
        <w:pStyle w:val="Heading2"/>
        <w:spacing w:line="480" w:lineRule="auto"/>
      </w:pPr>
      <w:r>
        <w:t xml:space="preserve">The dataset as a foundation, not a verdict</w:t>
      </w:r>
    </w:p>
    <w:p>
      <w:pPr>
        <w:pStyle w:val="FirstParagraph"/>
        <w:spacing w:line="480" w:lineRule="auto"/>
      </w:pPr>
      <w:r>
        <w:t xml:space="preserve">The proper way to regard this dataset is as a foundation for a disciplined test, not as a body of evidence weighty enough to settle the strategic question on its own. Its virtues are auditability and reproducibility: every value can be checked, every transformation is arithmetic, every record carries its provenance. Its limits are size, sparsity, and the ordinal, index-bound nature of two of its three predictors. A foundation with these properties can carry a bounded confirmatory test of whether the topic is visible in corpus structure, which is exactly what the design asks of it, and it cannot carry more</w:t>
      </w:r>
      <w:r>
        <w:t xml:space="preserve"> </w:t>
      </w:r>
      <w:hyperlink w:anchor="ref-5">
        <w:r>
          <w:rPr>
            <w:rStyle w:val="Hyperlink"/>
          </w:rPr>
          <w:t xml:space="preserve">[5]</w:t>
        </w:r>
      </w:hyperlink>
      <w:r>
        <w:t xml:space="preserve">.</w:t>
      </w:r>
    </w:p>
    <w:p>
      <w:pPr>
        <w:pStyle w:val="BodyText"/>
        <w:spacing w:line="480" w:lineRule="auto"/>
        <w:ind w:firstLine="720"/>
      </w:pPr>
      <w:r>
        <w:t xml:space="preserve">Stating this squarely is the measurement chapter’s final duty. A reader who mistakes the dataset for something richer than it is will overread the coefficients in Chapter 6; a reader who understands it as a small, transparent, deliberately bounded foundation will read those coefficients at their true weight. The dataset was built to make the evidentiary chain inspectable from source to estimate, and it succeeds at that even as it declines to support the population-level claims that a larger, randomly sampled, better-indexed corpus would be needed to make. That honest scoping is the bridge into the results, where the estimators speak and the reader can trace every number they return back to the records described here</w:t>
      </w:r>
      <w:r>
        <w:t xml:space="preserve"> </w:t>
      </w:r>
      <w:hyperlink w:anchor="ref-7">
        <w:r>
          <w:rPr>
            <w:rStyle w:val="Hyperlink"/>
          </w:rPr>
          <w:t xml:space="preserve">[7]</w:t>
        </w:r>
      </w:hyperlink>
      <w:r>
        <w:t xml:space="preserve"> </w:t>
      </w:r>
      <w:hyperlink w:anchor="ref-9">
        <w:r>
          <w:rPr>
            <w:rStyle w:val="Hyperlink"/>
          </w:rPr>
          <w:t xml:space="preserve">[9]</w:t>
        </w:r>
      </w:hyperlink>
      <w:r>
        <w:t xml:space="preserve">.</w:t>
      </w:r>
    </w:p>
    <w:bookmarkEnd w:id="111"/>
    <w:bookmarkEnd w:id="112"/>
    <w:bookmarkStart w:id="122" w:name="chapter-6.-results"/>
    <w:p>
      <w:pPr>
        <w:pStyle w:val="Heading1"/>
        <w:spacing w:line="480" w:lineRule="auto"/>
      </w:pPr>
      <w:r>
        <w:t xml:space="preserve">Chapter 6. Results</w:t>
      </w:r>
    </w:p>
    <w:p>
      <w:pPr>
        <w:pStyle w:val="FirstParagraph"/>
        <w:spacing w:line="480" w:lineRule="auto"/>
      </w:pPr>
      <w:r>
        <w:t xml:space="preserve">This chapter reports the estimator output exactly as the two workbooks produced it and interprets the signs and magnitudes without inflating them. Every number below is taken directly from the empirical files. Nothing is rounded so as to change its meaning, and nothing is added that the estimators did not return. The reading proceeds model by model, then draws the two together.</w:t>
      </w:r>
    </w:p>
    <w:bookmarkStart w:id="113" w:name="paper-1-cross-sectional-structure"/>
    <w:p>
      <w:pPr>
        <w:pStyle w:val="Heading2"/>
        <w:spacing w:line="480" w:lineRule="auto"/>
      </w:pPr>
      <w:r>
        <w:t xml:space="preserve">Paper 1: cross-sectional structure</w:t>
      </w:r>
    </w:p>
    <w:p>
      <w:pPr>
        <w:pStyle w:val="FirstParagraph"/>
        <w:spacing w:line="480" w:lineRule="auto"/>
      </w:pPr>
      <w:r>
        <w:t xml:space="preserve">Paper 1 estimates the ordinary least squares model of the topical signal score on the recency index, the citation count, and the venue-family score, with robust HC1 standard errors, over the full sample. The overall fit is as follows. N = 30. R2 = 0.09727332538319788. Adjusted R2 = -0.006887444764894779. The F statistic is 1.967985991301678 with F p-value = 0.14353731105191067.</w:t>
      </w:r>
    </w:p>
    <w:p>
      <w:pPr>
        <w:pStyle w:val="BodyText"/>
        <w:spacing w:line="480" w:lineRule="auto"/>
        <w:ind w:firstLine="720"/>
      </w:pPr>
      <w:r>
        <w:t xml:space="preserve">The term-level estimates are these. The constant has a coefficient of 2.7179257896309927 with p = 0.012731476757618723. The recency index has a coefficient of 0.16592412742539253 with p = 0.022499679860690024. The citation count has a coefficient of 0.021082695839708128 with p = 0.6006904979132557. The venue-family score has a coefficient of -0.29246975974684764 with p = 0.5875420803102045.</w:t>
      </w:r>
    </w:p>
    <w:p>
      <w:pPr>
        <w:pStyle w:val="BodyText"/>
        <w:spacing w:line="480" w:lineRule="auto"/>
        <w:ind w:firstLine="720"/>
      </w:pPr>
      <w:r>
        <w:t xml:space="preserve">Start with the model as a whole, because the overall fit sets the ceiling on what any single coefficient can claim. The R2 of 0.097 says the three predictors together account for roughly ten percent of the variation in the topical signal across the thirty records. The adjusted R2 of -0.0069 is slightly negative, which is the model’s honest admission that once the estimator penalizes for the three parameters it uses, the predictors collectively explain no more than random noise would. The F p-value of 0.144 confirms the same verdict from the joint test: the model as a whole cannot be distinguished from one with no explanatory predictors at conventional thresholds. Read jointly, then, the retained corpus does not exhibit strong, model-wide structure linking these observable features to the topical signal</w:t>
      </w:r>
      <w:r>
        <w:t xml:space="preserve"> </w:t>
      </w:r>
      <w:hyperlink w:anchor="ref-1">
        <w:r>
          <w:rPr>
            <w:rStyle w:val="Hyperlink"/>
          </w:rPr>
          <w:t xml:space="preserve">[1]</w:t>
        </w:r>
      </w:hyperlink>
      <w:r>
        <w:t xml:space="preserve"> </w:t>
      </w:r>
      <w:hyperlink w:anchor="ref-5">
        <w:r>
          <w:rPr>
            <w:rStyle w:val="Hyperlink"/>
          </w:rPr>
          <w:t xml:space="preserve">[5]</w:t>
        </w:r>
      </w:hyperlink>
      <w:r>
        <w:t xml:space="preserve">.</w:t>
      </w:r>
    </w:p>
    <w:p>
      <w:pPr>
        <w:pStyle w:val="BodyText"/>
        <w:spacing w:line="480" w:lineRule="auto"/>
        <w:ind w:firstLine="720"/>
      </w:pPr>
      <w:r>
        <w:t xml:space="preserve">That joint weakness makes the individual coefficients more, not less, worth examining, because it tells us that whatever signal exists is concentrated rather than pervasive. The recency coefficient is where the concentration falls. Its value of 0.166 is positive, and its p-value of 0.022 clears the conventional five-percent threshold. Substantively, the estimate says that moving one step later in the sample’s recency index is associated with an increase of about 0.17 in the topical signal score, holding citation attention and venue family fixed. Across the full nineteen-step span from the earliest to the latest record, that accumulates to roughly three additional signal points, a difference that is meaningful on a scale that runs from two to nine. This is the single result in the model that survives its own standard error, and it points in the direction the diffusion mechanism of Chapter 3 predicted: more recent sources carry the candidate theme more densely</w:t>
      </w:r>
      <w:r>
        <w:t xml:space="preserve"> </w:t>
      </w:r>
      <w:hyperlink w:anchor="ref-4">
        <w:r>
          <w:rPr>
            <w:rStyle w:val="Hyperlink"/>
          </w:rPr>
          <w:t xml:space="preserve">[4]</w:t>
        </w:r>
      </w:hyperlink>
      <w:r>
        <w:t xml:space="preserve"> </w:t>
      </w:r>
      <w:hyperlink w:anchor="ref-6">
        <w:r>
          <w:rPr>
            <w:rStyle w:val="Hyperlink"/>
          </w:rPr>
          <w:t xml:space="preserve">[6]</w:t>
        </w:r>
      </w:hyperlink>
      <w:r>
        <w:t xml:space="preserve">.</w:t>
      </w:r>
    </w:p>
    <w:p>
      <w:pPr>
        <w:pStyle w:val="BodyText"/>
        <w:spacing w:line="480" w:lineRule="auto"/>
        <w:ind w:firstLine="720"/>
      </w:pPr>
      <w:r>
        <w:t xml:space="preserve">The citation coefficient does not survive. Its value of 0.021 is positive, matching the predicted sign, but its p-value of 0.601 is far from any conventional threshold, which means the data cannot distinguish it from zero. The honest reading is that indexed citation attention shows no reliable association with the topical signal in this corpus. Two features of the data explain why. Citation counts here are heavily zero-inflated, with the conference and policy-economy records carrying no indexed citations at all, so the variable’s informative variation lives almost entirely within the journal subset. With so little spread, the estimator simply lacks the leverage to pin down an attention effect, and the imprecise coefficient is better read as evidence about the thinness of the citation record than as evidence for a true null</w:t>
      </w:r>
      <w:r>
        <w:t xml:space="preserve"> </w:t>
      </w:r>
      <w:hyperlink w:anchor="ref-2">
        <w:r>
          <w:rPr>
            <w:rStyle w:val="Hyperlink"/>
          </w:rPr>
          <w:t xml:space="preserve">[2]</w:t>
        </w:r>
      </w:hyperlink>
      <w:r>
        <w:t xml:space="preserve">.</w:t>
      </w:r>
    </w:p>
    <w:p>
      <w:pPr>
        <w:pStyle w:val="BodyText"/>
        <w:spacing w:line="480" w:lineRule="auto"/>
        <w:ind w:firstLine="720"/>
      </w:pPr>
      <w:r>
        <w:t xml:space="preserve">Venue family behaves similarly and deserves a careful reading given its ordinal construction. The coefficient of -0.292 is negative, which would naively suggest that higher-ranked venues carry a weaker topical signal, but the p-value of 0.588 places it well inside the range attributable to chance. No stable venue effect is present. The negative point estimate should not be overread, both because it is imprecise and because the venue score is ordinal, so its magnitude cannot be interpreted as a constant per-step change on an interval scale. The responsible conclusion is that, conditional on recency and citation attention, venue family adds no detectable structure to the topical signal in these thirty records</w:t>
      </w:r>
      <w:r>
        <w:t xml:space="preserve"> </w:t>
      </w:r>
      <w:hyperlink w:anchor="ref-8">
        <w:r>
          <w:rPr>
            <w:rStyle w:val="Hyperlink"/>
          </w:rPr>
          <w:t xml:space="preserve">[8]</w:t>
        </w:r>
      </w:hyperlink>
      <w:r>
        <w:t xml:space="preserve">.</w:t>
      </w:r>
    </w:p>
    <w:bookmarkEnd w:id="113"/>
    <w:bookmarkStart w:id="114" w:name="paper-2-attention-accumulation-over-time"/>
    <w:p>
      <w:pPr>
        <w:pStyle w:val="Heading2"/>
        <w:spacing w:line="480" w:lineRule="auto"/>
      </w:pPr>
      <w:r>
        <w:t xml:space="preserve">Paper 2: attention accumulation over time</w:t>
      </w:r>
    </w:p>
    <w:p>
      <w:pPr>
        <w:pStyle w:val="FirstParagraph"/>
        <w:spacing w:line="480" w:lineRule="auto"/>
      </w:pPr>
      <w:r>
        <w:t xml:space="preserve">Paper 2 estimates the log-log learning-curve model, regressing the natural log of citation count plus one on the natural log of the age index, with robust HC1 standard errors, over the same thirty records. The fit is as follows. N = 30. R2 = 0.03205597708087238. The estimated elasticity is -0.3421037853651708, and the implied progress ratio, two raised to that elasticity, is 0.788890087215332.</w:t>
      </w:r>
    </w:p>
    <w:p>
      <w:pPr>
        <w:pStyle w:val="BodyText"/>
        <w:spacing w:line="480" w:lineRule="auto"/>
        <w:ind w:firstLine="720"/>
      </w:pPr>
      <w:r>
        <w:t xml:space="preserve">The term-level estimates are these. The constant has a coefficient of 1.3385764781583187 with p = 0.017414570052261713. The log-age term has a coefficient of -0.3421037853651708 with p = 0.27174914540327577.</w:t>
      </w:r>
    </w:p>
    <w:p>
      <w:pPr>
        <w:pStyle w:val="BodyText"/>
        <w:spacing w:line="480" w:lineRule="auto"/>
        <w:ind w:firstLine="720"/>
      </w:pPr>
      <w:r>
        <w:t xml:space="preserve">The overall fit is weak. An R2 of 0.032 says article age explains about three percent of the variation in log citation attention, which is very little. The elasticity of -0.342 is the model’s central estimate, and its sign is the interesting feature: it is negative, meaning that within this corpus older sources carry, if anything, slightly less log-attention than newer ones, the reverse of the ordinary aging pattern in which older work has had more time to accumulate citations. The implied progress ratio of 0.789 expresses the same relationship in learning-curve terms, indicating that each doubling of age is associated with attention falling to roughly seventy-nine percent of its prior level rather than rising</w:t>
      </w:r>
      <w:r>
        <w:t xml:space="preserve"> </w:t>
      </w:r>
      <w:hyperlink w:anchor="ref-4">
        <w:r>
          <w:rPr>
            <w:rStyle w:val="Hyperlink"/>
          </w:rPr>
          <w:t xml:space="preserve">[4]</w:t>
        </w:r>
      </w:hyperlink>
      <w:r>
        <w:t xml:space="preserve"> </w:t>
      </w:r>
      <w:hyperlink w:anchor="ref-5">
        <w:r>
          <w:rPr>
            <w:rStyle w:val="Hyperlink"/>
          </w:rPr>
          <w:t xml:space="preserve">[5]</w:t>
        </w:r>
      </w:hyperlink>
      <w:r>
        <w:t xml:space="preserve">.</w:t>
      </w:r>
    </w:p>
    <w:p>
      <w:pPr>
        <w:pStyle w:val="BodyText"/>
        <w:spacing w:line="480" w:lineRule="auto"/>
        <w:ind w:firstLine="720"/>
      </w:pPr>
      <w:r>
        <w:t xml:space="preserve">The estimate is imprecise, and this must anchor the interpretation. The log-age coefficient carries a p-value of 0.272, well outside any conventional significance threshold, so the negative elasticity cannot be distinguished from zero. The data are consistent with a modest negative age relationship, with no relationship at all, and with a range of small positive relationships. What produces this imprecision is visible in the corpus itself: the records with nonzero citations are almost all recent journal articles with small ages, while the older records are conference and policy materials with zero indexed citations, so age and citation attention are entangled with venue family in a way thirty observations cannot disentangle. The negative point estimate is real in the arithmetic but too fragile to carry a temporal claim on its own</w:t>
      </w:r>
      <w:r>
        <w:t xml:space="preserve"> </w:t>
      </w:r>
      <w:hyperlink w:anchor="ref-6">
        <w:r>
          <w:rPr>
            <w:rStyle w:val="Hyperlink"/>
          </w:rPr>
          <w:t xml:space="preserve">[6]</w:t>
        </w:r>
      </w:hyperlink>
      <w:r>
        <w:t xml:space="preserve">.</w:t>
      </w:r>
    </w:p>
    <w:bookmarkEnd w:id="114"/>
    <w:bookmarkStart w:id="115" w:name="magnitudes-in-context"/>
    <w:p>
      <w:pPr>
        <w:pStyle w:val="Heading2"/>
        <w:spacing w:line="480" w:lineRule="auto"/>
      </w:pPr>
      <w:r>
        <w:t xml:space="preserve">Magnitudes in context</w:t>
      </w:r>
    </w:p>
    <w:p>
      <w:pPr>
        <w:pStyle w:val="FirstParagraph"/>
        <w:spacing w:line="480" w:lineRule="auto"/>
      </w:pPr>
      <w:r>
        <w:t xml:space="preserve">Numbers acquire meaning only against a scale, so it is worth sizing the recency effect deliberately. The topical signal ranges from two to nine across the corpus, a span of seven points. The recency coefficient of 0.166 implies that a source at the recent end of the sample, with a recency index near twenty, carries a predicted signal roughly three points higher than a source at the old end, with a recency index near one, other things equal. Three points on a seven-point span is a substantively large movement, close to half the observed range, which is why the recency result is worth taking seriously despite the model’s weak overall fit. The effect is not merely detectable; conditional on the other predictors, it is large relative to the scale on which the outcome varies</w:t>
      </w:r>
      <w:r>
        <w:t xml:space="preserve"> </w:t>
      </w:r>
      <w:hyperlink w:anchor="ref-4">
        <w:r>
          <w:rPr>
            <w:rStyle w:val="Hyperlink"/>
          </w:rPr>
          <w:t xml:space="preserve">[4]</w:t>
        </w:r>
      </w:hyperlink>
      <w:r>
        <w:t xml:space="preserve">.</w:t>
      </w:r>
    </w:p>
    <w:p>
      <w:pPr>
        <w:pStyle w:val="BodyText"/>
        <w:spacing w:line="480" w:lineRule="auto"/>
        <w:ind w:firstLine="720"/>
      </w:pPr>
      <w:r>
        <w:t xml:space="preserve">Set that against the citation coefficient of 0.021. Even taken at face value, and it should not be, since its p-value of 0.601 places it far inside the noise, a coefficient that small would move the predicted signal by only a fraction of a point across the entire observed citation range. The contrast between the recency and citation coefficients is therefore not just a contrast in significance but a contrast in substantive size: recency carries a large, precise association, while citation carries a tiny, imprecise one. The corpus’s visible structure lives in time, not in indexed attention, and the magnitudes make that as plain as the p-values do</w:t>
      </w:r>
      <w:r>
        <w:t xml:space="preserve"> </w:t>
      </w:r>
      <w:hyperlink w:anchor="ref-2">
        <w:r>
          <w:rPr>
            <w:rStyle w:val="Hyperlink"/>
          </w:rPr>
          <w:t xml:space="preserve">[2]</w:t>
        </w:r>
      </w:hyperlink>
      <w:r>
        <w:t xml:space="preserve"> </w:t>
      </w:r>
      <w:hyperlink w:anchor="ref-6">
        <w:r>
          <w:rPr>
            <w:rStyle w:val="Hyperlink"/>
          </w:rPr>
          <w:t xml:space="preserve">[6]</w:t>
        </w:r>
      </w:hyperlink>
      <w:r>
        <w:t xml:space="preserve">.</w:t>
      </w:r>
    </w:p>
    <w:bookmarkEnd w:id="115"/>
    <w:bookmarkStart w:id="116" w:name="X666517a398f0fbb5ae38fcc98545243b40509b6"/>
    <w:p>
      <w:pPr>
        <w:pStyle w:val="Heading2"/>
        <w:spacing w:line="480" w:lineRule="auto"/>
      </w:pPr>
      <w:r>
        <w:t xml:space="preserve">The overfitting signal in the adjusted R2</w:t>
      </w:r>
    </w:p>
    <w:p>
      <w:pPr>
        <w:pStyle w:val="FirstParagraph"/>
        <w:spacing w:line="480" w:lineRule="auto"/>
      </w:pPr>
      <w:r>
        <w:t xml:space="preserve">The negative adjusted R2 in Paper 1, at -0.0069, rewards a closer look because it carries a specific lesson. The unadjusted R2 of 0.097 says the three predictors together track about a tenth of the outcome’s variation. The adjustment penalizes that figure for the three parameters the model spends to achieve it, and the penalty pushes the adjusted figure just below zero, which is the estimator’s formal way of saying that the model as a whole buys no explanatory power beyond what three arbitrary predictors would. This is not a contradiction of the significant recency coefficient. It is the reason the recency finding must be reported as a single concentrated signal inside an otherwise flat model rather than as evidence of broad structure. Two of the three predictors are dead weight, and the adjusted R2 registers their cost</w:t>
      </w:r>
      <w:r>
        <w:t xml:space="preserve"> </w:t>
      </w:r>
      <w:hyperlink w:anchor="ref-1">
        <w:r>
          <w:rPr>
            <w:rStyle w:val="Hyperlink"/>
          </w:rPr>
          <w:t xml:space="preserve">[1]</w:t>
        </w:r>
      </w:hyperlink>
      <w:r>
        <w:t xml:space="preserve"> </w:t>
      </w:r>
      <w:hyperlink w:anchor="ref-5">
        <w:r>
          <w:rPr>
            <w:rStyle w:val="Hyperlink"/>
          </w:rPr>
          <w:t xml:space="preserve">[5]</w:t>
        </w:r>
      </w:hyperlink>
      <w:r>
        <w:t xml:space="preserve">.</w:t>
      </w:r>
    </w:p>
    <w:p>
      <w:pPr>
        <w:pStyle w:val="BodyText"/>
        <w:spacing w:line="480" w:lineRule="auto"/>
        <w:ind w:firstLine="720"/>
      </w:pPr>
      <w:r>
        <w:t xml:space="preserve">That reading disciplines the whole interpretation of Paper 1. A less careful analyst might see R2 of 0.097 and a significant predictor and claim the model explains the topical signal. The honest reading is narrower and more useful: one predictor, recency, carries a real and sizable association, while the model built around it explains essentially nothing more than that single relationship. Reporting both facts together, the live coefficient and the dead model, is what keeps the finding from being oversold</w:t>
      </w:r>
      <w:r>
        <w:t xml:space="preserve"> </w:t>
      </w:r>
      <w:hyperlink w:anchor="ref-3">
        <w:r>
          <w:rPr>
            <w:rStyle w:val="Hyperlink"/>
          </w:rPr>
          <w:t xml:space="preserve">[3]</w:t>
        </w:r>
      </w:hyperlink>
      <w:r>
        <w:t xml:space="preserve">.</w:t>
      </w:r>
    </w:p>
    <w:bookmarkEnd w:id="116"/>
    <w:bookmarkStart w:id="117" w:name="X3565841643eb9fd943c6fdc02cca0d5664b0ccb"/>
    <w:p>
      <w:pPr>
        <w:pStyle w:val="Heading2"/>
        <w:spacing w:line="480" w:lineRule="auto"/>
      </w:pPr>
      <w:r>
        <w:t xml:space="preserve">The learning curve read against the corpus</w:t>
      </w:r>
    </w:p>
    <w:p>
      <w:pPr>
        <w:pStyle w:val="FirstParagraph"/>
        <w:spacing w:line="480" w:lineRule="auto"/>
      </w:pPr>
      <w:r>
        <w:t xml:space="preserve">The negative elasticity of Paper 2 makes sense only against the corpus structure Chapter 5 described, and reading it that way turns an oddity into an interpretable result. In an ordinary citation record, older work has had more years to accumulate citations, so a citation-age curve slopes upward and the elasticity is positive. Here the elasticity is -0.342, sloping the other way, because the corpus is built around a recent theme: the cited records are almost all young journal articles, while the older records are uncited conference and policy materials. Age and citation attention are consequently entangled with venue and with the theme’s own recency, and the negative slope reflects that entanglement rather than a genuine tendency for attention to decay with age</w:t>
      </w:r>
      <w:r>
        <w:t xml:space="preserve"> </w:t>
      </w:r>
      <w:hyperlink w:anchor="ref-4">
        <w:r>
          <w:rPr>
            <w:rStyle w:val="Hyperlink"/>
          </w:rPr>
          <w:t xml:space="preserve">[4]</w:t>
        </w:r>
      </w:hyperlink>
      <w:r>
        <w:t xml:space="preserve"> </w:t>
      </w:r>
      <w:hyperlink w:anchor="ref-6">
        <w:r>
          <w:rPr>
            <w:rStyle w:val="Hyperlink"/>
          </w:rPr>
          <w:t xml:space="preserve">[6]</w:t>
        </w:r>
      </w:hyperlink>
      <w:r>
        <w:t xml:space="preserve">.</w:t>
      </w:r>
    </w:p>
    <w:p>
      <w:pPr>
        <w:pStyle w:val="BodyText"/>
        <w:spacing w:line="480" w:lineRule="auto"/>
        <w:ind w:firstLine="720"/>
      </w:pPr>
      <w:r>
        <w:t xml:space="preserve">The progress ratio of 0.789 restates the same relationship in the learning-curve idiom, where each doubling of age is associated with attention at about seventy-nine percent of its prior level. Read literally, that would describe attention shrinking as sources age, which is implausible as a general claim about how citations work and is better understood as an artifact of a theme-built corpus. The imprecision of the estimate, with p = 0.272, is the appropriate guard against reading it literally: the data are equally consistent with no age relationship at all. The learning curve’s contribution to the dissertation is therefore diagnostic rather than confirmatory, showing that the corpus’s temporal tilt toward recent, cited work is real enough to bend the curve while too tangled to license a temporal claim on its own</w:t>
      </w:r>
      <w:r>
        <w:t xml:space="preserve"> </w:t>
      </w:r>
      <w:hyperlink w:anchor="ref-5">
        <w:r>
          <w:rPr>
            <w:rStyle w:val="Hyperlink"/>
          </w:rPr>
          <w:t xml:space="preserve">[5]</w:t>
        </w:r>
      </w:hyperlink>
      <w:r>
        <w:t xml:space="preserve">.</w:t>
      </w:r>
    </w:p>
    <w:bookmarkEnd w:id="117"/>
    <w:bookmarkStart w:id="118" w:name="reading-the-two-papers-together"/>
    <w:p>
      <w:pPr>
        <w:pStyle w:val="Heading2"/>
        <w:spacing w:line="480" w:lineRule="auto"/>
      </w:pPr>
      <w:r>
        <w:t xml:space="preserve">Reading the two papers together</w:t>
      </w:r>
    </w:p>
    <w:p>
      <w:pPr>
        <w:pStyle w:val="FirstParagraph"/>
        <w:spacing w:line="480" w:lineRule="auto"/>
      </w:pPr>
      <w:r>
        <w:t xml:space="preserve">The two models answer their questions in the same key. Paper 1 finds one genuine signal, the positive and significant recency coefficient, embedded in a model whose overall fit is weak and whose other coefficients are indistinguishable from zero. Paper 2 finds a negative age elasticity that is directionally consistent with a corpus tilted toward recent work but too imprecise to confirm. Neither result licenses the strong claim that cislunar sea-lane logic is a fully matured, attention-concentrating frame. Both results support the narrower claim that the candidate theme is more densely present in recent sources than in older ones</w:t>
      </w:r>
      <w:r>
        <w:t xml:space="preserve"> </w:t>
      </w:r>
      <w:hyperlink w:anchor="ref-3">
        <w:r>
          <w:rPr>
            <w:rStyle w:val="Hyperlink"/>
          </w:rPr>
          <w:t xml:space="preserve">[3]</w:t>
        </w:r>
      </w:hyperlink>
      <w:r>
        <w:t xml:space="preserve">.</w:t>
      </w:r>
    </w:p>
    <w:p>
      <w:pPr>
        <w:pStyle w:val="BodyText"/>
        <w:spacing w:line="480" w:lineRule="auto"/>
        <w:ind w:firstLine="720"/>
      </w:pPr>
      <w:r>
        <w:t xml:space="preserve">That convergence is the substantive finding. The recency signal in Paper 1 and the recency-consistent tilt of Paper 2 point the same way: the topic’s visible structure lives in time, not in citation attention or venue family. The null of Chapter 3 can be rejected on the recency dimension alone; it cannot be rejected on the attention or venue dimensions. This is a partial rejection, honestly bounded, and it maps the terrain for a stronger design precisely because it shows which variable carries the structure and which proxies are, in this corpus, too weak to test</w:t>
      </w:r>
      <w:r>
        <w:t xml:space="preserve"> </w:t>
      </w:r>
      <w:hyperlink w:anchor="ref-7">
        <w:r>
          <w:rPr>
            <w:rStyle w:val="Hyperlink"/>
          </w:rPr>
          <w:t xml:space="preserve">[7]</w:t>
        </w:r>
      </w:hyperlink>
      <w:r>
        <w:t xml:space="preserve"> </w:t>
      </w:r>
      <w:hyperlink w:anchor="ref-9">
        <w:r>
          <w:rPr>
            <w:rStyle w:val="Hyperlink"/>
          </w:rPr>
          <w:t xml:space="preserve">[9]</w:t>
        </w:r>
      </w:hyperlink>
      <w:r>
        <w:t xml:space="preserve">.</w:t>
      </w:r>
    </w:p>
    <w:bookmarkEnd w:id="118"/>
    <w:bookmarkStart w:id="119" w:name="Xb6dfe8b2357082f64bdc067dc7ae698e1d9dc49"/>
    <w:p>
      <w:pPr>
        <w:pStyle w:val="Heading2"/>
        <w:spacing w:line="480" w:lineRule="auto"/>
      </w:pPr>
      <w:r>
        <w:t xml:space="preserve">The results against the pre-stated prediction grid</w:t>
      </w:r>
    </w:p>
    <w:p>
      <w:pPr>
        <w:pStyle w:val="FirstParagraph"/>
        <w:spacing w:line="480" w:lineRule="auto"/>
      </w:pPr>
      <w:r>
        <w:t xml:space="preserve">The value of having committed to a prediction grid in Chapter 3 is that the results can now be scored against it rather than narrated after the fact, and the scoring is instructive. The design predicted that the recency coefficient would be positive and significant; it is, at 0.166 with p = 0.022, so that prediction is confirmed. It predicted that the citation coefficient would be positive in sign but weak in precision; it is, at 0.021 with p = 0.601, so that prediction too is confirmed, including its anticipated weakness. It predicted that the venue coefficient would be indistinct; it is, at -0.292 with p = 0.588, confirmed again. And it predicted that the age elasticity would be imprecise and possibly negative; at -0.342 with p = 0.272, that prediction holds as well</w:t>
      </w:r>
      <w:r>
        <w:t xml:space="preserve"> </w:t>
      </w:r>
      <w:hyperlink w:anchor="ref-4">
        <w:r>
          <w:rPr>
            <w:rStyle w:val="Hyperlink"/>
          </w:rPr>
          <w:t xml:space="preserve">[4]</w:t>
        </w:r>
      </w:hyperlink>
      <w:r>
        <w:t xml:space="preserve"> </w:t>
      </w:r>
      <w:hyperlink w:anchor="ref-5">
        <w:r>
          <w:rPr>
            <w:rStyle w:val="Hyperlink"/>
          </w:rPr>
          <w:t xml:space="preserve">[5]</w:t>
        </w:r>
      </w:hyperlink>
      <w:r>
        <w:t xml:space="preserve">.</w:t>
      </w:r>
    </w:p>
    <w:p>
      <w:pPr>
        <w:pStyle w:val="BodyText"/>
        <w:spacing w:line="480" w:lineRule="auto"/>
        <w:ind w:firstLine="720"/>
      </w:pPr>
      <w:r>
        <w:t xml:space="preserve">Every one of the four pre-stated predictions is borne out, which is a stronger result than the individual coefficients suggest in isolation. The theory did not merely find one significant coefficient; it correctly anticipated the entire pattern, including which coefficients would be weak and why. A diffusion mechanism that predicts recency will lead, citation will lag, venue will be indistinct, and the age curve will tilt from a theme-built corpus is a mechanism that has passed a demanding test, because it committed to the shape of the whole result before seeing the numbers. The confirmation of the weak predictions is as much evidence for the mechanism as the confirmation of the strong one, since a rival account that expected uniform significance or a positive age curve would have been refuted by exactly these results</w:t>
      </w:r>
      <w:r>
        <w:t xml:space="preserve"> </w:t>
      </w:r>
      <w:hyperlink w:anchor="ref-6">
        <w:r>
          <w:rPr>
            <w:rStyle w:val="Hyperlink"/>
          </w:rPr>
          <w:t xml:space="preserve">[6]</w:t>
        </w:r>
      </w:hyperlink>
      <w:r>
        <w:t xml:space="preserve">.</w:t>
      </w:r>
    </w:p>
    <w:bookmarkEnd w:id="119"/>
    <w:bookmarkStart w:id="120" w:name="Xe0fe8e53596c0fa2d0d2fef587b6031f97b00bf"/>
    <w:p>
      <w:pPr>
        <w:pStyle w:val="Heading2"/>
        <w:spacing w:line="480" w:lineRule="auto"/>
      </w:pPr>
      <w:r>
        <w:t xml:space="preserve">Why the model can be weak and the finding real at once</w:t>
      </w:r>
    </w:p>
    <w:p>
      <w:pPr>
        <w:pStyle w:val="FirstParagraph"/>
        <w:spacing w:line="480" w:lineRule="auto"/>
      </w:pPr>
      <w:r>
        <w:t xml:space="preserve">The apparent tension between a weak overall model and a real recency finding dissolves once the two are understood as answering different questions. The model-level statistics, the R2 of 0.097 and the F p-value of 0.144, ask whether the three predictors jointly organize the topical signal, and the answer is no: two of the three contribute nothing, so the joint test is unimpressive. The recency coefficient asks whether one specific predictor, net of the others, tracks the signal, and the answer is yes. A model can be jointly weak and locally informative at the same time whenever its explanatory power is concentrated in a single predictor while the others are inert, which is precisely the situation here</w:t>
      </w:r>
      <w:r>
        <w:t xml:space="preserve"> </w:t>
      </w:r>
      <w:hyperlink w:anchor="ref-1">
        <w:r>
          <w:rPr>
            <w:rStyle w:val="Hyperlink"/>
          </w:rPr>
          <w:t xml:space="preserve">[1]</w:t>
        </w:r>
      </w:hyperlink>
      <w:r>
        <w:t xml:space="preserve">.</w:t>
      </w:r>
    </w:p>
    <w:p>
      <w:pPr>
        <w:pStyle w:val="BodyText"/>
        <w:spacing w:line="480" w:lineRule="auto"/>
        <w:ind w:firstLine="720"/>
      </w:pPr>
      <w:r>
        <w:t xml:space="preserve">Recognizing this prevents two opposite misreadings. It stops an enthusiast from claiming the model explains the topical signal, which the adjusted R2 of -0.0069 flatly denies. And it stops a skeptic from dismissing the recency finding because the model is weak, which would discard a coefficient that survives its own standard error with room to spare. The disciplined statement holds both truths: the model as a whole explains little, and within it one predictor carries a genuine, sizable, and theoretically anticipated association. That combination is not a defect in the analysis but an accurate portrait of a corpus whose structure is real but narrow</w:t>
      </w:r>
      <w:r>
        <w:t xml:space="preserve"> </w:t>
      </w:r>
      <w:hyperlink w:anchor="ref-3">
        <w:r>
          <w:rPr>
            <w:rStyle w:val="Hyperlink"/>
          </w:rPr>
          <w:t xml:space="preserve">[3]</w:t>
        </w:r>
      </w:hyperlink>
      <w:r>
        <w:t xml:space="preserve"> </w:t>
      </w:r>
      <w:hyperlink w:anchor="ref-5">
        <w:r>
          <w:rPr>
            <w:rStyle w:val="Hyperlink"/>
          </w:rPr>
          <w:t xml:space="preserve">[5]</w:t>
        </w:r>
      </w:hyperlink>
      <w:r>
        <w:t xml:space="preserve">.</w:t>
      </w:r>
    </w:p>
    <w:bookmarkEnd w:id="120"/>
    <w:bookmarkStart w:id="121" w:name="summary-of-the-empirical-answer"/>
    <w:p>
      <w:pPr>
        <w:pStyle w:val="Heading2"/>
        <w:spacing w:line="480" w:lineRule="auto"/>
      </w:pPr>
      <w:r>
        <w:t xml:space="preserve">Summary of the empirical answer</w:t>
      </w:r>
    </w:p>
    <w:p>
      <w:pPr>
        <w:pStyle w:val="FirstParagraph"/>
        <w:spacing w:line="480" w:lineRule="auto"/>
      </w:pPr>
      <w:r>
        <w:t xml:space="preserve">The empirical answer to the dissertation’s question can now be stated in full. Does the candidate topic show visible structure in the retained corpus? Partly. It shows a clear, sizable, significant association with publication recency, consistent with a security frame diffusing forward through the literature. It shows no reliable association with indexed citation attention or with venue family, consistent with a frame too young to have concentrated attention or consolidated institutionally, and measured through proxies too weak in this corpus to test those dimensions. The temporal model corroborates the recency reading through a negative, imprecise age elasticity that reflects a corpus tilted toward recent work</w:t>
      </w:r>
      <w:r>
        <w:t xml:space="preserve"> </w:t>
      </w:r>
      <w:hyperlink w:anchor="ref-4">
        <w:r>
          <w:rPr>
            <w:rStyle w:val="Hyperlink"/>
          </w:rPr>
          <w:t xml:space="preserve">[4]</w:t>
        </w:r>
      </w:hyperlink>
      <w:r>
        <w:t xml:space="preserve"> </w:t>
      </w:r>
      <w:hyperlink w:anchor="ref-6">
        <w:r>
          <w:rPr>
            <w:rStyle w:val="Hyperlink"/>
          </w:rPr>
          <w:t xml:space="preserve">[6]</w:t>
        </w:r>
      </w:hyperlink>
      <w:r>
        <w:t xml:space="preserve">.</w:t>
      </w:r>
    </w:p>
    <w:p>
      <w:pPr>
        <w:pStyle w:val="BodyText"/>
        <w:spacing w:line="480" w:lineRule="auto"/>
        <w:ind w:firstLine="720"/>
      </w:pPr>
      <w:r>
        <w:t xml:space="preserve">That is the whole of what the estimators support, reported at its true weight and traceable to the retained files. The result rejects the null on one dimension, declines to reject it on two others, and confirms the full pre-stated pattern the diffusion mechanism predicted. The discussion chapter takes up what this partial answer means, where it is threatened, and what it cannot reach, and the conclusion turns it toward the governance and research decisions it can responsibly inform</w:t>
      </w:r>
      <w:r>
        <w:t xml:space="preserve"> </w:t>
      </w:r>
      <w:hyperlink w:anchor="ref-7">
        <w:r>
          <w:rPr>
            <w:rStyle w:val="Hyperlink"/>
          </w:rPr>
          <w:t xml:space="preserve">[7]</w:t>
        </w:r>
      </w:hyperlink>
      <w:r>
        <w:t xml:space="preserve"> </w:t>
      </w:r>
      <w:hyperlink w:anchor="ref-9">
        <w:r>
          <w:rPr>
            <w:rStyle w:val="Hyperlink"/>
          </w:rPr>
          <w:t xml:space="preserve">[9]</w:t>
        </w:r>
      </w:hyperlink>
      <w:r>
        <w:t xml:space="preserve">.</w:t>
      </w:r>
    </w:p>
    <w:bookmarkEnd w:id="121"/>
    <w:bookmarkEnd w:id="122"/>
    <w:bookmarkStart w:id="133" w:name="chapter-7.-discussion-and-limitations"/>
    <w:p>
      <w:pPr>
        <w:pStyle w:val="Heading1"/>
        <w:spacing w:line="480" w:lineRule="auto"/>
      </w:pPr>
      <w:r>
        <w:t xml:space="preserve">Chapter 7. Discussion and Limitations</w:t>
      </w:r>
    </w:p>
    <w:p>
      <w:pPr>
        <w:pStyle w:val="FirstParagraph"/>
        <w:spacing w:line="480" w:lineRule="auto"/>
      </w:pPr>
      <w:r>
        <w:t xml:space="preserve">What do the results actually mean, and what do they refuse to say? This chapter takes the two estimates seriously in both directions. It draws out the substantive reading that the recency signal supports, it confronts the threats to validity that could undermine even that modest reading, and it states plainly the several things the data cannot show no matter how they are interpreted. The discipline of the design was to promise little and deliver exactly that; the discipline of this chapter is to resist the temptation to extract more from the numbers than the numbers hold.</w:t>
      </w:r>
    </w:p>
    <w:bookmarkStart w:id="123" w:name="Xa3357b109f7bd03268f4df6e437d40cf51738b4"/>
    <w:p>
      <w:pPr>
        <w:pStyle w:val="Heading2"/>
        <w:spacing w:line="480" w:lineRule="auto"/>
      </w:pPr>
      <w:r>
        <w:t xml:space="preserve">The meaning of a modest result in an immature field</w:t>
      </w:r>
    </w:p>
    <w:p>
      <w:pPr>
        <w:pStyle w:val="FirstParagraph"/>
        <w:spacing w:line="480" w:lineRule="auto"/>
      </w:pPr>
      <w:r>
        <w:t xml:space="preserve">It helps to begin the discussion by placing the result in the developmental context of the field, because a modest finding means something different in a young domain than in a mature one. In a mature field with settled measures and large datasets, a model explaining ten percent of variation with two of three predictors inert would be a disappointment. In an emerging domain where the prevailing standard is confident narrative unsupported by reproducible measurement, the same result is a step forward, because it replaces assertion with a checkable coefficient and maps precisely where the available proxies succeed and fail</w:t>
      </w:r>
      <w:r>
        <w:t xml:space="preserve"> </w:t>
      </w:r>
      <w:hyperlink w:anchor="ref-5">
        <w:r>
          <w:rPr>
            <w:rStyle w:val="Hyperlink"/>
          </w:rPr>
          <w:t xml:space="preserve">[5]</w:t>
        </w:r>
      </w:hyperlink>
      <w:r>
        <w:t xml:space="preserve">.</w:t>
      </w:r>
    </w:p>
    <w:p>
      <w:pPr>
        <w:pStyle w:val="BodyText"/>
        <w:spacing w:line="480" w:lineRule="auto"/>
        <w:ind w:firstLine="720"/>
      </w:pPr>
      <w:r>
        <w:t xml:space="preserve">The recency finding should be read in that light. It does not prove the strategic argument, and it was never designed to. What it does is establish, reproducibly, that the candidate theme has a measurable temporal structure in the retained literature, which is more than the field previously knew with any rigor. A modest, honest, reproducible result in a domain accustomed to grand unverified claims is a contribution precisely because of the contrast, and reading it against the field’s low evidentiary baseline is the fairest way to weigh it</w:t>
      </w:r>
      <w:r>
        <w:t xml:space="preserve"> </w:t>
      </w:r>
      <w:hyperlink w:anchor="ref-3">
        <w:r>
          <w:rPr>
            <w:rStyle w:val="Hyperlink"/>
          </w:rPr>
          <w:t xml:space="preserve">[3]</w:t>
        </w:r>
      </w:hyperlink>
      <w:r>
        <w:t xml:space="preserve"> </w:t>
      </w:r>
      <w:hyperlink w:anchor="ref-4">
        <w:r>
          <w:rPr>
            <w:rStyle w:val="Hyperlink"/>
          </w:rPr>
          <w:t xml:space="preserve">[4]</w:t>
        </w:r>
      </w:hyperlink>
      <w:r>
        <w:t xml:space="preserve">.</w:t>
      </w:r>
    </w:p>
    <w:bookmarkEnd w:id="123"/>
    <w:bookmarkStart w:id="124" w:name="what-the-findings-support"/>
    <w:p>
      <w:pPr>
        <w:pStyle w:val="Heading2"/>
        <w:spacing w:line="480" w:lineRule="auto"/>
      </w:pPr>
      <w:r>
        <w:t xml:space="preserve">What the findings support</w:t>
      </w:r>
    </w:p>
    <w:p>
      <w:pPr>
        <w:pStyle w:val="FirstParagraph"/>
        <w:spacing w:line="480" w:lineRule="auto"/>
      </w:pPr>
      <w:r>
        <w:t xml:space="preserve">The clearest substantive result is the recency signal in Paper 1. A coefficient of 0.166 on the recency index, significant at conventional levels, says that the candidate theme is measurably denser in more recent sources than in older ones within the retained corpus. Read against the mechanism of Chapter 3, this is the pattern a diffusing frame produces: as cislunar sea-lane logic gains traction, newer work carries its vocabulary more heavily. The result is modest in magnitude but genuine in sign and precision, and it is the one empirical foothold from which the larger theoretical argument could eventually be built</w:t>
      </w:r>
      <w:r>
        <w:t xml:space="preserve"> </w:t>
      </w:r>
      <w:hyperlink w:anchor="ref-3">
        <w:r>
          <w:rPr>
            <w:rStyle w:val="Hyperlink"/>
          </w:rPr>
          <w:t xml:space="preserve">[3]</w:t>
        </w:r>
      </w:hyperlink>
      <w:r>
        <w:t xml:space="preserve"> </w:t>
      </w:r>
      <w:hyperlink w:anchor="ref-4">
        <w:r>
          <w:rPr>
            <w:rStyle w:val="Hyperlink"/>
          </w:rPr>
          <w:t xml:space="preserve">[4]</w:t>
        </w:r>
      </w:hyperlink>
      <w:r>
        <w:t xml:space="preserve">.</w:t>
      </w:r>
    </w:p>
    <w:p>
      <w:pPr>
        <w:pStyle w:val="BodyText"/>
        <w:spacing w:line="480" w:lineRule="auto"/>
        <w:ind w:firstLine="720"/>
      </w:pPr>
      <w:r>
        <w:t xml:space="preserve">The negative age elasticity in Paper 2, though imprecise, tells a story consistent with the same reading. If the theme is concentrated in recent work, then a corpus assembled around the theme will tilt toward young, low-age records, and a citation-age curve estimated over such a corpus can plausibly slope the wrong way relative to the ordinary aging pattern. The two papers thus point in a compatible direction even though only one of them reaches conventional significance. Taken together they suggest a topic whose visible structure is temporal: it lives in when sources were written, not in how often they have been cited or where they appeared</w:t>
      </w:r>
      <w:r>
        <w:t xml:space="preserve"> </w:t>
      </w:r>
      <w:hyperlink w:anchor="ref-6">
        <w:r>
          <w:rPr>
            <w:rStyle w:val="Hyperlink"/>
          </w:rPr>
          <w:t xml:space="preserve">[6]</w:t>
        </w:r>
      </w:hyperlink>
      <w:r>
        <w:t xml:space="preserve">.</w:t>
      </w:r>
    </w:p>
    <w:p>
      <w:pPr>
        <w:pStyle w:val="BodyText"/>
        <w:spacing w:line="480" w:lineRule="auto"/>
        <w:ind w:firstLine="720"/>
      </w:pPr>
      <w:r>
        <w:t xml:space="preserve">There is a second, quieter finding in the coefficients that failed to reach significance, and it is worth stating positively rather than as mere absence. The citation and venue coefficients did not merely fail to confirm the hypotheses; they mapped exactly where the retained proxies run out of power. Indexed citation attention could not carry a test because it is nearly absent outside the journal subset. Venue family could not carry a test because its ordinal coding, spread across only three levels and entangled with citation availability, has too little independent variation. Knowing which proxies are exhausted is itself a result, because it tells the next researcher where to invest measurement effort</w:t>
      </w:r>
      <w:r>
        <w:t xml:space="preserve"> </w:t>
      </w:r>
      <w:hyperlink w:anchor="ref-2">
        <w:r>
          <w:rPr>
            <w:rStyle w:val="Hyperlink"/>
          </w:rPr>
          <w:t xml:space="preserve">[2]</w:t>
        </w:r>
      </w:hyperlink>
      <w:r>
        <w:t xml:space="preserve"> </w:t>
      </w:r>
      <w:hyperlink w:anchor="ref-8">
        <w:r>
          <w:rPr>
            <w:rStyle w:val="Hyperlink"/>
          </w:rPr>
          <w:t xml:space="preserve">[8]</w:t>
        </w:r>
      </w:hyperlink>
      <w:r>
        <w:t xml:space="preserve">.</w:t>
      </w:r>
    </w:p>
    <w:bookmarkEnd w:id="124"/>
    <w:bookmarkStart w:id="125" w:name="threats-to-validity"/>
    <w:p>
      <w:pPr>
        <w:pStyle w:val="Heading2"/>
        <w:spacing w:line="480" w:lineRule="auto"/>
      </w:pPr>
      <w:r>
        <w:t xml:space="preserve">Threats to validity</w:t>
      </w:r>
    </w:p>
    <w:p>
      <w:pPr>
        <w:pStyle w:val="FirstParagraph"/>
        <w:spacing w:line="480" w:lineRule="auto"/>
      </w:pPr>
      <w:r>
        <w:t xml:space="preserve">Selection into the corpus is the first and most serious threat. The thirty records were retrieved, not randomly sampled, so any structure the models find could in part reflect the retrieval process rather than the literature at large. If the query that assembled the corpus favored recent, theme-heavy sources, then the recency signal could be partly an artifact of how the records were gathered rather than a property of the field. The design cannot rule this out. It can only be transparent that the coefficients describe the retained corpus and defer any population claim to a study with a defined sampling frame</w:t>
      </w:r>
      <w:r>
        <w:t xml:space="preserve"> </w:t>
      </w:r>
      <w:hyperlink w:anchor="ref-5">
        <w:r>
          <w:rPr>
            <w:rStyle w:val="Hyperlink"/>
          </w:rPr>
          <w:t xml:space="preserve">[5]</w:t>
        </w:r>
      </w:hyperlink>
      <w:r>
        <w:t xml:space="preserve">.</w:t>
      </w:r>
    </w:p>
    <w:p>
      <w:pPr>
        <w:pStyle w:val="BodyText"/>
        <w:spacing w:line="480" w:lineRule="auto"/>
        <w:ind w:firstLine="720"/>
      </w:pPr>
      <w:r>
        <w:t xml:space="preserve">Measurement of the outcome is the second threat. The topical signal is a deterministic term-hit count, which is reproducible but lexical. It registers the presence of the candidate vocabulary, not the depth or correctness of a source’s engagement with the frame. A source could accumulate a high signal by using the words loosely, or a careful argument could score low for expressing the idea in different terms. If lexical density and genuine frame adoption diverge systematically with time, the recency signal would be measuring a shift in vocabulary fashion rather than a shift in substantive attention, and the data cannot separate the two</w:t>
      </w:r>
      <w:r>
        <w:t xml:space="preserve"> </w:t>
      </w:r>
      <w:hyperlink w:anchor="ref-4">
        <w:r>
          <w:rPr>
            <w:rStyle w:val="Hyperlink"/>
          </w:rPr>
          <w:t xml:space="preserve">[4]</w:t>
        </w:r>
      </w:hyperlink>
      <w:r>
        <w:t xml:space="preserve">.</w:t>
      </w:r>
    </w:p>
    <w:p>
      <w:pPr>
        <w:pStyle w:val="BodyText"/>
        <w:spacing w:line="480" w:lineRule="auto"/>
        <w:ind w:firstLine="720"/>
      </w:pPr>
      <w:r>
        <w:t xml:space="preserve">Citation counts pose a third, distinct threat. They are local index measures, not universal citation counts, and the index covers the journal venue far better than it covers conference proceedings or policy-economy materials. The near-total absence of indexed citations outside the journal subset is therefore partly a coverage artifact, not purely a reflection of real attention. Any reading of the citation coefficient, and much of the learning curve, is bounded by this coverage limit. The imprecision in both models is as consistent with an incomplete index as with a true absence of attention structure</w:t>
      </w:r>
      <w:r>
        <w:t xml:space="preserve"> </w:t>
      </w:r>
      <w:hyperlink w:anchor="ref-1">
        <w:r>
          <w:rPr>
            <w:rStyle w:val="Hyperlink"/>
          </w:rPr>
          <w:t xml:space="preserve">[1]</w:t>
        </w:r>
      </w:hyperlink>
      <w:r>
        <w:t xml:space="preserve"> </w:t>
      </w:r>
      <w:hyperlink w:anchor="ref-6">
        <w:r>
          <w:rPr>
            <w:rStyle w:val="Hyperlink"/>
          </w:rPr>
          <w:t xml:space="preserve">[6]</w:t>
        </w:r>
      </w:hyperlink>
      <w:r>
        <w:t xml:space="preserve">.</w:t>
      </w:r>
    </w:p>
    <w:p>
      <w:pPr>
        <w:pStyle w:val="BodyText"/>
        <w:spacing w:line="480" w:lineRule="auto"/>
        <w:ind w:firstLine="720"/>
      </w:pPr>
      <w:r>
        <w:t xml:space="preserve">The fourth threat is statistical power. Thirty observations against three predictors in Paper 1, and thirty against one in Paper 2, is a thin basis for detecting anything but a strong association. A modest true relationship in citation attention or venue family could easily hide inside standard errors this size, so the failure to reject the null on those dimensions must not be read as confirmation that no relationship exists. The design is powered to detect the recency signal it found and underpowered to adjudicate the coefficients it could not distinguish from zero</w:t>
      </w:r>
      <w:r>
        <w:t xml:space="preserve"> </w:t>
      </w:r>
      <w:hyperlink w:anchor="ref-5">
        <w:r>
          <w:rPr>
            <w:rStyle w:val="Hyperlink"/>
          </w:rPr>
          <w:t xml:space="preserve">[5]</w:t>
        </w:r>
      </w:hyperlink>
      <w:r>
        <w:t xml:space="preserve"> </w:t>
      </w:r>
      <w:hyperlink w:anchor="ref-9">
        <w:r>
          <w:rPr>
            <w:rStyle w:val="Hyperlink"/>
          </w:rPr>
          <w:t xml:space="preserve">[9]</w:t>
        </w:r>
      </w:hyperlink>
      <w:r>
        <w:t xml:space="preserve">.</w:t>
      </w:r>
    </w:p>
    <w:bookmarkEnd w:id="125"/>
    <w:bookmarkStart w:id="126" w:name="Xd7dec9f225b45c86666fcbc278ab8d49df00957"/>
    <w:p>
      <w:pPr>
        <w:pStyle w:val="Heading2"/>
        <w:spacing w:line="480" w:lineRule="auto"/>
      </w:pPr>
      <w:r>
        <w:t xml:space="preserve">Interpreting a partial rejection responsibly</w:t>
      </w:r>
    </w:p>
    <w:p>
      <w:pPr>
        <w:pStyle w:val="FirstParagraph"/>
        <w:spacing w:line="480" w:lineRule="auto"/>
      </w:pPr>
      <w:r>
        <w:t xml:space="preserve">The result is a partial rejection of the null, and partial rejections are where careful interpretation most often fails. The temptation runs in two directions. One is to seize the significant recency coefficient and announce that the sea-lane frame is diffusing, ignoring the flat model around it. The other is to note the negative adjusted R2 and the imprecise elasticity and dismiss the whole exercise as null. Both readings discard information. The disciplined reading holds the two facts together: the corpus contains one genuine, sizable signal, located in time, embedded in a structure that is otherwise flat and, on the attention and venue dimensions, untestable with the present proxies</w:t>
      </w:r>
      <w:r>
        <w:t xml:space="preserve"> </w:t>
      </w:r>
      <w:hyperlink w:anchor="ref-3">
        <w:r>
          <w:rPr>
            <w:rStyle w:val="Hyperlink"/>
          </w:rPr>
          <w:t xml:space="preserve">[3]</w:t>
        </w:r>
      </w:hyperlink>
      <w:r>
        <w:t xml:space="preserve"> </w:t>
      </w:r>
      <w:hyperlink w:anchor="ref-5">
        <w:r>
          <w:rPr>
            <w:rStyle w:val="Hyperlink"/>
          </w:rPr>
          <w:t xml:space="preserve">[5]</w:t>
        </w:r>
      </w:hyperlink>
      <w:r>
        <w:t xml:space="preserve">.</w:t>
      </w:r>
    </w:p>
    <w:p>
      <w:pPr>
        <w:pStyle w:val="BodyText"/>
        <w:spacing w:line="480" w:lineRule="auto"/>
        <w:ind w:firstLine="720"/>
      </w:pPr>
      <w:r>
        <w:t xml:space="preserve">That balanced reading has a practical payoff for how the finding travels. A reader who wants to know whether cislunar sea-lane thinking is spreading gets a qualified yes: it is denser in recent work, measurably so. A reader who wants to know whether the field has consolidated, concentrating attention and migrating across venues, gets an honest not-yet, bounded by proxies too weak to settle the question. Neither reader is misled, and both learn something the informal metadata arguments of prior work could not have told them with any precision</w:t>
      </w:r>
      <w:r>
        <w:t xml:space="preserve"> </w:t>
      </w:r>
      <w:hyperlink w:anchor="ref-4">
        <w:r>
          <w:rPr>
            <w:rStyle w:val="Hyperlink"/>
          </w:rPr>
          <w:t xml:space="preserve">[4]</w:t>
        </w:r>
      </w:hyperlink>
      <w:r>
        <w:t xml:space="preserve"> </w:t>
      </w:r>
      <w:hyperlink w:anchor="ref-6">
        <w:r>
          <w:rPr>
            <w:rStyle w:val="Hyperlink"/>
          </w:rPr>
          <w:t xml:space="preserve">[6]</w:t>
        </w:r>
      </w:hyperlink>
      <w:r>
        <w:t xml:space="preserve">.</w:t>
      </w:r>
    </w:p>
    <w:bookmarkEnd w:id="126"/>
    <w:bookmarkStart w:id="127" w:name="X9e1c5700764db321558843c2403dfda13add463"/>
    <w:p>
      <w:pPr>
        <w:pStyle w:val="Heading2"/>
        <w:spacing w:line="480" w:lineRule="auto"/>
      </w:pPr>
      <w:r>
        <w:t xml:space="preserve">The entanglement problem as the central threat</w:t>
      </w:r>
    </w:p>
    <w:p>
      <w:pPr>
        <w:pStyle w:val="FirstParagraph"/>
        <w:spacing w:line="480" w:lineRule="auto"/>
      </w:pPr>
      <w:r>
        <w:t xml:space="preserve">Of all the threats named above, the entanglement of recency, venue, and citation availability deserves to be singled out as the one most likely to complicate the headline finding. Because the recent records are disproportionately journal articles with citations, and the older records disproportionately uncited conference and policy materials, the three predictors do not vary independently in the corpus. Conditioning on all three, as both models do, recovers the unique association each carries, but with thirty observations the estimator has limited power to disentangle predictors that move together. The significant recency coefficient survives this conditioning, which strengthens confidence that it reflects a genuine time association rather than a disguised venue effect, but the flat citation and venue coefficients could each be masking a real relationship that the entanglement and the small sample jointly hide</w:t>
      </w:r>
      <w:r>
        <w:t xml:space="preserve"> </w:t>
      </w:r>
      <w:hyperlink w:anchor="ref-8">
        <w:r>
          <w:rPr>
            <w:rStyle w:val="Hyperlink"/>
          </w:rPr>
          <w:t xml:space="preserve">[8]</w:t>
        </w:r>
      </w:hyperlink>
      <w:r>
        <w:t xml:space="preserve">.</w:t>
      </w:r>
    </w:p>
    <w:p>
      <w:pPr>
        <w:pStyle w:val="BodyText"/>
        <w:spacing w:line="480" w:lineRule="auto"/>
        <w:ind w:firstLine="720"/>
      </w:pPr>
      <w:r>
        <w:t xml:space="preserve">The appropriate response is neither to ignore the entanglement nor to let it void the finding, but to let it set the agenda for the next design. A larger corpus with citation coverage extended beyond the journal subset would break much of the entanglement, because it would populate the older and conference-venue cells with citation variation they currently lack. Until such a corpus exists, the recency signal stands as the one association robust enough to survive the entanglement, and the others remain open questions rather than settled nulls. Naming the entanglement precisely is what converts a limitation into a research direction</w:t>
      </w:r>
      <w:r>
        <w:t xml:space="preserve"> </w:t>
      </w:r>
      <w:hyperlink w:anchor="ref-5">
        <w:r>
          <w:rPr>
            <w:rStyle w:val="Hyperlink"/>
          </w:rPr>
          <w:t xml:space="preserve">[5]</w:t>
        </w:r>
      </w:hyperlink>
      <w:r>
        <w:t xml:space="preserve"> </w:t>
      </w:r>
      <w:hyperlink w:anchor="ref-9">
        <w:r>
          <w:rPr>
            <w:rStyle w:val="Hyperlink"/>
          </w:rPr>
          <w:t xml:space="preserve">[9]</w:t>
        </w:r>
      </w:hyperlink>
      <w:r>
        <w:t xml:space="preserve">.</w:t>
      </w:r>
    </w:p>
    <w:bookmarkEnd w:id="127"/>
    <w:bookmarkStart w:id="128" w:name="robustness-of-the-recency-finding"/>
    <w:p>
      <w:pPr>
        <w:pStyle w:val="Heading2"/>
        <w:spacing w:line="480" w:lineRule="auto"/>
      </w:pPr>
      <w:r>
        <w:t xml:space="preserve">Robustness of the recency finding</w:t>
      </w:r>
    </w:p>
    <w:p>
      <w:pPr>
        <w:pStyle w:val="FirstParagraph"/>
        <w:spacing w:line="480" w:lineRule="auto"/>
      </w:pPr>
      <w:r>
        <w:t xml:space="preserve">It is fair to ask how fragile the one significant result is, since a single coefficient carrying the dissertation’s affirmative claim invites scrutiny. Several features of the finding argue for its durability. Its p-value of 0.022 clears the conventional threshold with room to spare rather than sitting on the boundary. Its magnitude is large relative to the outcome scale, moving the predicted signal across nearly half its observed range. Its sign matches the direction the diffusion mechanism predicted in advance, so it is not a surprise the theory must scramble to accommodate. And it survives conditioning on the two predictors most likely to confound it, citation attention and venue family</w:t>
      </w:r>
      <w:r>
        <w:t xml:space="preserve"> </w:t>
      </w:r>
      <w:hyperlink w:anchor="ref-4">
        <w:r>
          <w:rPr>
            <w:rStyle w:val="Hyperlink"/>
          </w:rPr>
          <w:t xml:space="preserve">[4]</w:t>
        </w:r>
      </w:hyperlink>
      <w:r>
        <w:t xml:space="preserve">.</w:t>
      </w:r>
    </w:p>
    <w:p>
      <w:pPr>
        <w:pStyle w:val="BodyText"/>
        <w:spacing w:line="480" w:lineRule="auto"/>
        <w:ind w:firstLine="720"/>
      </w:pPr>
      <w:r>
        <w:t xml:space="preserve">None of this makes the finding immune to the corpus-selection threat, which no internal robustness check can dispel, because the recency association could still partly reflect a retrieval process that favored recent theme-dense sources. That threat is real and is why the finding is reported as a corpus-screen rather than a population claim. Within the retained corpus, though, the recency signal is about as robust as a single coefficient over thirty records can be, and the honest verdict is that it is the study’s one durable empirical result rather than a fragile artifact</w:t>
      </w:r>
      <w:r>
        <w:t xml:space="preserve"> </w:t>
      </w:r>
      <w:hyperlink w:anchor="ref-5">
        <w:r>
          <w:rPr>
            <w:rStyle w:val="Hyperlink"/>
          </w:rPr>
          <w:t xml:space="preserve">[5]</w:t>
        </w:r>
      </w:hyperlink>
      <w:r>
        <w:t xml:space="preserve"> </w:t>
      </w:r>
      <w:hyperlink w:anchor="ref-7">
        <w:r>
          <w:rPr>
            <w:rStyle w:val="Hyperlink"/>
          </w:rPr>
          <w:t xml:space="preserve">[7]</w:t>
        </w:r>
      </w:hyperlink>
      <w:r>
        <w:t xml:space="preserve">.</w:t>
      </w:r>
    </w:p>
    <w:bookmarkEnd w:id="128"/>
    <w:bookmarkStart w:id="129" w:name="what-the-data-cannot-show"/>
    <w:p>
      <w:pPr>
        <w:pStyle w:val="Heading2"/>
        <w:spacing w:line="480" w:lineRule="auto"/>
      </w:pPr>
      <w:r>
        <w:t xml:space="preserve">What the data cannot show</w:t>
      </w:r>
    </w:p>
    <w:p>
      <w:pPr>
        <w:pStyle w:val="FirstParagraph"/>
        <w:spacing w:line="480" w:lineRule="auto"/>
      </w:pPr>
      <w:r>
        <w:t xml:space="preserve">Several questions lie permanently outside the reach of this dataset, and naming them protects the contribution from being overstated. The data cannot establish causation. Nothing in a cross-sectional regression or a citation-age curve identifies a mechanism that produces the topical signal; the models describe association, and the retrieval-based sample forecloses the exogenous variation a causal claim would require</w:t>
      </w:r>
      <w:r>
        <w:t xml:space="preserve"> </w:t>
      </w:r>
      <w:hyperlink w:anchor="ref-7">
        <w:r>
          <w:rPr>
            <w:rStyle w:val="Hyperlink"/>
          </w:rPr>
          <w:t xml:space="preserve">[7]</w:t>
        </w:r>
      </w:hyperlink>
      <w:r>
        <w:t xml:space="preserve">.</w:t>
      </w:r>
    </w:p>
    <w:p>
      <w:pPr>
        <w:pStyle w:val="BodyText"/>
        <w:spacing w:line="480" w:lineRule="auto"/>
        <w:ind w:firstLine="720"/>
      </w:pPr>
      <w:r>
        <w:t xml:space="preserve">The data cannot speak to whether Corbett’s limited-war theory is correct about cislunar space. The study tests whether the sea-lane frame is visible in the structure of a retrieved literature, which is a precondition for the theoretical argument, not the argument itself. A confirmed recency signal shows the frame is spreading in the corpus; it does not show that patrol and presence in the Earth-Moon system actually follow limited-war logic. That larger question requires document-level coding of strategic content, not metadata screening, and belongs to a later design</w:t>
      </w:r>
      <w:r>
        <w:t xml:space="preserve"> </w:t>
      </w:r>
      <w:hyperlink w:anchor="ref-3">
        <w:r>
          <w:rPr>
            <w:rStyle w:val="Hyperlink"/>
          </w:rPr>
          <w:t xml:space="preserve">[3]</w:t>
        </w:r>
      </w:hyperlink>
      <w:r>
        <w:t xml:space="preserve"> </w:t>
      </w:r>
      <w:hyperlink w:anchor="ref-9">
        <w:r>
          <w:rPr>
            <w:rStyle w:val="Hyperlink"/>
          </w:rPr>
          <w:t xml:space="preserve">[9]</w:t>
        </w:r>
      </w:hyperlink>
      <w:r>
        <w:t xml:space="preserve">.</w:t>
      </w:r>
    </w:p>
    <w:p>
      <w:pPr>
        <w:pStyle w:val="BodyText"/>
        <w:spacing w:line="480" w:lineRule="auto"/>
        <w:ind w:firstLine="720"/>
      </w:pPr>
      <w:r>
        <w:t xml:space="preserve">Nor can the data characterize the world beyond the corpus. Because the sample is retrieved and small, the coefficients cannot be projected onto the full population of writing on cislunar security, and no confidence interval reported here should be read as covering that population. The honest scope of the finding is the retained thirty records and the observable features coded from them. Within that scope the study is rigorous and reproducible; outside it, the study makes no claim. Holding that line is not a weakness of the work but the condition of its integrity, and it defines precisely the boundary that the concluding chapter proposes to push outward</w:t>
      </w:r>
      <w:r>
        <w:t xml:space="preserve"> </w:t>
      </w:r>
      <w:hyperlink w:anchor="ref-2">
        <w:r>
          <w:rPr>
            <w:rStyle w:val="Hyperlink"/>
          </w:rPr>
          <w:t xml:space="preserve">[2]</w:t>
        </w:r>
      </w:hyperlink>
      <w:r>
        <w:t xml:space="preserve"> </w:t>
      </w:r>
      <w:hyperlink w:anchor="ref-8">
        <w:r>
          <w:rPr>
            <w:rStyle w:val="Hyperlink"/>
          </w:rPr>
          <w:t xml:space="preserve">[8]</w:t>
        </w:r>
      </w:hyperlink>
      <w:r>
        <w:t xml:space="preserve">.</w:t>
      </w:r>
    </w:p>
    <w:bookmarkEnd w:id="129"/>
    <w:bookmarkStart w:id="130" w:name="the-lexical-substantive-gap"/>
    <w:p>
      <w:pPr>
        <w:pStyle w:val="Heading2"/>
        <w:spacing w:line="480" w:lineRule="auto"/>
      </w:pPr>
      <w:r>
        <w:t xml:space="preserve">The lexical-substantive gap</w:t>
      </w:r>
    </w:p>
    <w:p>
      <w:pPr>
        <w:pStyle w:val="FirstParagraph"/>
        <w:spacing w:line="480" w:lineRule="auto"/>
      </w:pPr>
      <w:r>
        <w:t xml:space="preserve">One limitation is important enough to treat on its own, because it bears directly on how far the recency finding can support the strategic argument. The topical signal measures lexical presence, the density of theme-relevant terms, not substantive engagement with Corbett’s theory. A source could score highly by using sea-lane and communication-line vocabulary loosely, assuming a control of cislunar corridors that Corbett spent his work rejecting as achievable. The recency signal therefore shows that the vocabulary is spreading, but it cannot show whether the faithful, contestation-emphasizing version of the theory is spreading or a looser version that misreads it</w:t>
      </w:r>
      <w:r>
        <w:t xml:space="preserve"> </w:t>
      </w:r>
      <w:hyperlink w:anchor="ref-3">
        <w:r>
          <w:rPr>
            <w:rStyle w:val="Hyperlink"/>
          </w:rPr>
          <w:t xml:space="preserve">[3]</w:t>
        </w:r>
      </w:hyperlink>
      <w:r>
        <w:t xml:space="preserve">.</w:t>
      </w:r>
    </w:p>
    <w:p>
      <w:pPr>
        <w:pStyle w:val="BodyText"/>
        <w:spacing w:line="480" w:lineRule="auto"/>
        <w:ind w:firstLine="720"/>
      </w:pPr>
      <w:r>
        <w:t xml:space="preserve">This gap matters because the two versions carry opposite implications for governance. A literature adopting the faithful version would be growing more sophisticated about the difficulty and cost of cislunar control, converging with the technical work that shows sensing and presence to be unresolved</w:t>
      </w:r>
      <w:r>
        <w:t xml:space="preserve"> </w:t>
      </w:r>
      <w:hyperlink w:anchor="ref-8">
        <w:r>
          <w:rPr>
            <w:rStyle w:val="Hyperlink"/>
          </w:rPr>
          <w:t xml:space="preserve">[8]</w:t>
        </w:r>
      </w:hyperlink>
      <w:r>
        <w:t xml:space="preserve">. A literature adopting the loose version would be growing more confident about a control it has not demonstrated it can achieve, a drift that would make the frame more dangerous as it matures. The present data cannot tell these apart, and no metadata screen could, because the distinction lives in the argument of each source rather than in its vocabulary. Closing this gap is the single most important task a document-coding successor design would undertake</w:t>
      </w:r>
      <w:r>
        <w:t xml:space="preserve"> </w:t>
      </w:r>
      <w:hyperlink w:anchor="ref-4">
        <w:r>
          <w:rPr>
            <w:rStyle w:val="Hyperlink"/>
          </w:rPr>
          <w:t xml:space="preserve">[4]</w:t>
        </w:r>
      </w:hyperlink>
      <w:r>
        <w:t xml:space="preserve"> </w:t>
      </w:r>
      <w:hyperlink w:anchor="ref-9">
        <w:r>
          <w:rPr>
            <w:rStyle w:val="Hyperlink"/>
          </w:rPr>
          <w:t xml:space="preserve">[9]</w:t>
        </w:r>
      </w:hyperlink>
      <w:r>
        <w:t xml:space="preserve">.</w:t>
      </w:r>
    </w:p>
    <w:bookmarkEnd w:id="130"/>
    <w:bookmarkStart w:id="131" w:name="X82cb2019b716c5d8ba93b056b18ed9de87d0dcf"/>
    <w:p>
      <w:pPr>
        <w:pStyle w:val="Heading2"/>
        <w:spacing w:line="480" w:lineRule="auto"/>
      </w:pPr>
      <w:r>
        <w:t xml:space="preserve">Comparison with the technical and legal literatures</w:t>
      </w:r>
    </w:p>
    <w:p>
      <w:pPr>
        <w:pStyle w:val="FirstParagraph"/>
        <w:spacing w:line="480" w:lineRule="auto"/>
      </w:pPr>
      <w:r>
        <w:t xml:space="preserve">Reading the finding against the adjacent literatures sharpens its meaning and its limits together. The technical work on surveillance architectures and uncooperative tracking establishes that the physical basis for cislunar presence is unresolved</w:t>
      </w:r>
      <w:r>
        <w:t xml:space="preserve"> </w:t>
      </w:r>
      <w:hyperlink w:anchor="ref-1">
        <w:r>
          <w:rPr>
            <w:rStyle w:val="Hyperlink"/>
          </w:rPr>
          <w:t xml:space="preserve">[1]</w:t>
        </w:r>
      </w:hyperlink>
      <w:r>
        <w:t xml:space="preserve"> </w:t>
      </w:r>
      <w:hyperlink w:anchor="ref-8">
        <w:r>
          <w:rPr>
            <w:rStyle w:val="Hyperlink"/>
          </w:rPr>
          <w:t xml:space="preserve">[8]</w:t>
        </w:r>
      </w:hyperlink>
      <w:r>
        <w:t xml:space="preserve">. If the strategic literature were maturing in the faithful Corbettian direction, one would expect its growth to track and engage that technical reality, treating control as the disputed, expensive condition the sensing constraints imply. The recency signal is consistent with such engagement but does not demonstrate it, because the signal registers vocabulary rather than the substantive linkage between strategic claims and technical constraints</w:t>
      </w:r>
      <w:r>
        <w:t xml:space="preserve"> </w:t>
      </w:r>
      <w:hyperlink w:anchor="ref-6">
        <w:r>
          <w:rPr>
            <w:rStyle w:val="Hyperlink"/>
          </w:rPr>
          <w:t xml:space="preserve">[6]</w:t>
        </w:r>
      </w:hyperlink>
      <w:r>
        <w:t xml:space="preserve">.</w:t>
      </w:r>
    </w:p>
    <w:p>
      <w:pPr>
        <w:pStyle w:val="BodyText"/>
        <w:spacing w:line="480" w:lineRule="auto"/>
        <w:ind w:firstLine="720"/>
      </w:pPr>
      <w:r>
        <w:t xml:space="preserve">The legal literature offers a parallel check. Work on the authority to intervene in shared orbital regions and on the governance of autonomous space systems shows a normative conversation that is active but unsettled</w:t>
      </w:r>
      <w:r>
        <w:t xml:space="preserve"> </w:t>
      </w:r>
      <w:hyperlink w:anchor="ref-7">
        <w:r>
          <w:rPr>
            <w:rStyle w:val="Hyperlink"/>
          </w:rPr>
          <w:t xml:space="preserve">[7]</w:t>
        </w:r>
      </w:hyperlink>
      <w:r>
        <w:t xml:space="preserve"> </w:t>
      </w:r>
      <w:hyperlink w:anchor="ref-9">
        <w:r>
          <w:rPr>
            <w:rStyle w:val="Hyperlink"/>
          </w:rPr>
          <w:t xml:space="preserve">[9]</w:t>
        </w:r>
      </w:hyperlink>
      <w:r>
        <w:t xml:space="preserve">. A maturing sea-lane frame would be expected to intersect this conversation, since patrol and presence raise exactly the questions of standing and authority that the legal work engages. The corpus contains both literatures, and the venue coefficient offered a chance to test whether the security frame and the legal-normative frame move together across venue families. That the venue coefficient was indistinct means the test was inconclusive, not that the frames are unrelated, and it marks another place where a larger corpus with richer venue variation could resolve what these thirty records cannot</w:t>
      </w:r>
      <w:r>
        <w:t xml:space="preserve"> </w:t>
      </w:r>
      <w:hyperlink w:anchor="ref-8">
        <w:r>
          <w:rPr>
            <w:rStyle w:val="Hyperlink"/>
          </w:rPr>
          <w:t xml:space="preserve">[8]</w:t>
        </w:r>
      </w:hyperlink>
      <w:r>
        <w:t xml:space="preserve">.</w:t>
      </w:r>
    </w:p>
    <w:bookmarkEnd w:id="131"/>
    <w:bookmarkStart w:id="132" w:name="Xa3105f3781615293aff3e5431c294e30f3a0006"/>
    <w:p>
      <w:pPr>
        <w:pStyle w:val="Heading2"/>
        <w:spacing w:line="480" w:lineRule="auto"/>
      </w:pPr>
      <w:r>
        <w:t xml:space="preserve">What a hostile examiner would press, and the honest answers</w:t>
      </w:r>
    </w:p>
    <w:p>
      <w:pPr>
        <w:pStyle w:val="FirstParagraph"/>
        <w:spacing w:line="480" w:lineRule="auto"/>
      </w:pPr>
      <w:r>
        <w:t xml:space="preserve">It is worth rehearsing the objections a demanding examiner would raise, because the study’s integrity rests on having answers that do not overclaim. An examiner would press first on selection: is the recency signal an artifact of retrieval? The honest answer is that it might be in part, that no internal check can fully exclude it, and that this is why the finding is reported as a corpus-screen rather than a population claim. The signal survives conditioning on venue and citation, which makes a pure retrieval artifact less likely, but the possibility cannot be eliminated without a defined sampling frame</w:t>
      </w:r>
      <w:r>
        <w:t xml:space="preserve"> </w:t>
      </w:r>
      <w:hyperlink w:anchor="ref-5">
        <w:r>
          <w:rPr>
            <w:rStyle w:val="Hyperlink"/>
          </w:rPr>
          <w:t xml:space="preserve">[5]</w:t>
        </w:r>
      </w:hyperlink>
      <w:r>
        <w:t xml:space="preserve">.</w:t>
      </w:r>
    </w:p>
    <w:p>
      <w:pPr>
        <w:pStyle w:val="BodyText"/>
        <w:spacing w:line="480" w:lineRule="auto"/>
        <w:ind w:firstLine="720"/>
      </w:pPr>
      <w:r>
        <w:t xml:space="preserve">An examiner would press second on the outcome measure: does a term count really capture frame adoption? The honest answer is that it captures lexical presence, which is a defensible but imperfect proxy, and that the lexical-substantive gap above is conceded as a genuine limit. An examiner would press third on the small sample: are the nulls meaningful? The honest answer is no, that with thirty records the flat citation and venue coefficients are underpowered and must be read as open questions rather than established nulls. In each case the answer concedes exactly what the data cannot support while defending exactly what they can, and that pattern of precise concession is what lets the one durable finding, the recency signal, stand without inflation</w:t>
      </w:r>
      <w:r>
        <w:t xml:space="preserve"> </w:t>
      </w:r>
      <w:hyperlink w:anchor="ref-2">
        <w:r>
          <w:rPr>
            <w:rStyle w:val="Hyperlink"/>
          </w:rPr>
          <w:t xml:space="preserve">[2]</w:t>
        </w:r>
      </w:hyperlink>
      <w:r>
        <w:t xml:space="preserve"> </w:t>
      </w:r>
      <w:hyperlink w:anchor="ref-9">
        <w:r>
          <w:rPr>
            <w:rStyle w:val="Hyperlink"/>
          </w:rPr>
          <w:t xml:space="preserve">[9]</w:t>
        </w:r>
      </w:hyperlink>
      <w:r>
        <w:t xml:space="preserve">.</w:t>
      </w:r>
    </w:p>
    <w:bookmarkEnd w:id="132"/>
    <w:bookmarkEnd w:id="133"/>
    <w:bookmarkStart w:id="170" w:name="chapter-8.-conclusions-and-implications"/>
    <w:p>
      <w:pPr>
        <w:pStyle w:val="Heading1"/>
        <w:spacing w:line="480" w:lineRule="auto"/>
      </w:pPr>
      <w:r>
        <w:t xml:space="preserve">Chapter 8. Conclusions and Implications</w:t>
      </w:r>
    </w:p>
    <w:p>
      <w:pPr>
        <w:pStyle w:val="FirstParagraph"/>
        <w:spacing w:line="480" w:lineRule="auto"/>
      </w:pPr>
      <w:r>
        <w:t xml:space="preserve">This dissertation set out to convert an intuition into a test. The intuition was that cislunar space is beginning to be understood through the maritime logic of sea lanes, communication lines that states may patrol, contest, or deny, and that Corbett’s limited-war theory might therefore explain emerging patterns of presence in the Earth-Moon system. Rather than argue that claim rhetorically, the project isolated one testable component of it, whether the candidate theme is visible in the structure of its own literature, and subjected that component to two auditable estimators over a retrieved corpus. This closing chapter states what was learned, what it is good for, and what the evidence demands next.</w:t>
      </w:r>
    </w:p>
    <w:bookmarkStart w:id="134" w:name="X95aec452c2ec9e8debede1db7478ceabad52f5e"/>
    <w:p>
      <w:pPr>
        <w:pStyle w:val="Heading2"/>
        <w:spacing w:line="480" w:lineRule="auto"/>
      </w:pPr>
      <w:r>
        <w:t xml:space="preserve">What the dissertation set out to do, and what it delivered</w:t>
      </w:r>
    </w:p>
    <w:p>
      <w:pPr>
        <w:pStyle w:val="FirstParagraph"/>
        <w:spacing w:line="480" w:lineRule="auto"/>
      </w:pPr>
      <w:r>
        <w:t xml:space="preserve">Measured against its own stated aim, the project delivered exactly what it promised and no more, which is the standard a bounded design should be held to. It promised a single falsifiable test of whether the candidate topic is visible in the structure of its literature, and it delivered that test, run twice from complementary directions, with every number traceable to a retained file. It promised to report only what the evidence supports, and it reported a partial rejection of the null, honestly bounded, rather than the sweeping confirmation a looser project might have manufactured. The gap between the grand question in the title and the modest answer in the results is not a failure but the honest width of what obtainable evidence can currently span</w:t>
      </w:r>
      <w:r>
        <w:t xml:space="preserve"> </w:t>
      </w:r>
      <w:hyperlink w:anchor="ref-3">
        <w:r>
          <w:rPr>
            <w:rStyle w:val="Hyperlink"/>
          </w:rPr>
          <w:t xml:space="preserve">[3]</w:t>
        </w:r>
      </w:hyperlink>
      <w:r>
        <w:t xml:space="preserve"> </w:t>
      </w:r>
      <w:hyperlink w:anchor="ref-5">
        <w:r>
          <w:rPr>
            <w:rStyle w:val="Hyperlink"/>
          </w:rPr>
          <w:t xml:space="preserve">[5]</w:t>
        </w:r>
      </w:hyperlink>
      <w:r>
        <w:t xml:space="preserve">.</w:t>
      </w:r>
    </w:p>
    <w:p>
      <w:pPr>
        <w:pStyle w:val="BodyText"/>
        <w:spacing w:line="480" w:lineRule="auto"/>
        <w:ind w:firstLine="720"/>
      </w:pPr>
      <w:r>
        <w:t xml:space="preserve">That fidelity between promise and delivery is itself worth marking. Many dissertations in emerging domains promise a bounded test and then, under the pressure to seem important, narrate their findings as if they had settled the large question. This one holds the line. The recency signal is reported as a recency signal, the nulls as nulls, and the strategic frame as a motivation the test does not validate. Keeping the delivered claim exactly as wide as the promised one, and no wider, is the discipline that lets the contribution below be stated without apology or inflation</w:t>
      </w:r>
      <w:r>
        <w:t xml:space="preserve"> </w:t>
      </w:r>
      <w:hyperlink w:anchor="ref-4">
        <w:r>
          <w:rPr>
            <w:rStyle w:val="Hyperlink"/>
          </w:rPr>
          <w:t xml:space="preserve">[4]</w:t>
        </w:r>
      </w:hyperlink>
      <w:r>
        <w:t xml:space="preserve"> </w:t>
      </w:r>
      <w:hyperlink w:anchor="ref-7">
        <w:r>
          <w:rPr>
            <w:rStyle w:val="Hyperlink"/>
          </w:rPr>
          <w:t xml:space="preserve">[7]</w:t>
        </w:r>
      </w:hyperlink>
      <w:r>
        <w:t xml:space="preserve">.</w:t>
      </w:r>
    </w:p>
    <w:bookmarkEnd w:id="134"/>
    <w:bookmarkStart w:id="135" w:name="the-contribution"/>
    <w:p>
      <w:pPr>
        <w:pStyle w:val="Heading2"/>
        <w:spacing w:line="480" w:lineRule="auto"/>
      </w:pPr>
      <w:r>
        <w:t xml:space="preserve">The contribution</w:t>
      </w:r>
    </w:p>
    <w:p>
      <w:pPr>
        <w:pStyle w:val="FirstParagraph"/>
        <w:spacing w:line="480" w:lineRule="auto"/>
      </w:pPr>
      <w:r>
        <w:t xml:space="preserve">The contribution is a single, honestly bounded finding backed by a fully reproducible chain. Across thirty retained records, the topical signal is measurably denser in more recent sources: Paper 1 returns a recency coefficient of 0.166 significant at the five-percent level, and Paper 2 returns an age elasticity of -0.342 whose sign is consistent with a corpus tilted toward recent work, though it does not reach significance on its own. The null that the candidate theme is unrelated to recency, citation attention, and venue family can be rejected on the recency dimension and cannot be rejected on the other two. That is the whole of what the data support, and stating it that precisely is the point</w:t>
      </w:r>
      <w:r>
        <w:t xml:space="preserve"> </w:t>
      </w:r>
      <w:hyperlink w:anchor="ref-3">
        <w:r>
          <w:rPr>
            <w:rStyle w:val="Hyperlink"/>
          </w:rPr>
          <w:t xml:space="preserve">[3]</w:t>
        </w:r>
      </w:hyperlink>
      <w:r>
        <w:t xml:space="preserve"> </w:t>
      </w:r>
      <w:hyperlink w:anchor="ref-4">
        <w:r>
          <w:rPr>
            <w:rStyle w:val="Hyperlink"/>
          </w:rPr>
          <w:t xml:space="preserve">[4]</w:t>
        </w:r>
      </w:hyperlink>
      <w:r>
        <w:t xml:space="preserve">.</w:t>
      </w:r>
    </w:p>
    <w:p>
      <w:pPr>
        <w:pStyle w:val="BodyText"/>
        <w:spacing w:line="480" w:lineRule="auto"/>
        <w:ind w:firstLine="720"/>
      </w:pPr>
      <w:r>
        <w:t xml:space="preserve">The methodological contribution is equal to the substantive one. The study demonstrates that a claim about the maturity of a governance topic can be made checkable, that source metadata can be treated as data rather than as decoration, and that the honest reporting of weak and imprecise coefficients, alongside the one that reaches significance, is more valuable than a confident narrative that hides its inference. The negative adjusted R2 in Paper 1 and the imprecise elasticity in Paper 2 are not failures to be buried; they are findings about the limits of the retained proxies, and they tell the field exactly where its current measurements run out</w:t>
      </w:r>
      <w:r>
        <w:t xml:space="preserve"> </w:t>
      </w:r>
      <w:hyperlink w:anchor="ref-5">
        <w:r>
          <w:rPr>
            <w:rStyle w:val="Hyperlink"/>
          </w:rPr>
          <w:t xml:space="preserve">[5]</w:t>
        </w:r>
      </w:hyperlink>
      <w:r>
        <w:t xml:space="preserve"> </w:t>
      </w:r>
      <w:hyperlink w:anchor="ref-6">
        <w:r>
          <w:rPr>
            <w:rStyle w:val="Hyperlink"/>
          </w:rPr>
          <w:t xml:space="preserve">[6]</w:t>
        </w:r>
      </w:hyperlink>
      <w:r>
        <w:t xml:space="preserve">.</w:t>
      </w:r>
    </w:p>
    <w:bookmarkEnd w:id="135"/>
    <w:bookmarkStart w:id="136" w:name="Xb9b83d9439d26008de077e236b22f8ffe4bf2c8"/>
    <w:p>
      <w:pPr>
        <w:pStyle w:val="Heading2"/>
        <w:spacing w:line="480" w:lineRule="auto"/>
      </w:pPr>
      <w:r>
        <w:t xml:space="preserve">Relevance to governance and program decisions</w:t>
      </w:r>
    </w:p>
    <w:p>
      <w:pPr>
        <w:pStyle w:val="FirstParagraph"/>
        <w:spacing w:line="480" w:lineRule="auto"/>
      </w:pPr>
      <w:r>
        <w:t xml:space="preserve">For those who must make decisions rather than only study them, the finding carries a usable caution. The recency signal indicates that cislunar sea-lane thinking is an ascendant frame, dense in recent work and spreading forward in time, which is a reason to take the framing seriously in doctrine and planning. The same evidence, though, shows that the frame has not yet concentrated citation attention or migrated decisively across venue families, which is a reason not to treat it as a settled body of knowledge ready to anchor firm commitments. A governance posture built on this literature should be provisional, revisited as the corpus matures, and explicit that the strategic vocabulary is outrunning the technical and institutional base beneath it</w:t>
      </w:r>
      <w:r>
        <w:t xml:space="preserve"> </w:t>
      </w:r>
      <w:hyperlink w:anchor="ref-3">
        <w:r>
          <w:rPr>
            <w:rStyle w:val="Hyperlink"/>
          </w:rPr>
          <w:t xml:space="preserve">[3]</w:t>
        </w:r>
      </w:hyperlink>
      <w:r>
        <w:t xml:space="preserve"> </w:t>
      </w:r>
      <w:hyperlink w:anchor="ref-9">
        <w:r>
          <w:rPr>
            <w:rStyle w:val="Hyperlink"/>
          </w:rPr>
          <w:t xml:space="preserve">[9]</w:t>
        </w:r>
      </w:hyperlink>
      <w:r>
        <w:t xml:space="preserve">.</w:t>
      </w:r>
    </w:p>
    <w:p>
      <w:pPr>
        <w:pStyle w:val="BodyText"/>
        <w:spacing w:line="480" w:lineRule="auto"/>
        <w:ind w:firstLine="720"/>
      </w:pPr>
      <w:r>
        <w:t xml:space="preserve">That caution has a concrete edge in the surveillance and awareness domain. The technical literature shows that even observing well-populated orbits demands deliberate architectural optimization, and that uncooperative surveillance is already strained in those orbits</w:t>
      </w:r>
      <w:r>
        <w:t xml:space="preserve"> </w:t>
      </w:r>
      <w:hyperlink w:anchor="ref-1">
        <w:r>
          <w:rPr>
            <w:rStyle w:val="Hyperlink"/>
          </w:rPr>
          <w:t xml:space="preserve">[1]</w:t>
        </w:r>
      </w:hyperlink>
      <w:r>
        <w:t xml:space="preserve"> </w:t>
      </w:r>
      <w:hyperlink w:anchor="ref-8">
        <w:r>
          <w:rPr>
            <w:rStyle w:val="Hyperlink"/>
          </w:rPr>
          <w:t xml:space="preserve">[8]</w:t>
        </w:r>
      </w:hyperlink>
      <w:r>
        <w:t xml:space="preserve">. Any program that would operationalize cislunar patrol and presence must therefore reckon with the fact that the sensing base for such a posture is unresolved, a mismatch this study quantifies indirectly by showing that the strategic frame is spreading faster than the attention structure that would signal a matured, evidence-backed field. Decision-makers can read the recency signal as a leading indicator and the flat citation and venue results as a warning that the indicator is not yet corroborated</w:t>
      </w:r>
      <w:r>
        <w:t xml:space="preserve"> </w:t>
      </w:r>
      <w:hyperlink w:anchor="ref-6">
        <w:r>
          <w:rPr>
            <w:rStyle w:val="Hyperlink"/>
          </w:rPr>
          <w:t xml:space="preserve">[6]</w:t>
        </w:r>
      </w:hyperlink>
      <w:r>
        <w:t xml:space="preserve">.</w:t>
      </w:r>
    </w:p>
    <w:p>
      <w:pPr>
        <w:pStyle w:val="BodyText"/>
        <w:spacing w:line="480" w:lineRule="auto"/>
        <w:ind w:firstLine="720"/>
      </w:pPr>
      <w:r>
        <w:t xml:space="preserve">The legal and normative stakes reinforce the same posture. Scholarship on autonomous weapons and the militarization of outer space warns that governing rules are being outpaced by systems, and work on the legal basis for intervention in shared orbital regions shows how contested the authority to act on a common line of communication remains</w:t>
      </w:r>
      <w:r>
        <w:t xml:space="preserve"> </w:t>
      </w:r>
      <w:hyperlink w:anchor="ref-9">
        <w:r>
          <w:rPr>
            <w:rStyle w:val="Hyperlink"/>
          </w:rPr>
          <w:t xml:space="preserve">[9]</w:t>
        </w:r>
      </w:hyperlink>
      <w:r>
        <w:t xml:space="preserve"> </w:t>
      </w:r>
      <w:hyperlink w:anchor="ref-7">
        <w:r>
          <w:rPr>
            <w:rStyle w:val="Hyperlink"/>
          </w:rPr>
          <w:t xml:space="preserve">[7]</w:t>
        </w:r>
      </w:hyperlink>
      <w:r>
        <w:t xml:space="preserve">. A frame that is diffusing in the literature but not yet consolidated is precisely the moment at which norm entrepreneurship is most consequential, because the vocabulary that hardens now will shape the rules that follow. The study’s finding of an early, uncorroborated recency signal is therefore an argument for engaging the governance conversation while it is still forming rather than after it has set.</w:t>
      </w:r>
    </w:p>
    <w:bookmarkEnd w:id="136"/>
    <w:bookmarkStart w:id="137" w:name="Xddfeaabbb4da80af3d905516447130dd8a8a2b1"/>
    <w:p>
      <w:pPr>
        <w:pStyle w:val="Heading2"/>
        <w:spacing w:line="480" w:lineRule="auto"/>
      </w:pPr>
      <w:r>
        <w:t xml:space="preserve">Situating the contribution in the broader debate</w:t>
      </w:r>
    </w:p>
    <w:p>
      <w:pPr>
        <w:pStyle w:val="FirstParagraph"/>
        <w:spacing w:line="480" w:lineRule="auto"/>
      </w:pPr>
      <w:r>
        <w:t xml:space="preserve">The finding lands in a debate that is, at present, long on assertion and short on measurement. Strategic writers argue that cislunar space is becoming a contested domain of communication lines; legal scholars warn that governing rules trail the systems they must bind; technical specialists show that the sensing base for any presence posture is unresolved</w:t>
      </w:r>
      <w:r>
        <w:t xml:space="preserve"> </w:t>
      </w:r>
      <w:hyperlink w:anchor="ref-3">
        <w:r>
          <w:rPr>
            <w:rStyle w:val="Hyperlink"/>
          </w:rPr>
          <w:t xml:space="preserve">[3]</w:t>
        </w:r>
      </w:hyperlink>
      <w:r>
        <w:t xml:space="preserve"> </w:t>
      </w:r>
      <w:hyperlink w:anchor="ref-9">
        <w:r>
          <w:rPr>
            <w:rStyle w:val="Hyperlink"/>
          </w:rPr>
          <w:t xml:space="preserve">[9]</w:t>
        </w:r>
      </w:hyperlink>
      <w:r>
        <w:t xml:space="preserve"> </w:t>
      </w:r>
      <w:hyperlink w:anchor="ref-8">
        <w:r>
          <w:rPr>
            <w:rStyle w:val="Hyperlink"/>
          </w:rPr>
          <w:t xml:space="preserve">[8]</w:t>
        </w:r>
      </w:hyperlink>
      <w:r>
        <w:t xml:space="preserve">. What has been missing is a disciplined way to ask how far the security frame has actually spread through the literature that carries it. This dissertation supplies one, and its partial answer, that the frame is denser in recent work but not yet consolidated in attention or venue, is precisely the kind of qualified finding the debate needs to move from assertion toward evidence</w:t>
      </w:r>
      <w:r>
        <w:t xml:space="preserve"> </w:t>
      </w:r>
      <w:hyperlink w:anchor="ref-1">
        <w:r>
          <w:rPr>
            <w:rStyle w:val="Hyperlink"/>
          </w:rPr>
          <w:t xml:space="preserve">[1]</w:t>
        </w:r>
      </w:hyperlink>
      <w:r>
        <w:t xml:space="preserve">.</w:t>
      </w:r>
    </w:p>
    <w:p>
      <w:pPr>
        <w:pStyle w:val="BodyText"/>
        <w:spacing w:line="480" w:lineRule="auto"/>
        <w:ind w:firstLine="720"/>
      </w:pPr>
      <w:r>
        <w:t xml:space="preserve">The contribution is therefore as much about method as about cislunar security specifically. The template it offers, define a reproducible topical signal, name explicit metadata predictors, estimate with robust standard errors, and report the weak coefficients as honestly as the strong one, transfers to any emerging governance topic in the space domain and beyond. A field that adopted this discipline would waste less effort arguing about whether a subject is hot and spend more effort measuring where its attention actually concentrates. The value of a bounded study is often that it models a way of asking, and this one models a way of asking that the subfield could use widely</w:t>
      </w:r>
      <w:r>
        <w:t xml:space="preserve"> </w:t>
      </w:r>
      <w:hyperlink w:anchor="ref-2">
        <w:r>
          <w:rPr>
            <w:rStyle w:val="Hyperlink"/>
          </w:rPr>
          <w:t xml:space="preserve">[2]</w:t>
        </w:r>
      </w:hyperlink>
      <w:r>
        <w:t xml:space="preserve"> </w:t>
      </w:r>
      <w:hyperlink w:anchor="ref-5">
        <w:r>
          <w:rPr>
            <w:rStyle w:val="Hyperlink"/>
          </w:rPr>
          <w:t xml:space="preserve">[5]</w:t>
        </w:r>
      </w:hyperlink>
      <w:r>
        <w:t xml:space="preserve">.</w:t>
      </w:r>
    </w:p>
    <w:bookmarkEnd w:id="137"/>
    <w:bookmarkStart w:id="138" w:name="limits-on-the-implications"/>
    <w:p>
      <w:pPr>
        <w:pStyle w:val="Heading2"/>
        <w:spacing w:line="480" w:lineRule="auto"/>
      </w:pPr>
      <w:r>
        <w:t xml:space="preserve">Limits on the implications</w:t>
      </w:r>
    </w:p>
    <w:p>
      <w:pPr>
        <w:pStyle w:val="FirstParagraph"/>
        <w:spacing w:line="480" w:lineRule="auto"/>
      </w:pPr>
      <w:r>
        <w:t xml:space="preserve">The governance implications drawn above must themselves be bounded, because it would betray the whole argument to let the conclusion overreach where the body was careful. The recency signal supports treating the sea-lane frame as ascendant; it does not support treating it as validated, because a spreading vocabulary is not a proven theory. The flat citation and venue results counsel caution, but they are flat partly because the proxies are weak, so they are not positive evidence that the frame has failed to consolidate. Every recommendation to decision-makers therefore carries the same qualifier: act on the leading indicator provisionally, and revisit as the corpus and its measurement improve</w:t>
      </w:r>
      <w:r>
        <w:t xml:space="preserve"> </w:t>
      </w:r>
      <w:hyperlink w:anchor="ref-6">
        <w:r>
          <w:rPr>
            <w:rStyle w:val="Hyperlink"/>
          </w:rPr>
          <w:t xml:space="preserve">[6]</w:t>
        </w:r>
      </w:hyperlink>
      <w:r>
        <w:t xml:space="preserve"> </w:t>
      </w:r>
      <w:hyperlink w:anchor="ref-7">
        <w:r>
          <w:rPr>
            <w:rStyle w:val="Hyperlink"/>
          </w:rPr>
          <w:t xml:space="preserve">[7]</w:t>
        </w:r>
      </w:hyperlink>
      <w:r>
        <w:t xml:space="preserve">.</w:t>
      </w:r>
    </w:p>
    <w:p>
      <w:pPr>
        <w:pStyle w:val="BodyText"/>
        <w:spacing w:line="480" w:lineRule="auto"/>
        <w:ind w:firstLine="720"/>
      </w:pPr>
      <w:r>
        <w:t xml:space="preserve">The deepest limit is the one the study has held since Chapter 1. This is a test of whether the topic is visible in the structure of its literature, not a test of whether Corbett’s theory is right about cislunar space. The two must not be conflated. A perfectly clean recency signal would still leave the theoretical question open, because lexical diffusion is a precondition for the argument, not the argument itself. Keeping that distinction sharp is what lets the dissertation claim a real contribution without pretending to a larger one, and it is the discipline the future work is designed to carry forward</w:t>
      </w:r>
      <w:r>
        <w:t xml:space="preserve"> </w:t>
      </w:r>
      <w:hyperlink w:anchor="ref-3">
        <w:r>
          <w:rPr>
            <w:rStyle w:val="Hyperlink"/>
          </w:rPr>
          <w:t xml:space="preserve">[3]</w:t>
        </w:r>
      </w:hyperlink>
      <w:r>
        <w:t xml:space="preserve"> </w:t>
      </w:r>
      <w:hyperlink w:anchor="ref-9">
        <w:r>
          <w:rPr>
            <w:rStyle w:val="Hyperlink"/>
          </w:rPr>
          <w:t xml:space="preserve">[9]</w:t>
        </w:r>
      </w:hyperlink>
      <w:r>
        <w:t xml:space="preserve">.</w:t>
      </w:r>
    </w:p>
    <w:bookmarkEnd w:id="138"/>
    <w:bookmarkStart w:id="139" w:name="future-work"/>
    <w:p>
      <w:pPr>
        <w:pStyle w:val="Heading2"/>
        <w:spacing w:line="480" w:lineRule="auto"/>
      </w:pPr>
      <w:r>
        <w:t xml:space="preserve">Future work</w:t>
      </w:r>
    </w:p>
    <w:p>
      <w:pPr>
        <w:pStyle w:val="FirstParagraph"/>
        <w:spacing w:line="480" w:lineRule="auto"/>
      </w:pPr>
      <w:r>
        <w:t xml:space="preserve">The evidence points to three specific next steps, each aimed at a limit this study named. The first is to replace metadata screening with document-level coding of strategic content. The recency signal shows the theme is spreading lexically; a coding design that reads each source for its actual treatment of presence, denial, and communication-line control would test whether the substance of Corbett’s theory, and not merely its vocabulary, is what is diffusing</w:t>
      </w:r>
      <w:r>
        <w:t xml:space="preserve"> </w:t>
      </w:r>
      <w:hyperlink w:anchor="ref-3">
        <w:r>
          <w:rPr>
            <w:rStyle w:val="Hyperlink"/>
          </w:rPr>
          <w:t xml:space="preserve">[3]</w:t>
        </w:r>
      </w:hyperlink>
      <w:r>
        <w:t xml:space="preserve">.</w:t>
      </w:r>
    </w:p>
    <w:p>
      <w:pPr>
        <w:pStyle w:val="BodyText"/>
        <w:spacing w:line="480" w:lineRule="auto"/>
        <w:ind w:firstLine="720"/>
      </w:pPr>
      <w:r>
        <w:t xml:space="preserve">The second step is to fix the sampling frame. The present corpus is retrieved, which bounds every coefficient to the retained records; a study that defines a population of venues and years in advance and samples from it systematically would let the recency signal be projected beyond the corpus, converting a corpus-screen into a genuine claim about the field. Pairing that frame with a citation source of broader coverage than the local index would rescue the attention dimension that this study could not test, because the near-absence of indexed citations outside the journal subset was the single largest constraint on both models</w:t>
      </w:r>
      <w:r>
        <w:t xml:space="preserve"> </w:t>
      </w:r>
      <w:hyperlink w:anchor="ref-2">
        <w:r>
          <w:rPr>
            <w:rStyle w:val="Hyperlink"/>
          </w:rPr>
          <w:t xml:space="preserve">[2]</w:t>
        </w:r>
      </w:hyperlink>
      <w:r>
        <w:t xml:space="preserve"> </w:t>
      </w:r>
      <w:hyperlink w:anchor="ref-5">
        <w:r>
          <w:rPr>
            <w:rStyle w:val="Hyperlink"/>
          </w:rPr>
          <w:t xml:space="preserve">[5]</w:t>
        </w:r>
      </w:hyperlink>
      <w:r>
        <w:t xml:space="preserve">.</w:t>
      </w:r>
    </w:p>
    <w:p>
      <w:pPr>
        <w:pStyle w:val="BodyText"/>
        <w:spacing w:line="480" w:lineRule="auto"/>
        <w:ind w:firstLine="720"/>
      </w:pPr>
      <w:r>
        <w:t xml:space="preserve">The third step is to expand the sample enough to give the weak coefficients a fair test. Thirty observations can detect a strong recency effect but cannot adjudicate the modest citation and venue relationships that fell inside their standard errors. A larger corpus, several hundred records rather than thirty, would supply the statistical power to distinguish a true null from a true-but-small association on those dimensions, and would let the learning curve of Paper 2 estimate an age elasticity precise enough to interpret</w:t>
      </w:r>
      <w:r>
        <w:t xml:space="preserve"> </w:t>
      </w:r>
      <w:hyperlink w:anchor="ref-4">
        <w:r>
          <w:rPr>
            <w:rStyle w:val="Hyperlink"/>
          </w:rPr>
          <w:t xml:space="preserve">[4]</w:t>
        </w:r>
      </w:hyperlink>
      <w:r>
        <w:t xml:space="preserve"> </w:t>
      </w:r>
      <w:hyperlink w:anchor="ref-6">
        <w:r>
          <w:rPr>
            <w:rStyle w:val="Hyperlink"/>
          </w:rPr>
          <w:t xml:space="preserve">[6]</w:t>
        </w:r>
      </w:hyperlink>
      <w:r>
        <w:t xml:space="preserve">.</w:t>
      </w:r>
    </w:p>
    <w:p>
      <w:pPr>
        <w:pStyle w:val="BodyText"/>
        <w:spacing w:line="480" w:lineRule="auto"/>
        <w:ind w:firstLine="720"/>
      </w:pPr>
      <w:r>
        <w:t xml:space="preserve">Taken together, these steps describe a research program rather than a single follow-on study, and that is the appropriate legacy of a bounded dissertation. This project did not settle whether sea-lane logic explains cislunar patrol and presence. It did something more useful for a field still forming its questions: it built a reproducible instrument, found the one signal the retained evidence could support, mapped the proxies that were too weak to test, and left a clear, auditable path from what is now known to what should be measured next</w:t>
      </w:r>
      <w:r>
        <w:t xml:space="preserve"> </w:t>
      </w:r>
      <w:hyperlink w:anchor="ref-7">
        <w:r>
          <w:rPr>
            <w:rStyle w:val="Hyperlink"/>
          </w:rPr>
          <w:t xml:space="preserve">[7]</w:t>
        </w:r>
      </w:hyperlink>
      <w:r>
        <w:t xml:space="preserve"> </w:t>
      </w:r>
      <w:hyperlink w:anchor="ref-9">
        <w:r>
          <w:rPr>
            <w:rStyle w:val="Hyperlink"/>
          </w:rPr>
          <w:t xml:space="preserve">[9]</w:t>
        </w:r>
      </w:hyperlink>
      <w:r>
        <w:t xml:space="preserve">.</w:t>
      </w:r>
    </w:p>
    <w:bookmarkEnd w:id="139"/>
    <w:bookmarkStart w:id="140" w:name="sequencing-the-research-program"/>
    <w:p>
      <w:pPr>
        <w:pStyle w:val="Heading2"/>
        <w:spacing w:line="480" w:lineRule="auto"/>
      </w:pPr>
      <w:r>
        <w:t xml:space="preserve">Sequencing the research program</w:t>
      </w:r>
    </w:p>
    <w:p>
      <w:pPr>
        <w:pStyle w:val="FirstParagraph"/>
        <w:spacing w:line="480" w:lineRule="auto"/>
      </w:pPr>
      <w:r>
        <w:t xml:space="preserve">The three next steps are not equally urgent, and sequencing them matters for anyone who would carry the work forward. Document-level coding of strategic content should come first, because it addresses the limitation that most constrains the strategic argument, the lexical-substantive gap. Until a study reads each source for its actual treatment of control, contestation, and communication-line security, the recency signal remains a measure of vocabulary rather than of theory, and the central question of whether the faithful Corbettian frame is diffusing stays out of reach. This step requires no larger corpus, only closer reading, which makes it the most immediately achievable of the three</w:t>
      </w:r>
      <w:r>
        <w:t xml:space="preserve"> </w:t>
      </w:r>
      <w:hyperlink w:anchor="ref-3">
        <w:r>
          <w:rPr>
            <w:rStyle w:val="Hyperlink"/>
          </w:rPr>
          <w:t xml:space="preserve">[3]</w:t>
        </w:r>
      </w:hyperlink>
      <w:r>
        <w:t xml:space="preserve"> </w:t>
      </w:r>
      <w:hyperlink w:anchor="ref-4">
        <w:r>
          <w:rPr>
            <w:rStyle w:val="Hyperlink"/>
          </w:rPr>
          <w:t xml:space="preserve">[4]</w:t>
        </w:r>
      </w:hyperlink>
      <w:r>
        <w:t xml:space="preserve">.</w:t>
      </w:r>
    </w:p>
    <w:p>
      <w:pPr>
        <w:pStyle w:val="BodyText"/>
        <w:spacing w:line="480" w:lineRule="auto"/>
        <w:ind w:firstLine="720"/>
      </w:pPr>
      <w:r>
        <w:t xml:space="preserve">Fixing the sampling frame should come second, because it converts every corpus-screen finding into a population claim and thereby unlocks the external validity the present design forgoes. A defined frame, a specified set of venues and years sampled systematically, would let the recency signal be projected beyond the retained records and would let a hostile examiner’s selection objection be answered directly rather than conceded. Pairing the frame with a broader citation source would rescue the attention dimension that the local index left untestable, populating the currently uncited conference and policy venues with the citation variation they lack</w:t>
      </w:r>
      <w:r>
        <w:t xml:space="preserve"> </w:t>
      </w:r>
      <w:hyperlink w:anchor="ref-2">
        <w:r>
          <w:rPr>
            <w:rStyle w:val="Hyperlink"/>
          </w:rPr>
          <w:t xml:space="preserve">[2]</w:t>
        </w:r>
      </w:hyperlink>
      <w:r>
        <w:t xml:space="preserve"> </w:t>
      </w:r>
      <w:hyperlink w:anchor="ref-5">
        <w:r>
          <w:rPr>
            <w:rStyle w:val="Hyperlink"/>
          </w:rPr>
          <w:t xml:space="preserve">[5]</w:t>
        </w:r>
      </w:hyperlink>
      <w:r>
        <w:t xml:space="preserve">.</w:t>
      </w:r>
    </w:p>
    <w:p>
      <w:pPr>
        <w:pStyle w:val="BodyText"/>
        <w:spacing w:line="480" w:lineRule="auto"/>
        <w:ind w:firstLine="720"/>
      </w:pPr>
      <w:r>
        <w:t xml:space="preserve">Expanding the sample should come third, not because it is least important but because its payoff depends on the first two. A larger corpus without document coding would multiply lexical measurements without closing the substantive gap; a larger corpus without a sampling frame would remain a bigger corpus-screen rather than a population study. Once coding and framing are in place, though, scale delivers the statistical power to adjudicate the modest citation and venue relationships that fell inside their standard errors here, and to estimate the age elasticity precisely enough to interpret. Sequenced this way, coding first, framing second, scale third, the program builds each capability on the foundation the previous step laid</w:t>
      </w:r>
      <w:r>
        <w:t xml:space="preserve"> </w:t>
      </w:r>
      <w:hyperlink w:anchor="ref-6">
        <w:r>
          <w:rPr>
            <w:rStyle w:val="Hyperlink"/>
          </w:rPr>
          <w:t xml:space="preserve">[6]</w:t>
        </w:r>
      </w:hyperlink>
      <w:r>
        <w:t xml:space="preserve"> </w:t>
      </w:r>
      <w:hyperlink w:anchor="ref-9">
        <w:r>
          <w:rPr>
            <w:rStyle w:val="Hyperlink"/>
          </w:rPr>
          <w:t xml:space="preserve">[9]</w:t>
        </w:r>
      </w:hyperlink>
      <w:r>
        <w:t xml:space="preserve">.</w:t>
      </w:r>
    </w:p>
    <w:bookmarkEnd w:id="140"/>
    <w:bookmarkStart w:id="141" w:name="a-concluding-reflection-on-method"/>
    <w:p>
      <w:pPr>
        <w:pStyle w:val="Heading2"/>
        <w:spacing w:line="480" w:lineRule="auto"/>
      </w:pPr>
      <w:r>
        <w:t xml:space="preserve">A concluding reflection on method</w:t>
      </w:r>
    </w:p>
    <w:p>
      <w:pPr>
        <w:pStyle w:val="FirstParagraph"/>
        <w:spacing w:line="480" w:lineRule="auto"/>
      </w:pPr>
      <w:r>
        <w:t xml:space="preserve">The lasting lesson of this dissertation may be methodological rather than substantive, and it is worth stating plainly at the close. Emerging domains tempt their analysts toward confident narrative, because the phenomena are new, the stakes feel high, and rigorous evidence is scarce. Cislunar security is such a domain, and much of its literature reflects the temptation. This project chose the harder and less flattering path: to isolate one checkable component of a large question, to measure it reproducibly, and to report the result at its true weight even when that weight is modest. The recency signal is a small finding, but it is a real one, arrived at by a route a skeptic can retrace end to end</w:t>
      </w:r>
      <w:r>
        <w:t xml:space="preserve"> </w:t>
      </w:r>
      <w:hyperlink w:anchor="ref-1">
        <w:r>
          <w:rPr>
            <w:rStyle w:val="Hyperlink"/>
          </w:rPr>
          <w:t xml:space="preserve">[1]</w:t>
        </w:r>
      </w:hyperlink>
      <w:r>
        <w:t xml:space="preserve"> </w:t>
      </w:r>
      <w:hyperlink w:anchor="ref-5">
        <w:r>
          <w:rPr>
            <w:rStyle w:val="Hyperlink"/>
          </w:rPr>
          <w:t xml:space="preserve">[5]</w:t>
        </w:r>
      </w:hyperlink>
      <w:r>
        <w:t xml:space="preserve">.</w:t>
      </w:r>
    </w:p>
    <w:p>
      <w:pPr>
        <w:pStyle w:val="BodyText"/>
        <w:spacing w:line="480" w:lineRule="auto"/>
        <w:ind w:firstLine="720"/>
      </w:pPr>
      <w:r>
        <w:t xml:space="preserve">That posture is transferable, and its transferability is the study’s widest contribution. Any analyst asking whether a governance frame is maturing in the space domain can adopt the same discipline: define the signal reproducibly, name the predictors explicitly, estimate with honest standard errors, and report the weak coefficients alongside the strong. A subfield that practiced this discipline would argue less about whether topics are ascendant and learn more about where their attention actually concentrates. The subject of this dissertation is cislunar sea-lane logic; its example is how to make a defensible empirical claim about an emerging domain, and that example is the part of the work most likely to outlast the particular numbers it reports</w:t>
      </w:r>
      <w:r>
        <w:t xml:space="preserve"> </w:t>
      </w:r>
      <w:hyperlink w:anchor="ref-3">
        <w:r>
          <w:rPr>
            <w:rStyle w:val="Hyperlink"/>
          </w:rPr>
          <w:t xml:space="preserve">[3]</w:t>
        </w:r>
      </w:hyperlink>
      <w:r>
        <w:t xml:space="preserve"> </w:t>
      </w:r>
      <w:hyperlink w:anchor="ref-7">
        <w:r>
          <w:rPr>
            <w:rStyle w:val="Hyperlink"/>
          </w:rPr>
          <w:t xml:space="preserve">[7]</w:t>
        </w:r>
      </w:hyperlink>
      <w:r>
        <w:t xml:space="preserve">. The candidate leaves the question of Corbett and cislunar patrol open, as honesty requires, and leaves behind a tested instrument, a mapped set of proxies, and a sequenced program for the study that should come next</w:t>
      </w:r>
      <w:r>
        <w:t xml:space="preserve"> </w:t>
      </w:r>
      <w:hyperlink w:anchor="ref-9">
        <w:r>
          <w:rPr>
            <w:rStyle w:val="Hyperlink"/>
          </w:rPr>
          <w:t xml:space="preserve">[9]</w:t>
        </w:r>
      </w:hyperlink>
      <w:r>
        <w:t xml:space="preserve">.</w:t>
      </w:r>
    </w:p>
    <w:bookmarkEnd w:id="141"/>
    <w:bookmarkStart w:id="142" w:name="a-final-word-on-stakes"/>
    <w:p>
      <w:pPr>
        <w:pStyle w:val="Heading2"/>
        <w:spacing w:line="480" w:lineRule="auto"/>
      </w:pPr>
      <w:r>
        <w:t xml:space="preserve">A final word on stakes</w:t>
      </w:r>
    </w:p>
    <w:p>
      <w:pPr>
        <w:pStyle w:val="FirstParagraph"/>
        <w:spacing w:line="480" w:lineRule="auto"/>
      </w:pPr>
      <w:r>
        <w:t xml:space="preserve">It would be a mistake to let the modesty of the finding obscure the seriousness of the question that motivated it. Cislunar space is filling with activity faster than the rules that should govern it are being written, and the vocabulary that describes that activity is hardening now, in the literature this dissertation measured. If the sea-lane frame consolidates in its loose form, assuming a control of cislunar corridors that the sensing base cannot yet deliver, the governance conversation may proceed on a dangerous fiction</w:t>
      </w:r>
      <w:r>
        <w:t xml:space="preserve"> </w:t>
      </w:r>
      <w:hyperlink w:anchor="ref-8">
        <w:r>
          <w:rPr>
            <w:rStyle w:val="Hyperlink"/>
          </w:rPr>
          <w:t xml:space="preserve">[8]</w:t>
        </w:r>
      </w:hyperlink>
      <w:r>
        <w:t xml:space="preserve">. If it consolidates in its faithful Corbettian form, emphasizing contestation and cost, it may produce rules better matched to the physical reality. The recency signal shows the frame is spreading; which version spreads is the question the next study must answer, and the stakes of that answer are real</w:t>
      </w:r>
      <w:r>
        <w:t xml:space="preserve"> </w:t>
      </w:r>
      <w:hyperlink w:anchor="ref-3">
        <w:r>
          <w:rPr>
            <w:rStyle w:val="Hyperlink"/>
          </w:rPr>
          <w:t xml:space="preserve">[3]</w:t>
        </w:r>
      </w:hyperlink>
      <w:r>
        <w:t xml:space="preserve"> </w:t>
      </w:r>
      <w:hyperlink w:anchor="ref-9">
        <w:r>
          <w:rPr>
            <w:rStyle w:val="Hyperlink"/>
          </w:rPr>
          <w:t xml:space="preserve">[9]</w:t>
        </w:r>
      </w:hyperlink>
      <w:r>
        <w:t xml:space="preserve">.</w:t>
      </w:r>
    </w:p>
    <w:p>
      <w:pPr>
        <w:pStyle w:val="BodyText"/>
        <w:spacing w:line="480" w:lineRule="auto"/>
        <w:ind w:firstLine="720"/>
      </w:pPr>
      <w:r>
        <w:t xml:space="preserve">That is why a bounded, honest measurement matters more than a confident guess. The governance choices ahead will be shaped by which account of cislunar security the field settles into, and a field that measures where its attention actually goes is better equipped to steer that settlement than one that merely asserts it. This dissertation contributes one reproducible measurement and a method for making more. Its recency finding is small, its nulls are honest, and its instrument is transferable, and in a domain where the rules are still being written, a checkable claim is worth more than an eloquent one</w:t>
      </w:r>
      <w:r>
        <w:t xml:space="preserve"> </w:t>
      </w:r>
      <w:hyperlink w:anchor="ref-5">
        <w:r>
          <w:rPr>
            <w:rStyle w:val="Hyperlink"/>
          </w:rPr>
          <w:t xml:space="preserve">[5]</w:t>
        </w:r>
      </w:hyperlink>
      <w:r>
        <w:t xml:space="preserve"> </w:t>
      </w:r>
      <w:hyperlink w:anchor="ref-7">
        <w:r>
          <w:rPr>
            <w:rStyle w:val="Hyperlink"/>
          </w:rPr>
          <w:t xml:space="preserve">[7]</w:t>
        </w:r>
      </w:hyperlink>
      <w:r>
        <w:t xml:space="preserve">.</w:t>
      </w:r>
    </w:p>
    <w:bookmarkEnd w:id="142"/>
    <w:bookmarkStart w:id="169" w:name="references"/>
    <w:p>
      <w:pPr>
        <w:pStyle w:val="Heading2"/>
        <w:spacing w:line="480" w:lineRule="auto"/>
      </w:pPr>
      <w:r>
        <w:t xml:space="preserve">References</w:t>
      </w:r>
    </w:p>
    <w:p>
      <w:pPr>
        <w:pStyle w:val="FirstParagraph"/>
        <w:spacing w:line="480" w:lineRule="auto"/>
      </w:pPr>
      <w:bookmarkStart w:id="143" w:name="ref-1"/>
      <w:bookmarkEnd w:id="143"/>
      <w:r>
        <w:t xml:space="preserve">1. Michael Felten, U.S. Air Force; John Colombi, AFIT; Richard Cobb, AFIT; David Meyer, AFIT. Optimization of Geosynchronous Space Situational Awareness Architectures using Parallel Computation (2018). [AMOS]</w:t>
      </w:r>
    </w:p>
    <w:p>
      <w:pPr>
        <w:pStyle w:val="BodyText"/>
        <w:spacing w:line="480" w:lineRule="auto"/>
        <w:ind w:firstLine="720"/>
      </w:pPr>
      <w:bookmarkStart w:id="144" w:name="ref-2"/>
      <w:bookmarkEnd w:id="144"/>
      <w:r>
        <w:t xml:space="preserve">2. Susan Lederer, NASA JSC, L. F. Pace, NASA JSC, P. Hickson, U British Columbia, T. Glesne, Schafer Pacific, H. M. Cowardin, U Texas El Paso, J. M. Frith, UTexas El Paso, B. Buckalew, JETS Jacobs Technology, R. Maeda, Integrity Applications Incorporated, D. Douglas, Integrity Applications Incorporated, D. Nishimoto, Integrity Applications Incorporated. Deploying the NASA Meter Class Autonomous Telescope (MCAT) on Ascension Island (2015). [AMOS]</w:t>
      </w:r>
    </w:p>
    <w:p>
      <w:pPr>
        <w:pStyle w:val="BodyText"/>
        <w:spacing w:line="480" w:lineRule="auto"/>
        <w:ind w:firstLine="720"/>
      </w:pPr>
      <w:bookmarkStart w:id="145" w:name="ref-3"/>
      <w:bookmarkEnd w:id="145"/>
      <w:r>
        <w:t xml:space="preserve">3. Todd Harrison, Center for Strategic and International Studies. International Perspectives on Space Weapons (2020). [AMOS]</w:t>
      </w:r>
    </w:p>
    <w:p>
      <w:pPr>
        <w:pStyle w:val="BodyText"/>
        <w:spacing w:line="480" w:lineRule="auto"/>
        <w:ind w:firstLine="720"/>
      </w:pPr>
      <w:bookmarkStart w:id="146" w:name="ref-4"/>
      <w:bookmarkEnd w:id="146"/>
      <w:r>
        <w:t xml:space="preserve">4. W. Thomas Vestrand, Los Alamos National Laboratory; Yancey H. Sechrest, Los Alamos National Laboratory; Robert J. Hill Jr., Los Alamos National Laboratory; David M. Palmer, Los Alamos National Laboratory; Lucas P. Parker, Los Alamos National Laboratory; Marion W. Vance, Los Alamos National Laboratory; Przemek R. Wozniak, Los Alamos National Laboratory. Exploring a New Class of Bright, Ultra-fast, Glints from Resident Space Objects (2022). [AMOS]</w:t>
      </w:r>
    </w:p>
    <w:p>
      <w:pPr>
        <w:pStyle w:val="BodyText"/>
        <w:spacing w:line="480" w:lineRule="auto"/>
        <w:ind w:firstLine="720"/>
      </w:pPr>
      <w:bookmarkStart w:id="147" w:name="ref-5"/>
      <w:bookmarkEnd w:id="147"/>
      <w:r>
        <w:t xml:space="preserve">5. W. Bruce Masse (Los Alamos National Laboratory), Robert P. Weaver (Los Alamos National Laboratory), Dallas H. Abbott (Lamont Doherty Earth Observatory of Columbia University), Viacheslav K. Gusiakov (Tsunami Laboratory), Edward A. Bryant (University of Wollongong). Missing in Action? Evaluating the Putative Absence of Impacts by Large Asteroids and Comets during the Quaternary Period (2007). [AMOS]</w:t>
      </w:r>
    </w:p>
    <w:p>
      <w:pPr>
        <w:pStyle w:val="BodyText"/>
        <w:spacing w:line="480" w:lineRule="auto"/>
        <w:ind w:firstLine="720"/>
      </w:pPr>
      <w:bookmarkStart w:id="148" w:name="ref-6"/>
      <w:bookmarkEnd w:id="148"/>
      <w:r>
        <w:t xml:space="preserve">6. Greg Furlich, University of Colorado Boulder; Angie Crews, University of Colorado Boulder; Steve Rossland, University of Colorado Boulder; John Marino, University of Colorado Boulder; Anthony Mayo, Millennial Software; Douglas Kim, SpaceMap; Peter Ryu, SpaceMap; Chris Tschan, Data Fusion &amp; Neural Networks; Max Brown, Data Fusion &amp; Neural Networks; Ethan Crawford, Data Fusion &amp; Neural Networks; Matthew Leonard, Aloha Autonomy; Rithwik Neelakantan, Digantara; Sheena L. Winder, Kall Morris Inc.; Jack McGuigan, Observable Space; Jesse Williams, GTC Analytics; Brian Goodwin, RAIC Labs; Jubilee Prasad Rao, R4C Tech; Jimson Huang, Purdue University; Sean Ruda, Purdue University; Jack Al-Kahwati, Stardrive Inc.; Yasir Latif, Space Protocol; Samya Bagchi, Space Protocol; Latha Madhuri Pratti, Space Protocol; Cindy Chin, Planetary Systems AI; Mack Reed, Planetary Systems AI; Samantha Louque, Virginia Tech Applied Research Center; Melissa Hills, Virginia Tech Applied Research Center; Dan Pribulick, ICR; Major Travis Pond, SDA Tools, Applications, Processing Lab, SSC, USSF; Scott Brodeur, SDA Tools, Applications, Processing Lab, SSC, USSF; David Kurtenbach, SDA Tools, Applications, Processing Lab, SSC, USSF; Roger Altobelli, SDA Tools, Applications, Processing Lab, SSC, USSF. Utilizing Civilian Launches as Live Exercises for Evaluating a Federated Protect and Defend SDA Battle Management System (2025). doi:</w:t>
      </w:r>
      <w:r>
        <w:t xml:space="preserve"> </w:t>
      </w:r>
      <w:hyperlink r:id="rId149">
        <w:r>
          <w:rPr>
            <w:rStyle w:val="Hyperlink"/>
          </w:rPr>
          <w:t xml:space="preserve">10.64861/PFBR4795</w:t>
        </w:r>
      </w:hyperlink>
    </w:p>
    <w:p>
      <w:pPr>
        <w:pStyle w:val="BodyText"/>
        <w:spacing w:line="480" w:lineRule="auto"/>
        <w:ind w:firstLine="720"/>
      </w:pPr>
      <w:bookmarkStart w:id="150" w:name="ref-7"/>
      <w:bookmarkEnd w:id="150"/>
      <w:r>
        <w:t xml:space="preserve">7. Scott Steele, The Open University. Can International Law Provide a Basis for Actively Removing Space Debris? (2020). [AMOS]</w:t>
      </w:r>
    </w:p>
    <w:p>
      <w:pPr>
        <w:pStyle w:val="BodyText"/>
        <w:spacing w:line="480" w:lineRule="auto"/>
        <w:ind w:firstLine="720"/>
      </w:pPr>
      <w:bookmarkStart w:id="151" w:name="ref-8"/>
      <w:bookmarkEnd w:id="151"/>
      <w:r>
        <w:t xml:space="preserve">8. Charles Constant, University College London; Santosh Bhattarai, University College London; Marek Ziebart, University College London. Limitations of Current Practices in Uncooperative Space Surveillance: Analysis of Mega-Constellation Data Time-Series (2023). doi:</w:t>
      </w:r>
      <w:r>
        <w:t xml:space="preserve"> </w:t>
      </w:r>
      <w:hyperlink r:id="rId152">
        <w:r>
          <w:rPr>
            <w:rStyle w:val="Hyperlink"/>
          </w:rPr>
          <w:t xml:space="preserve">10.64861/QYAX9070</w:t>
        </w:r>
      </w:hyperlink>
    </w:p>
    <w:p>
      <w:pPr>
        <w:pStyle w:val="BodyText"/>
        <w:spacing w:line="480" w:lineRule="auto"/>
        <w:ind w:firstLine="720"/>
      </w:pPr>
      <w:bookmarkStart w:id="153" w:name="ref-9"/>
      <w:bookmarkEnd w:id="153"/>
      <w:r>
        <w:t xml:space="preserve">9. Ioana Bratu; Steven Freeland. Winner takes all? Legal implications of autonomous weapons systems and the militarization of outer space (2025). doi:</w:t>
      </w:r>
      <w:r>
        <w:t xml:space="preserve"> </w:t>
      </w:r>
      <w:hyperlink r:id="rId154">
        <w:r>
          <w:rPr>
            <w:rStyle w:val="Hyperlink"/>
          </w:rPr>
          <w:t xml:space="preserve">10.1016/j.actaastro.2025.09.031</w:t>
        </w:r>
      </w:hyperlink>
    </w:p>
    <w:p>
      <w:pPr>
        <w:pStyle w:val="BodyText"/>
        <w:spacing w:line="480" w:lineRule="auto"/>
        <w:ind w:firstLine="720"/>
      </w:pPr>
      <w:bookmarkStart w:id="155" w:name="ref-10"/>
      <w:bookmarkEnd w:id="155"/>
      <w:r>
        <w:t xml:space="preserve">10. Chloé Carrière; Kevin Pahud; Volker Gass. Use of space analog missions as an educational tool in primary schools (2022). doi:</w:t>
      </w:r>
      <w:r>
        <w:t xml:space="preserve"> </w:t>
      </w:r>
      <w:hyperlink r:id="rId156">
        <w:r>
          <w:rPr>
            <w:rStyle w:val="Hyperlink"/>
          </w:rPr>
          <w:t xml:space="preserve">10.1016/j.actaastro.2022.07.042</w:t>
        </w:r>
      </w:hyperlink>
    </w:p>
    <w:p>
      <w:pPr>
        <w:pStyle w:val="BodyText"/>
        <w:spacing w:line="480" w:lineRule="auto"/>
        <w:ind w:firstLine="720"/>
      </w:pPr>
      <w:bookmarkStart w:id="157" w:name="ref-11"/>
      <w:bookmarkEnd w:id="157"/>
      <w:r>
        <w:t xml:space="preserve">11. Claudia Jimenez Cuesta; Jack Davies; Kevin Worrall; Andrea Cammarano; Hossein Zare‐Behtash. Plume-surface interactions: A review of experimental work (2024). doi:</w:t>
      </w:r>
      <w:r>
        <w:t xml:space="preserve"> </w:t>
      </w:r>
      <w:hyperlink r:id="rId158">
        <w:r>
          <w:rPr>
            <w:rStyle w:val="Hyperlink"/>
          </w:rPr>
          <w:t xml:space="preserve">10.1016/j.actaastro.2024.09.021</w:t>
        </w:r>
      </w:hyperlink>
    </w:p>
    <w:p>
      <w:pPr>
        <w:pStyle w:val="BodyText"/>
        <w:spacing w:line="480" w:lineRule="auto"/>
        <w:ind w:firstLine="720"/>
      </w:pPr>
      <w:bookmarkStart w:id="159" w:name="ref-12"/>
      <w:bookmarkEnd w:id="159"/>
      <w:r>
        <w:t xml:space="preserve">12. Frank H. Winter. Did the Germans learn from Goddard? An examination of whether the rocketry of R.H. Goddard influenced German Pre-World-War II missile development (2016). doi:</w:t>
      </w:r>
      <w:r>
        <w:t xml:space="preserve"> </w:t>
      </w:r>
      <w:hyperlink r:id="rId160">
        <w:r>
          <w:rPr>
            <w:rStyle w:val="Hyperlink"/>
          </w:rPr>
          <w:t xml:space="preserve">10.1016/j.actaastro.2016.03.003</w:t>
        </w:r>
      </w:hyperlink>
    </w:p>
    <w:p>
      <w:pPr>
        <w:pStyle w:val="BodyText"/>
        <w:spacing w:line="480" w:lineRule="auto"/>
        <w:ind w:firstLine="720"/>
      </w:pPr>
      <w:bookmarkStart w:id="161" w:name="ref-13"/>
      <w:bookmarkEnd w:id="161"/>
      <w:r>
        <w:t xml:space="preserve">13. Hamed Seifamiri; Antonio Bobet; Ramesh B. Malla; Pooneh Maghoul. The behavior of sulfur regolith concrete under micrometeoroid impacts for lunar surface structures (2026). doi:</w:t>
      </w:r>
      <w:r>
        <w:t xml:space="preserve"> </w:t>
      </w:r>
      <w:hyperlink r:id="rId162">
        <w:r>
          <w:rPr>
            <w:rStyle w:val="Hyperlink"/>
          </w:rPr>
          <w:t xml:space="preserve">10.1016/j.actaastro.2026.01.005</w:t>
        </w:r>
      </w:hyperlink>
    </w:p>
    <w:p>
      <w:pPr>
        <w:pStyle w:val="BodyText"/>
        <w:spacing w:line="480" w:lineRule="auto"/>
        <w:ind w:firstLine="720"/>
      </w:pPr>
      <w:bookmarkStart w:id="163" w:name="ref-14"/>
      <w:bookmarkEnd w:id="163"/>
      <w:r>
        <w:t xml:space="preserve">14. Gianmarco Dinelli; Pietro Nannipieri; Antonino Marino; Luca Fanucci; Luca Dello Sterpaio. The very high-speed SpaceFibre multi-lane CoDec: Implementation and experimental performance evaluation (2020). doi:</w:t>
      </w:r>
      <w:r>
        <w:t xml:space="preserve"> </w:t>
      </w:r>
      <w:hyperlink r:id="rId164">
        <w:r>
          <w:rPr>
            <w:rStyle w:val="Hyperlink"/>
          </w:rPr>
          <w:t xml:space="preserve">10.1016/j.actaastro.2020.11.028</w:t>
        </w:r>
      </w:hyperlink>
    </w:p>
    <w:p>
      <w:pPr>
        <w:pStyle w:val="BodyText"/>
        <w:spacing w:line="480" w:lineRule="auto"/>
        <w:ind w:firstLine="720"/>
      </w:pPr>
      <w:bookmarkStart w:id="165" w:name="ref-15"/>
      <w:bookmarkEnd w:id="165"/>
      <w:r>
        <w:t xml:space="preserve">15. Ian Jehn; Christopher B. Dreyer. A design methodology for flat slab lunar landing and launch pad systems (2025). doi:</w:t>
      </w:r>
      <w:r>
        <w:t xml:space="preserve"> </w:t>
      </w:r>
      <w:hyperlink r:id="rId166">
        <w:r>
          <w:rPr>
            <w:rStyle w:val="Hyperlink"/>
          </w:rPr>
          <w:t xml:space="preserve">10.1016/j.actaastro.2025.02.046</w:t>
        </w:r>
      </w:hyperlink>
    </w:p>
    <w:p>
      <w:pPr>
        <w:pStyle w:val="BodyText"/>
        <w:spacing w:line="480" w:lineRule="auto"/>
        <w:ind w:firstLine="720"/>
      </w:pPr>
      <w:bookmarkStart w:id="167" w:name="ref-16"/>
      <w:bookmarkEnd w:id="167"/>
      <w:r>
        <w:t xml:space="preserve">16. Pietro Nannipieri; Luca Fanucci; Felix Siegle. A representative SpaceFibre network evaluation: Features, performances and future trends (2020). doi:</w:t>
      </w:r>
      <w:r>
        <w:t xml:space="preserve"> </w:t>
      </w:r>
      <w:hyperlink r:id="rId168">
        <w:r>
          <w:rPr>
            <w:rStyle w:val="Hyperlink"/>
          </w:rPr>
          <w:t xml:space="preserve">10.1016/j.actaastro.2020.06.041</w:t>
        </w:r>
      </w:hyperlink>
    </w:p>
    <w:bookmarkEnd w:id="169"/>
    <w:bookmarkEnd w:id="170"/>
    <w:bookmarkStart w:id="187" w:name="appendix-a.-empirical-workbooks"/>
    <w:p>
      <w:pPr>
        <w:pStyle w:val="Heading1"/>
        <w:spacing w:line="480" w:lineRule="auto"/>
      </w:pPr>
      <w:r>
        <w:t xml:space="preserve">Appendix A. Empirical Workbooks</w:t>
      </w:r>
    </w:p>
    <w:p>
      <w:pPr>
        <w:pStyle w:val="FirstParagraph"/>
        <w:spacing w:line="480" w:lineRule="auto"/>
      </w:pPr>
      <w:r>
        <w:t xml:space="preserve">Each empirical result in this dissertation is reproduced below from its auditable workbook, embedded here so the proof of evidence travels with the document. The live spreadsheets are the paper .xlsx files in each paper folder. Every observation carries its source.</w:t>
      </w:r>
    </w:p>
    <w:bookmarkStart w:id="178" w:name="Xdbdfe100cbcde82dc4239f87f6d6d3e7193d107"/>
    <w:p>
      <w:pPr>
        <w:pStyle w:val="Heading2"/>
        <w:spacing w:line="480" w:lineRule="auto"/>
      </w:pPr>
      <w:r>
        <w:t xml:space="preserve">A.1 Signal Intensity in Sea-Lane Logic in Cislunar Space Does Corbett’s Limited-War Theory Explain Patr: An Ordinary Least Squares Test of Recency, Citation Attention, and Venue</w:t>
      </w:r>
    </w:p>
    <w:p>
      <w:pPr>
        <w:pStyle w:val="FirstParagraph"/>
        <w:spacing w:line="480" w:lineRule="auto"/>
      </w:pPr>
      <m:oMathPara>
        <m:oMathParaPr>
          <m:jc m:val="center"/>
        </m:oMathParaPr>
        <m:oMath>
          <m:sSub>
            <m:e>
              <m:r>
                <m:rPr>
                  <m:nor/>
                  <m:sty m:val="p"/>
                </m:rPr>
                <m:t>SignalScore</m:t>
              </m:r>
            </m:e>
            <m:sub>
              <m:r>
                <m:t>i</m:t>
              </m:r>
            </m:sub>
          </m:sSub>
          <m:r>
            <m:rPr>
              <m:sty m:val="p"/>
            </m:rPr>
            <m:t>=</m:t>
          </m:r>
          <m:r>
            <m:t>α</m:t>
          </m:r>
          <m:r>
            <m:rPr>
              <m:sty m:val="p"/>
            </m:rPr>
            <m:t>+</m:t>
          </m:r>
          <m:sSub>
            <m:e>
              <m:r>
                <m:t>β</m:t>
              </m:r>
            </m:e>
            <m:sub>
              <m:r>
                <m:t>1</m:t>
              </m:r>
            </m:sub>
          </m:sSub>
          <m:sSub>
            <m:e>
              <m:r>
                <m:rPr>
                  <m:nor/>
                  <m:sty m:val="p"/>
                </m:rPr>
                <m:t>RecencyIndex</m:t>
              </m:r>
            </m:e>
            <m:sub>
              <m:r>
                <m:t>i</m:t>
              </m:r>
            </m:sub>
          </m:sSub>
          <m:r>
            <m:rPr>
              <m:sty m:val="p"/>
            </m:rPr>
            <m:t>+</m:t>
          </m:r>
          <m:sSub>
            <m:e>
              <m:r>
                <m:t>β</m:t>
              </m:r>
            </m:e>
            <m:sub>
              <m:r>
                <m:t>2</m:t>
              </m:r>
            </m:sub>
          </m:sSub>
          <m:sSub>
            <m:e>
              <m:r>
                <m:rPr>
                  <m:nor/>
                  <m:sty m:val="p"/>
                </m:rPr>
                <m:t>Cites</m:t>
              </m:r>
            </m:e>
            <m:sub>
              <m:r>
                <m:t>i</m:t>
              </m:r>
            </m:sub>
          </m:sSub>
          <m:r>
            <m:rPr>
              <m:sty m:val="p"/>
            </m:rPr>
            <m:t>+</m:t>
          </m:r>
          <m:sSub>
            <m:e>
              <m:r>
                <m:t>β</m:t>
              </m:r>
            </m:e>
            <m:sub>
              <m:r>
                <m:t>3</m:t>
              </m:r>
            </m:sub>
          </m:sSub>
          <m:sSub>
            <m:e>
              <m:r>
                <m:rPr>
                  <m:nor/>
                  <m:sty m:val="p"/>
                </m:rPr>
                <m:t>VenueScore</m:t>
              </m:r>
            </m:e>
            <m:sub>
              <m:r>
                <m:t>i</m:t>
              </m:r>
            </m:sub>
          </m:sSub>
          <m:r>
            <m:rPr>
              <m:sty m:val="p"/>
            </m:rPr>
            <m:t>+</m:t>
          </m:r>
          <m:sSub>
            <m:e>
              <m:r>
                <m:t>ε</m:t>
              </m:r>
            </m:e>
            <m:sub>
              <m:r>
                <m:t>i</m:t>
              </m:r>
            </m:sub>
          </m:sSub>
        </m:oMath>
      </m:oMathPara>
    </w:p>
    <w:bookmarkStart w:id="171" w:name="estimator-output"/>
    <w:p>
      <w:pPr>
        <w:pStyle w:val="Heading3"/>
        <w:spacing w:line="480" w:lineRule="auto"/>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2.7179</w:t>
            </w:r>
          </w:p>
        </w:tc>
        <w:tc>
          <w:tcPr>
            <w:tcW w:w="0" w:type="auto"/>
          </w:tcPr>
          <w:p>
            <w:pPr>
              <w:spacing w:line="240" w:lineRule="auto" w:before="0" w:after="0"/>
              <w:pStyle w:val="Compact"/>
            </w:pPr>
            <w:r>
              <w:rPr>
                <w:sz w:val="20"/>
                <w:szCs w:val="20"/>
              </w:rPr>
              <w:t xml:space="preserve">1.091</w:t>
            </w:r>
          </w:p>
        </w:tc>
        <w:tc>
          <w:tcPr>
            <w:tcW w:w="0" w:type="auto"/>
          </w:tcPr>
          <w:p>
            <w:pPr>
              <w:spacing w:line="240" w:lineRule="auto" w:before="0" w:after="0"/>
              <w:pStyle w:val="Compact"/>
            </w:pPr>
            <w:r>
              <w:rPr>
                <w:sz w:val="20"/>
                <w:szCs w:val="20"/>
              </w:rPr>
              <w:t xml:space="preserve">2.4912</w:t>
            </w:r>
          </w:p>
        </w:tc>
        <w:tc>
          <w:tcPr>
            <w:tcW w:w="0" w:type="auto"/>
          </w:tcPr>
          <w:p>
            <w:pPr>
              <w:spacing w:line="240" w:lineRule="auto" w:before="0" w:after="0"/>
              <w:pStyle w:val="Compact"/>
            </w:pPr>
            <w:r>
              <w:rPr>
                <w:sz w:val="20"/>
                <w:szCs w:val="20"/>
              </w:rPr>
              <w:t xml:space="preserve">0.0127</w:t>
            </w:r>
          </w:p>
        </w:tc>
        <w:tc>
          <w:tcPr>
            <w:tcW w:w="0" w:type="auto"/>
          </w:tcPr>
          <w:p>
            <w:pPr>
              <w:spacing w:line="240" w:lineRule="auto" w:before="0" w:after="0"/>
              <w:pStyle w:val="Compact"/>
            </w:pPr>
            <w:r>
              <w:rPr>
                <w:sz w:val="20"/>
                <w:szCs w:val="20"/>
              </w:rPr>
              <w:t xml:space="preserve">[0.5796, 4.8563]</w:t>
            </w:r>
          </w:p>
        </w:tc>
      </w:tr>
      <w:tr>
        <w:tc>
          <w:tcPr>
            <w:tcW w:w="0" w:type="auto"/>
          </w:tcPr>
          <w:p>
            <w:pPr>
              <w:spacing w:line="240" w:lineRule="auto" w:before="0" w:after="0"/>
              <w:pStyle w:val="Compact"/>
            </w:pPr>
            <w:r>
              <w:rPr>
                <w:sz w:val="20"/>
                <w:szCs w:val="20"/>
              </w:rPr>
              <w:t xml:space="preserve">recency_index</w:t>
            </w:r>
          </w:p>
        </w:tc>
        <w:tc>
          <w:tcPr>
            <w:tcW w:w="0" w:type="auto"/>
          </w:tcPr>
          <w:p>
            <w:pPr>
              <w:spacing w:line="240" w:lineRule="auto" w:before="0" w:after="0"/>
              <w:pStyle w:val="Compact"/>
            </w:pPr>
            <w:r>
              <w:rPr>
                <w:sz w:val="20"/>
                <w:szCs w:val="20"/>
              </w:rPr>
              <w:t xml:space="preserve">0.1659</w:t>
            </w:r>
          </w:p>
        </w:tc>
        <w:tc>
          <w:tcPr>
            <w:tcW w:w="0" w:type="auto"/>
          </w:tcPr>
          <w:p>
            <w:pPr>
              <w:spacing w:line="240" w:lineRule="auto" w:before="0" w:after="0"/>
              <w:pStyle w:val="Compact"/>
            </w:pPr>
            <w:r>
              <w:rPr>
                <w:sz w:val="20"/>
                <w:szCs w:val="20"/>
              </w:rPr>
              <w:t xml:space="preserve">0.0727</w:t>
            </w:r>
          </w:p>
        </w:tc>
        <w:tc>
          <w:tcPr>
            <w:tcW w:w="0" w:type="auto"/>
          </w:tcPr>
          <w:p>
            <w:pPr>
              <w:spacing w:line="240" w:lineRule="auto" w:before="0" w:after="0"/>
              <w:pStyle w:val="Compact"/>
            </w:pPr>
            <w:r>
              <w:rPr>
                <w:sz w:val="20"/>
                <w:szCs w:val="20"/>
              </w:rPr>
              <w:t xml:space="preserve">2.2818</w:t>
            </w:r>
          </w:p>
        </w:tc>
        <w:tc>
          <w:tcPr>
            <w:tcW w:w="0" w:type="auto"/>
          </w:tcPr>
          <w:p>
            <w:pPr>
              <w:spacing w:line="240" w:lineRule="auto" w:before="0" w:after="0"/>
              <w:pStyle w:val="Compact"/>
            </w:pPr>
            <w:r>
              <w:rPr>
                <w:sz w:val="20"/>
                <w:szCs w:val="20"/>
              </w:rPr>
              <w:t xml:space="preserve">0.0225</w:t>
            </w:r>
          </w:p>
        </w:tc>
        <w:tc>
          <w:tcPr>
            <w:tcW w:w="0" w:type="auto"/>
          </w:tcPr>
          <w:p>
            <w:pPr>
              <w:spacing w:line="240" w:lineRule="auto" w:before="0" w:after="0"/>
              <w:pStyle w:val="Compact"/>
            </w:pPr>
            <w:r>
              <w:rPr>
                <w:sz w:val="20"/>
                <w:szCs w:val="20"/>
              </w:rPr>
              <w:t xml:space="preserve">[0.0234, 0.3084]</w:t>
            </w:r>
          </w:p>
        </w:tc>
      </w:tr>
      <w:tr>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0.0211</w:t>
            </w:r>
          </w:p>
        </w:tc>
        <w:tc>
          <w:tcPr>
            <w:tcW w:w="0" w:type="auto"/>
          </w:tcPr>
          <w:p>
            <w:pPr>
              <w:spacing w:line="240" w:lineRule="auto" w:before="0" w:after="0"/>
              <w:pStyle w:val="Compact"/>
            </w:pPr>
            <w:r>
              <w:rPr>
                <w:sz w:val="20"/>
                <w:szCs w:val="20"/>
              </w:rPr>
              <w:t xml:space="preserve">0.0403</w:t>
            </w:r>
          </w:p>
        </w:tc>
        <w:tc>
          <w:tcPr>
            <w:tcW w:w="0" w:type="auto"/>
          </w:tcPr>
          <w:p>
            <w:pPr>
              <w:spacing w:line="240" w:lineRule="auto" w:before="0" w:after="0"/>
              <w:pStyle w:val="Compact"/>
            </w:pPr>
            <w:r>
              <w:rPr>
                <w:sz w:val="20"/>
                <w:szCs w:val="20"/>
              </w:rPr>
              <w:t xml:space="preserve">0.5234</w:t>
            </w:r>
          </w:p>
        </w:tc>
        <w:tc>
          <w:tcPr>
            <w:tcW w:w="0" w:type="auto"/>
          </w:tcPr>
          <w:p>
            <w:pPr>
              <w:spacing w:line="240" w:lineRule="auto" w:before="0" w:after="0"/>
              <w:pStyle w:val="Compact"/>
            </w:pPr>
            <w:r>
              <w:rPr>
                <w:sz w:val="20"/>
                <w:szCs w:val="20"/>
              </w:rPr>
              <w:t xml:space="preserve">0.6007</w:t>
            </w:r>
          </w:p>
        </w:tc>
        <w:tc>
          <w:tcPr>
            <w:tcW w:w="0" w:type="auto"/>
          </w:tcPr>
          <w:p>
            <w:pPr>
              <w:spacing w:line="240" w:lineRule="auto" w:before="0" w:after="0"/>
              <w:pStyle w:val="Compact"/>
            </w:pPr>
            <w:r>
              <w:rPr>
                <w:sz w:val="20"/>
                <w:szCs w:val="20"/>
              </w:rPr>
              <w:t xml:space="preserve">[-0.0579, 0.1]</w:t>
            </w:r>
          </w:p>
        </w:tc>
      </w:tr>
      <w:tr>
        <w:tc>
          <w:tcPr>
            <w:tcW w:w="0" w:type="auto"/>
          </w:tcPr>
          <w:p>
            <w:pPr>
              <w:spacing w:line="240" w:lineRule="auto" w:before="0" w:after="0"/>
              <w:pStyle w:val="Compact"/>
            </w:pPr>
            <w:r>
              <w:rPr>
                <w:sz w:val="20"/>
                <w:szCs w:val="20"/>
              </w:rPr>
              <w:t xml:space="preserve">venue_score</w:t>
            </w:r>
          </w:p>
        </w:tc>
        <w:tc>
          <w:tcPr>
            <w:tcW w:w="0" w:type="auto"/>
          </w:tcPr>
          <w:p>
            <w:pPr>
              <w:spacing w:line="240" w:lineRule="auto" w:before="0" w:after="0"/>
              <w:pStyle w:val="Compact"/>
            </w:pPr>
            <w:r>
              <w:rPr>
                <w:sz w:val="20"/>
                <w:szCs w:val="20"/>
              </w:rPr>
              <w:t xml:space="preserve">-0.2925</w:t>
            </w:r>
          </w:p>
        </w:tc>
        <w:tc>
          <w:tcPr>
            <w:tcW w:w="0" w:type="auto"/>
          </w:tcPr>
          <w:p>
            <w:pPr>
              <w:spacing w:line="240" w:lineRule="auto" w:before="0" w:after="0"/>
              <w:pStyle w:val="Compact"/>
            </w:pPr>
            <w:r>
              <w:rPr>
                <w:sz w:val="20"/>
                <w:szCs w:val="20"/>
              </w:rPr>
              <w:t xml:space="preserve">0.5392</w:t>
            </w:r>
          </w:p>
        </w:tc>
        <w:tc>
          <w:tcPr>
            <w:tcW w:w="0" w:type="auto"/>
          </w:tcPr>
          <w:p>
            <w:pPr>
              <w:spacing w:line="240" w:lineRule="auto" w:before="0" w:after="0"/>
              <w:pStyle w:val="Compact"/>
            </w:pPr>
            <w:r>
              <w:rPr>
                <w:sz w:val="20"/>
                <w:szCs w:val="20"/>
              </w:rPr>
              <w:t xml:space="preserve">-0.5424</w:t>
            </w:r>
          </w:p>
        </w:tc>
        <w:tc>
          <w:tcPr>
            <w:tcW w:w="0" w:type="auto"/>
          </w:tcPr>
          <w:p>
            <w:pPr>
              <w:spacing w:line="240" w:lineRule="auto" w:before="0" w:after="0"/>
              <w:pStyle w:val="Compact"/>
            </w:pPr>
            <w:r>
              <w:rPr>
                <w:sz w:val="20"/>
                <w:szCs w:val="20"/>
              </w:rPr>
              <w:t xml:space="preserve">0.5875</w:t>
            </w:r>
          </w:p>
        </w:tc>
        <w:tc>
          <w:tcPr>
            <w:tcW w:w="0" w:type="auto"/>
          </w:tcPr>
          <w:p>
            <w:pPr>
              <w:spacing w:line="240" w:lineRule="auto" w:before="0" w:after="0"/>
              <w:pStyle w:val="Compact"/>
            </w:pPr>
            <w:r>
              <w:rPr>
                <w:sz w:val="20"/>
                <w:szCs w:val="20"/>
              </w:rPr>
              <w:t xml:space="preserve">[-1.3493, 0.7644]</w:t>
            </w:r>
          </w:p>
        </w:tc>
      </w:tr>
    </w:tbl>
    <w:p>
      <w:pPr>
        <w:pStyle w:val="BodyText"/>
        <w:spacing w:line="480" w:lineRule="auto"/>
        <w:ind w:firstLine="720"/>
      </w:pPr>
      <w:r>
        <w:t xml:space="preserve">Fit: N = 30 R2 = 0.0973 R2_adj = -0.0069 F = 1.968 F_p = 0.1435</w:t>
      </w:r>
    </w:p>
    <w:bookmarkEnd w:id="171"/>
    <w:bookmarkStart w:id="175" w:name="figure"/>
    <w:p>
      <w:pPr>
        <w:pStyle w:val="Heading3"/>
        <w:spacing w:line="480" w:lineRule="auto"/>
      </w:pPr>
      <w:r>
        <w:t xml:space="preserve">Figure</w:t>
      </w:r>
    </w:p>
    <w:p>
      <w:pPr>
        <w:pStyle w:val="CaptionedFigure"/>
        <w:spacing w:line="480" w:lineRule="auto"/>
      </w:pPr>
      <w:r>
        <w:drawing>
          <wp:inline>
            <wp:extent cx="5669280" cy="3657600"/>
            <wp:effectExtent b="0" l="0" r="0" t="0"/>
            <wp:docPr descr="Figure A.1. Topic-signal score by publication recency, conditioning on citation attention and venue family." title="" id="173" name="Picture"/>
            <a:graphic>
              <a:graphicData uri="http://schemas.openxmlformats.org/drawingml/2006/picture">
                <pic:pic>
                  <pic:nvPicPr>
                    <pic:cNvPr descr="D:/Claude_Code/brain/collegium/candidates/dissertations/SECURITY_DETERRENCE_04/research_papers/p1/paper_fig1.png" id="174" name="Picture"/>
                    <pic:cNvPicPr>
                      <a:picLocks noChangeArrowheads="1" noChangeAspect="1"/>
                    </pic:cNvPicPr>
                  </pic:nvPicPr>
                  <pic:blipFill>
                    <a:blip r:embed="rId172"/>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spacing w:line="480" w:lineRule="auto"/>
      </w:pPr>
      <w:r>
        <w:t xml:space="preserve">Figure A.1. Topic-signal score by publication recency, conditioning on citation attention and venue family.</w:t>
      </w:r>
    </w:p>
    <w:bookmarkEnd w:id="175"/>
    <w:bookmarkStart w:id="176" w:name="data-real-observations"/>
    <w:p>
      <w:pPr>
        <w:pStyle w:val="Heading3"/>
        <w:spacing w:line="480" w:lineRule="auto"/>
      </w:pPr>
      <w:r>
        <w:t xml:space="preserve">Data (real observations)</w:t>
      </w:r>
    </w:p>
    <w:tbl>
      <w:tblPr>
        <w:tblStyle w:val="Table"/>
        <w:tblLook w:firstRow="1" w:lastRow="0" w:firstColumn="0" w:lastColumn="0" w:noHBand="0" w:noVBand="0" w:val="0020"/>
        <w:tblLayout w:type="autofit"/>
        <w:tblW w:w="0" w:type="auto"/>
      </w:tblPr>
      <w:tblGrid>
        <w:gridCol w:w="719"/>
        <w:gridCol w:w="719"/>
        <w:gridCol w:w="719"/>
        <w:gridCol w:w="719"/>
        <w:gridCol w:w="719"/>
        <w:gridCol w:w="719"/>
        <w:gridCol w:w="719"/>
        <w:gridCol w:w="719"/>
        <w:gridCol w:w="719"/>
        <w:gridCol w:w="719"/>
        <w:gridCol w:w="719"/>
      </w:tblGrid>
      <w:tr>
        <w:trPr>
          <w:tblHeader w:val="on"/>
        </w:trPr>
        <w:tc>
          <w:tcPr>
            <w:tcW w:w="0" w:type="auto"/>
          </w:tcPr>
          <w:p>
            <w:pPr>
              <w:spacing w:line="240" w:lineRule="auto" w:before="0" w:after="0"/>
              <w:pStyle w:val="Compact"/>
            </w:pPr>
            <w:r>
              <w:rPr>
                <w:sz w:val="20"/>
                <w:szCs w:val="20"/>
              </w:rPr>
              <w:t xml:space="preserve">doc_id</w:t>
            </w:r>
          </w:p>
        </w:tc>
        <w:tc>
          <w:tcPr>
            <w:tcW w:w="0" w:type="auto"/>
          </w:tcPr>
          <w:p>
            <w:pPr>
              <w:spacing w:line="240" w:lineRule="auto" w:before="0" w:after="0"/>
              <w:pStyle w:val="Compact"/>
            </w:pPr>
            <w:r>
              <w:rPr>
                <w:sz w:val="20"/>
                <w:szCs w:val="20"/>
              </w:rPr>
              <w:t xml:space="preserve">year_num</w:t>
            </w:r>
          </w:p>
        </w:tc>
        <w:tc>
          <w:tcPr>
            <w:tcW w:w="0" w:type="auto"/>
          </w:tcPr>
          <w:p>
            <w:pPr>
              <w:spacing w:line="240" w:lineRule="auto" w:before="0" w:after="0"/>
              <w:pStyle w:val="Compact"/>
            </w:pPr>
            <w:r>
              <w:rPr>
                <w:sz w:val="20"/>
                <w:szCs w:val="20"/>
              </w:rPr>
              <w:t xml:space="preserve">recency_index</w:t>
            </w:r>
          </w:p>
        </w:tc>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venue_score</w:t>
            </w:r>
          </w:p>
        </w:tc>
        <w:tc>
          <w:tcPr>
            <w:tcW w:w="0" w:type="auto"/>
          </w:tcPr>
          <w:p>
            <w:pPr>
              <w:spacing w:line="240" w:lineRule="auto" w:before="0" w:after="0"/>
              <w:pStyle w:val="Compact"/>
            </w:pPr>
            <w:r>
              <w:rPr>
                <w:sz w:val="20"/>
                <w:szCs w:val="20"/>
              </w:rPr>
              <w:t xml:space="preserve">title_words</w:t>
            </w:r>
          </w:p>
        </w:tc>
        <w:tc>
          <w:tcPr>
            <w:tcW w:w="0" w:type="auto"/>
          </w:tcPr>
          <w:p>
            <w:pPr>
              <w:spacing w:line="240" w:lineRule="auto" w:before="0" w:after="0"/>
              <w:pStyle w:val="Compact"/>
            </w:pPr>
            <w:r>
              <w:rPr>
                <w:sz w:val="20"/>
                <w:szCs w:val="20"/>
              </w:rPr>
              <w:t xml:space="preserve">snippet_words</w:t>
            </w:r>
          </w:p>
        </w:tc>
        <w:tc>
          <w:tcPr>
            <w:tcW w:w="0" w:type="auto"/>
          </w:tcPr>
          <w:p>
            <w:pPr>
              <w:spacing w:line="240" w:lineRule="auto" w:before="0" w:after="0"/>
              <w:pStyle w:val="Compact"/>
            </w:pPr>
            <w:r>
              <w:rPr>
                <w:sz w:val="20"/>
                <w:szCs w:val="20"/>
              </w:rPr>
              <w:t xml:space="preserve">keyword_count</w:t>
            </w:r>
          </w:p>
        </w:tc>
        <w:tc>
          <w:tcPr>
            <w:tcW w:w="0" w:type="auto"/>
          </w:tcPr>
          <w:p>
            <w:pPr>
              <w:spacing w:line="240" w:lineRule="auto" w:before="0" w:after="0"/>
              <w:pStyle w:val="Compact"/>
            </w:pPr>
            <w:r>
              <w:rPr>
                <w:sz w:val="20"/>
                <w:szCs w:val="20"/>
              </w:rPr>
              <w:t xml:space="preserve">theme_hits</w:t>
            </w:r>
          </w:p>
        </w:tc>
        <w:tc>
          <w:tcPr>
            <w:tcW w:w="0" w:type="auto"/>
          </w:tcPr>
          <w:p>
            <w:pPr>
              <w:spacing w:line="240" w:lineRule="auto" w:before="0" w:after="0"/>
              <w:pStyle w:val="Compact"/>
            </w:pPr>
            <w:r>
              <w:rPr>
                <w:sz w:val="20"/>
                <w:szCs w:val="20"/>
              </w:rPr>
              <w:t xml:space="preserve">signal_score</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https://amostech.space/year/2020/international-perspectives-on-space-weapons/</w:t>
            </w:r>
          </w:p>
        </w:tc>
      </w:tr>
      <w:tr>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https://amostech.space/year/2020/artificial-intelligence-and-autonomy-in-space-balancing-risks-and-benefits-for-deterrence-and-escalation-control/</w:t>
            </w:r>
          </w:p>
        </w:tc>
      </w:tr>
      <w:tr>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https://amostech.space/year/2018/optimization-of-geosynchronous-space-situational-awareness-architectures-using-parallel-computation/</w:t>
            </w:r>
          </w:p>
        </w:tc>
      </w:tr>
      <w:tr>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https://amostech.space/year/2022/employing-a-shared-space-information-sharing-ecosystem-as-a-mechanism-for-promoting-constructive-u-s-china-space-relations/</w:t>
            </w:r>
          </w:p>
        </w:tc>
      </w:tr>
      <w:tr>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https://amostech.space/year/2015/deploying-the-nasa-meter-class-autonomous-telescope-mcat-on-ascension-island/</w:t>
            </w:r>
          </w:p>
        </w:tc>
      </w:tr>
      <w:tr>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10.64861/HKAM1019</w:t>
            </w:r>
          </w:p>
        </w:tc>
      </w:tr>
      <w:tr>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https://amostech.space/year/2022/sharing-operational-risk-information-in-the-space-domain-to-facilitate-norms-development-and-compliance-monitoring/</w:t>
            </w:r>
          </w:p>
        </w:tc>
      </w:tr>
      <w:tr>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https://amostech.space/year/2019/demonstration-of-shift-scale-and-rotation-invariant-target-recognition-using-polar-mellin-transforms-in-a-hybrid-opto-electronic-correlator/</w:t>
            </w:r>
          </w:p>
        </w:tc>
      </w:tr>
      <w:tr>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10.64861/CXGE3201</w:t>
            </w:r>
          </w:p>
        </w:tc>
      </w:tr>
      <w:tr>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https://amostech.space/year/2022/exploring-a-new-class-of-bright-ultra-fast-glints-from-resident-space-objects/</w:t>
            </w:r>
          </w:p>
        </w:tc>
      </w:tr>
      <w:tr>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2007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https://amostech.space/year/2007/missing-in-action-evaluating-the-putative-absence-of-impacts-by-large-asteroids-and-comets-during-the-quaternary-period/</w:t>
            </w:r>
          </w:p>
        </w:tc>
      </w:tr>
      <w:tr>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10.64861/PFBR4795</w:t>
            </w:r>
          </w:p>
        </w:tc>
      </w:tr>
      <w:tr>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10.1016/j.actaastro.2024.10.063</w:t>
            </w:r>
          </w:p>
        </w:tc>
      </w:tr>
      <w:tr>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10.1016/j.actaastro.2024.09.021</w:t>
            </w:r>
          </w:p>
        </w:tc>
      </w:tr>
      <w:tr>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29</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10.1016/j.actaastro.2017.03.011</w:t>
            </w:r>
          </w:p>
        </w:tc>
      </w:tr>
      <w:tr>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10.1016/j.actaastro.2024.11.021</w:t>
            </w:r>
          </w:p>
        </w:tc>
      </w:tr>
      <w:tr>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10.1016/j.actaastro.2026.01.021</w:t>
            </w:r>
          </w:p>
        </w:tc>
      </w:tr>
      <w:tr>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10.1016/j.actaastro.2022.12.014</w:t>
            </w:r>
          </w:p>
        </w:tc>
      </w:tr>
      <w:tr>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10.1016/j.actaastro.2025.09.031</w:t>
            </w:r>
          </w:p>
        </w:tc>
      </w:tr>
      <w:tr>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10.1016/j.actaastro.2024.06.015</w:t>
            </w:r>
          </w:p>
        </w:tc>
      </w:tr>
      <w:tr>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10.1016/j.actaastro.2024.06.046</w:t>
            </w:r>
          </w:p>
        </w:tc>
      </w:tr>
      <w:tr>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10.1016/j.actaastro.2022.07.042</w:t>
            </w:r>
          </w:p>
        </w:tc>
      </w:tr>
      <w:tr>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10.1016/j.actaastro.2023.01.016</w:t>
            </w:r>
          </w:p>
        </w:tc>
      </w:tr>
      <w:tr>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10.1016/j.actaastro.2025.09.014</w:t>
            </w:r>
          </w:p>
        </w:tc>
      </w:tr>
      <w:tr>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53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Dailey et al. (MITRE/CisLunar) apply circular economy principles to space sustainability, presenting an agent-based economic simulation showing orbital carrying capacity collapse under the tragedy of the commons, and a Metal Propellant Ecosystem (MPE) concept in which defunct satellites are recycled into solid metal propellant in situ to reduce debris and refueling costs.</w:t>
            </w:r>
          </w:p>
        </w:tc>
      </w:tr>
      <w:tr>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Architectural Socio-Technological Transformative Change of Space-Use Norms</w:t>
            </w:r>
          </w:p>
        </w:tc>
      </w:tr>
      <w:tr>
        <w:tc>
          <w:tcPr>
            <w:tcW w:w="0" w:type="auto"/>
          </w:tcPr>
          <w:p>
            <w:pPr>
              <w:spacing w:line="240" w:lineRule="auto" w:before="0" w:after="0"/>
              <w:pStyle w:val="Compact"/>
            </w:pPr>
            <w:r>
              <w:rPr>
                <w:sz w:val="20"/>
                <w:szCs w:val="20"/>
              </w:rPr>
              <w:t xml:space="preserve">27</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Roadmap: Australia Economic-Technological Renaissance in Space</w:t>
            </w:r>
          </w:p>
        </w:tc>
      </w:tr>
      <w:tr>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51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A 2021 Johns Hopkins SAIS doctoral thesis by Nathaniel Dailey proposing an International Space Reference Architecture (ISRA) as a socio-technological transformative mechanism to resolve contemporary space governance failures – orbital debris, policy fragmentation, and space traffic management – by coupling enterprise architecture methodology with international relations constructivist theory, blockchain-enabled information sharing, and norms entrepreneurship.</w:t>
            </w:r>
          </w:p>
        </w:tc>
      </w:tr>
      <w:tr>
        <w:tc>
          <w:tcPr>
            <w:tcW w:w="0" w:type="auto"/>
          </w:tcPr>
          <w:p>
            <w:pPr>
              <w:spacing w:line="240" w:lineRule="auto" w:before="0" w:after="0"/>
              <w:pStyle w:val="Compact"/>
            </w:pPr>
            <w:r>
              <w:rPr>
                <w:sz w:val="20"/>
                <w:szCs w:val="20"/>
              </w:rPr>
              <w:t xml:space="preserve">29</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The Space Imperative (Whole-of-Nation)</w:t>
            </w:r>
          </w:p>
        </w:tc>
      </w:tr>
      <w:tr>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Leveraging Circular Economy for Space Sustainability</w:t>
            </w:r>
          </w:p>
        </w:tc>
      </w:tr>
    </w:tbl>
    <w:bookmarkEnd w:id="176"/>
    <w:bookmarkStart w:id="177" w:name="variable-construction"/>
    <w:p>
      <w:pPr>
        <w:pStyle w:val="Heading3"/>
        <w:spacing w:line="480" w:lineRule="auto"/>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signal_score</w:t>
            </w:r>
          </w:p>
        </w:tc>
        <w:tc>
          <w:tcPr>
            <w:tcW w:w="0" w:type="auto"/>
          </w:tcPr>
          <w:p>
            <w:pPr>
              <w:spacing w:line="240" w:lineRule="auto" w:before="0" w:after="0"/>
              <w:pStyle w:val="Compact"/>
            </w:pPr>
            <w:r>
              <w:rPr>
                <w:sz w:val="20"/>
                <w:szCs w:val="20"/>
              </w:rPr>
              <w:t xml:space="preserve">Composite topic-signal score for each retrieved source record</w:t>
            </w:r>
          </w:p>
        </w:tc>
        <w:tc>
          <w:tcPr>
            <w:tcW w:w="0" w:type="auto"/>
          </w:tcPr>
          <w:p>
            <w:pPr>
              <w:spacing w:line="240" w:lineRule="auto" w:before="0" w:after="0"/>
              <w:pStyle w:val="Compact"/>
            </w:pPr>
            <w:r>
              <w:rPr>
                <w:sz w:val="20"/>
                <w:szCs w:val="20"/>
              </w:rPr>
              <w:t xml:space="preserve">Deterministic count built from candidate-theme term hits in the source title, snippet, keyword field, and author metadata; each row cites the retrieved source in the source column</w:t>
            </w:r>
          </w:p>
        </w:tc>
      </w:tr>
      <w:tr>
        <w:tc>
          <w:tcPr>
            <w:tcW w:w="0" w:type="auto"/>
          </w:tcPr>
          <w:p>
            <w:pPr>
              <w:spacing w:line="240" w:lineRule="auto" w:before="0" w:after="0"/>
              <w:pStyle w:val="Compact"/>
            </w:pPr>
            <w:r>
              <w:rPr>
                <w:sz w:val="20"/>
                <w:szCs w:val="20"/>
              </w:rPr>
              <w:t xml:space="preserve">recency_index</w:t>
            </w:r>
          </w:p>
        </w:tc>
        <w:tc>
          <w:tcPr>
            <w:tcW w:w="0" w:type="auto"/>
          </w:tcPr>
          <w:p>
            <w:pPr>
              <w:spacing w:line="240" w:lineRule="auto" w:before="0" w:after="0"/>
              <w:pStyle w:val="Compact"/>
            </w:pPr>
            <w:r>
              <w:rPr>
                <w:sz w:val="20"/>
                <w:szCs w:val="20"/>
              </w:rPr>
              <w:t xml:space="preserve">Publication recency index</w:t>
            </w:r>
          </w:p>
        </w:tc>
        <w:tc>
          <w:tcPr>
            <w:tcW w:w="0" w:type="auto"/>
          </w:tcPr>
          <w:p>
            <w:pPr>
              <w:spacing w:line="240" w:lineRule="auto" w:before="0" w:after="0"/>
              <w:pStyle w:val="Compact"/>
            </w:pPr>
            <w:r>
              <w:rPr>
                <w:sz w:val="20"/>
                <w:szCs w:val="20"/>
              </w:rPr>
              <w:t xml:space="preserve">Computed as publication year minus the minimum publication year in the paper sample plus one</w:t>
            </w:r>
          </w:p>
        </w:tc>
      </w:tr>
      <w:tr>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Reported citation count in the local brain index</w:t>
            </w:r>
          </w:p>
        </w:tc>
        <w:tc>
          <w:tcPr>
            <w:tcW w:w="0" w:type="auto"/>
          </w:tcPr>
          <w:p>
            <w:pPr>
              <w:spacing w:line="240" w:lineRule="auto" w:before="0" w:after="0"/>
              <w:pStyle w:val="Compact"/>
            </w:pPr>
            <w:r>
              <w:rPr>
                <w:sz w:val="20"/>
                <w:szCs w:val="20"/>
              </w:rPr>
              <w:t xml:space="preserve">Parsed from the local brain search cites field; zero when the index reported no citation count</w:t>
            </w:r>
          </w:p>
        </w:tc>
      </w:tr>
      <w:tr>
        <w:tc>
          <w:tcPr>
            <w:tcW w:w="0" w:type="auto"/>
          </w:tcPr>
          <w:p>
            <w:pPr>
              <w:spacing w:line="240" w:lineRule="auto" w:before="0" w:after="0"/>
              <w:pStyle w:val="Compact"/>
            </w:pPr>
            <w:r>
              <w:rPr>
                <w:sz w:val="20"/>
                <w:szCs w:val="20"/>
              </w:rPr>
              <w:t xml:space="preserve">venue_score</w:t>
            </w:r>
          </w:p>
        </w:tc>
        <w:tc>
          <w:tcPr>
            <w:tcW w:w="0" w:type="auto"/>
          </w:tcPr>
          <w:p>
            <w:pPr>
              <w:spacing w:line="240" w:lineRule="auto" w:before="0" w:after="0"/>
              <w:pStyle w:val="Compact"/>
            </w:pPr>
            <w:r>
              <w:rPr>
                <w:sz w:val="20"/>
                <w:szCs w:val="20"/>
              </w:rPr>
              <w:t xml:space="preserve">Ordinal venue-family score</w:t>
            </w:r>
          </w:p>
        </w:tc>
        <w:tc>
          <w:tcPr>
            <w:tcW w:w="0" w:type="auto"/>
          </w:tcPr>
          <w:p>
            <w:pPr>
              <w:spacing w:line="240" w:lineRule="auto" w:before="0" w:after="0"/>
              <w:pStyle w:val="Compact"/>
            </w:pPr>
            <w:r>
              <w:rPr>
                <w:sz w:val="20"/>
                <w:szCs w:val="20"/>
              </w:rPr>
              <w:t xml:space="preserve">AMOS = 1, Acta Astronautica = 2, Space Economy = 3</w:t>
            </w:r>
          </w:p>
        </w:tc>
      </w:tr>
    </w:tbl>
    <w:bookmarkEnd w:id="177"/>
    <w:bookmarkEnd w:id="178"/>
    <w:bookmarkStart w:id="186" w:name="X158942a3951f9316d5633fe3b1c985446deb456"/>
    <w:p>
      <w:pPr>
        <w:pStyle w:val="Heading2"/>
        <w:spacing w:line="480" w:lineRule="auto"/>
      </w:pPr>
      <w:r>
        <w:t xml:space="preserve">A.2 Attention Accumulation in Sea-Lane Logic in Cislunar Space Does Corbett’s Limited-War Theory Explain Patr: A Learning-Curve Analysis of Citation Growth by Article Age</w:t>
      </w:r>
    </w:p>
    <w:p>
      <w:pPr>
        <w:pStyle w:val="FirstParagraph"/>
        <w:spacing w:line="480" w:lineRule="auto"/>
      </w:pPr>
      <m:oMathPara>
        <m:oMathParaPr>
          <m:jc m:val="center"/>
        </m:oMathParaPr>
        <m:oMath>
          <m:r>
            <m:rPr>
              <m:sty m:val="p"/>
            </m:rPr>
            <m:t>ln</m:t>
          </m:r>
          <m:r>
            <m:rPr>
              <m:sty m:val="p"/>
            </m:rPr>
            <m:t>(</m:t>
          </m:r>
          <m:sSub>
            <m:e>
              <m:r>
                <m:rPr>
                  <m:nor/>
                  <m:sty m:val="p"/>
                </m:rPr>
                <m:t>CitesPlus1</m:t>
              </m:r>
            </m:e>
            <m:sub>
              <m:r>
                <m:t>i</m:t>
              </m:r>
            </m:sub>
          </m:sSub>
          <m:r>
            <m:rPr>
              <m:sty m:val="p"/>
            </m:rPr>
            <m:t>)</m:t>
          </m:r>
          <m:r>
            <m:rPr>
              <m:sty m:val="p"/>
            </m:rPr>
            <m:t>=</m:t>
          </m:r>
          <m:r>
            <m:t>α</m:t>
          </m:r>
          <m:r>
            <m:rPr>
              <m:sty m:val="p"/>
            </m:rPr>
            <m:t>+</m:t>
          </m:r>
          <m:sSub>
            <m:e>
              <m:r>
                <m:t>β</m:t>
              </m:r>
            </m:e>
            <m:sub>
              <m:r>
                <m:t>1</m:t>
              </m:r>
            </m:sub>
          </m:sSub>
          <m:r>
            <m:rPr>
              <m:sty m:val="p"/>
            </m:rPr>
            <m:t>ln</m:t>
          </m:r>
          <m:r>
            <m:rPr>
              <m:sty m:val="p"/>
            </m:rPr>
            <m:t>(</m:t>
          </m:r>
          <m:sSub>
            <m:e>
              <m:r>
                <m:rPr>
                  <m:nor/>
                  <m:sty m:val="p"/>
                </m:rPr>
                <m:t>AgeIndex</m:t>
              </m:r>
            </m:e>
            <m:sub>
              <m:r>
                <m:t>i</m:t>
              </m:r>
            </m:sub>
          </m:sSub>
          <m:r>
            <m:rPr>
              <m:sty m:val="p"/>
            </m:rPr>
            <m:t>)</m:t>
          </m:r>
          <m:r>
            <m:rPr>
              <m:sty m:val="p"/>
            </m:rPr>
            <m:t>+</m:t>
          </m:r>
          <m:sSub>
            <m:e>
              <m:r>
                <m:t>ε</m:t>
              </m:r>
            </m:e>
            <m:sub>
              <m:r>
                <m:t>i</m:t>
              </m:r>
            </m:sub>
          </m:sSub>
        </m:oMath>
      </m:oMathPara>
    </w:p>
    <w:bookmarkStart w:id="179" w:name="estimator-output-1"/>
    <w:p>
      <w:pPr>
        <w:pStyle w:val="Heading3"/>
        <w:spacing w:line="480" w:lineRule="auto"/>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1.3386</w:t>
            </w:r>
          </w:p>
        </w:tc>
        <w:tc>
          <w:tcPr>
            <w:tcW w:w="0" w:type="auto"/>
          </w:tcPr>
          <w:p>
            <w:pPr>
              <w:spacing w:line="240" w:lineRule="auto" w:before="0" w:after="0"/>
              <w:pStyle w:val="Compact"/>
            </w:pPr>
            <w:r>
              <w:rPr>
                <w:sz w:val="20"/>
                <w:szCs w:val="20"/>
              </w:rPr>
              <w:t xml:space="preserve">0.5629</w:t>
            </w:r>
          </w:p>
        </w:tc>
        <w:tc>
          <w:tcPr>
            <w:tcW w:w="0" w:type="auto"/>
          </w:tcPr>
          <w:p>
            <w:pPr>
              <w:spacing w:line="240" w:lineRule="auto" w:before="0" w:after="0"/>
              <w:pStyle w:val="Compact"/>
            </w:pPr>
            <w:r>
              <w:rPr>
                <w:sz w:val="20"/>
                <w:szCs w:val="20"/>
              </w:rPr>
              <w:t xml:space="preserve">2.3778</w:t>
            </w:r>
          </w:p>
        </w:tc>
        <w:tc>
          <w:tcPr>
            <w:tcW w:w="0" w:type="auto"/>
          </w:tcPr>
          <w:p>
            <w:pPr>
              <w:spacing w:line="240" w:lineRule="auto" w:before="0" w:after="0"/>
              <w:pStyle w:val="Compact"/>
            </w:pPr>
            <w:r>
              <w:rPr>
                <w:sz w:val="20"/>
                <w:szCs w:val="20"/>
              </w:rPr>
              <w:t xml:space="preserve">0.0174</w:t>
            </w:r>
          </w:p>
        </w:tc>
        <w:tc>
          <w:tcPr>
            <w:tcW w:w="0" w:type="auto"/>
          </w:tcPr>
          <w:p>
            <w:pPr>
              <w:spacing w:line="240" w:lineRule="auto" w:before="0" w:after="0"/>
              <w:pStyle w:val="Compact"/>
            </w:pPr>
            <w:r>
              <w:rPr>
                <w:sz w:val="20"/>
                <w:szCs w:val="20"/>
              </w:rPr>
              <w:t xml:space="preserve">[0.2352, 2.4419]</w:t>
            </w:r>
          </w:p>
        </w:tc>
      </w:tr>
      <w:tr>
        <w:tc>
          <w:tcPr>
            <w:tcW w:w="0" w:type="auto"/>
          </w:tcPr>
          <w:p>
            <w:pPr>
              <w:spacing w:line="240" w:lineRule="auto" w:before="0" w:after="0"/>
              <w:pStyle w:val="Compact"/>
            </w:pPr>
            <w:r>
              <w:rPr>
                <w:sz w:val="20"/>
                <w:szCs w:val="20"/>
              </w:rPr>
              <w:t xml:space="preserve">_ln_x</w:t>
            </w:r>
          </w:p>
        </w:tc>
        <w:tc>
          <w:tcPr>
            <w:tcW w:w="0" w:type="auto"/>
          </w:tcPr>
          <w:p>
            <w:pPr>
              <w:spacing w:line="240" w:lineRule="auto" w:before="0" w:after="0"/>
              <w:pStyle w:val="Compact"/>
            </w:pPr>
            <w:r>
              <w:rPr>
                <w:sz w:val="20"/>
                <w:szCs w:val="20"/>
              </w:rPr>
              <w:t xml:space="preserve">-0.3421</w:t>
            </w:r>
          </w:p>
        </w:tc>
        <w:tc>
          <w:tcPr>
            <w:tcW w:w="0" w:type="auto"/>
          </w:tcPr>
          <w:p>
            <w:pPr>
              <w:spacing w:line="240" w:lineRule="auto" w:before="0" w:after="0"/>
              <w:pStyle w:val="Compact"/>
            </w:pPr>
            <w:r>
              <w:rPr>
                <w:sz w:val="20"/>
                <w:szCs w:val="20"/>
              </w:rPr>
              <w:t xml:space="preserve">0.3113</w:t>
            </w:r>
          </w:p>
        </w:tc>
        <w:tc>
          <w:tcPr>
            <w:tcW w:w="0" w:type="auto"/>
          </w:tcPr>
          <w:p>
            <w:pPr>
              <w:spacing w:line="240" w:lineRule="auto" w:before="0" w:after="0"/>
              <w:pStyle w:val="Compact"/>
            </w:pPr>
            <w:r>
              <w:rPr>
                <w:sz w:val="20"/>
                <w:szCs w:val="20"/>
              </w:rPr>
              <w:t xml:space="preserve">-1.099</w:t>
            </w:r>
          </w:p>
        </w:tc>
        <w:tc>
          <w:tcPr>
            <w:tcW w:w="0" w:type="auto"/>
          </w:tcPr>
          <w:p>
            <w:pPr>
              <w:spacing w:line="240" w:lineRule="auto" w:before="0" w:after="0"/>
              <w:pStyle w:val="Compact"/>
            </w:pPr>
            <w:r>
              <w:rPr>
                <w:sz w:val="20"/>
                <w:szCs w:val="20"/>
              </w:rPr>
              <w:t xml:space="preserve">0.2717</w:t>
            </w:r>
          </w:p>
        </w:tc>
        <w:tc>
          <w:tcPr>
            <w:tcW w:w="0" w:type="auto"/>
          </w:tcPr>
          <w:p>
            <w:pPr>
              <w:spacing w:line="240" w:lineRule="auto" w:before="0" w:after="0"/>
              <w:pStyle w:val="Compact"/>
            </w:pPr>
            <w:r>
              <w:rPr>
                <w:sz w:val="20"/>
                <w:szCs w:val="20"/>
              </w:rPr>
              <w:t xml:space="preserve">[-0.9522, 0.268]</w:t>
            </w:r>
          </w:p>
        </w:tc>
      </w:tr>
    </w:tbl>
    <w:p>
      <w:pPr>
        <w:pStyle w:val="BodyText"/>
        <w:spacing w:line="480" w:lineRule="auto"/>
        <w:ind w:firstLine="720"/>
      </w:pPr>
      <w:r>
        <w:t xml:space="preserve">Fit: N = 30 R2 = 0.0321 elasticity_b = -0.3421 progress_ratio_2^b = 0.7889</w:t>
      </w:r>
    </w:p>
    <w:bookmarkEnd w:id="179"/>
    <w:bookmarkStart w:id="183" w:name="figure-1"/>
    <w:p>
      <w:pPr>
        <w:pStyle w:val="Heading3"/>
        <w:spacing w:line="480" w:lineRule="auto"/>
      </w:pPr>
      <w:r>
        <w:t xml:space="preserve">Figure</w:t>
      </w:r>
    </w:p>
    <w:p>
      <w:pPr>
        <w:pStyle w:val="CaptionedFigure"/>
        <w:spacing w:line="480" w:lineRule="auto"/>
      </w:pPr>
      <w:r>
        <w:drawing>
          <wp:inline>
            <wp:extent cx="5669280" cy="3657600"/>
            <wp:effectExtent b="0" l="0" r="0" t="0"/>
            <wp:docPr descr="Figure A.2. Citation accumulation against article age in the retrieved topic literature." title="" id="181" name="Picture"/>
            <a:graphic>
              <a:graphicData uri="http://schemas.openxmlformats.org/drawingml/2006/picture">
                <pic:pic>
                  <pic:nvPicPr>
                    <pic:cNvPr descr="D:/Claude_Code/brain/collegium/candidates/dissertations/SECURITY_DETERRENCE_04/research_papers/p2/paper_fig1.png" id="182" name="Picture"/>
                    <pic:cNvPicPr>
                      <a:picLocks noChangeArrowheads="1" noChangeAspect="1"/>
                    </pic:cNvPicPr>
                  </pic:nvPicPr>
                  <pic:blipFill>
                    <a:blip r:embed="rId180"/>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spacing w:line="480" w:lineRule="auto"/>
      </w:pPr>
      <w:r>
        <w:t xml:space="preserve">Figure A.2. Citation accumulation against article age in the retrieved topic literature.</w:t>
      </w:r>
    </w:p>
    <w:bookmarkEnd w:id="183"/>
    <w:bookmarkStart w:id="184" w:name="data-real-observations-1"/>
    <w:p>
      <w:pPr>
        <w:pStyle w:val="Heading3"/>
        <w:spacing w:line="480" w:lineRule="auto"/>
      </w:pPr>
      <w:r>
        <w:t xml:space="preserve">Data (real observations)</w:t>
      </w:r>
    </w:p>
    <w:tbl>
      <w:tblPr>
        <w:tblStyle w:val="Table"/>
        <w:tblLook w:firstRow="1" w:lastRow="0" w:firstColumn="0" w:lastColumn="0" w:noHBand="0" w:noVBand="0" w:val="0020"/>
        <w:tblLayout w:type="autofit"/>
        <w:tblW w:w="0" w:type="auto"/>
      </w:tblPr>
      <w:tblGrid>
        <w:gridCol w:w="1131"/>
        <w:gridCol w:w="1131"/>
        <w:gridCol w:w="1131"/>
        <w:gridCol w:w="1131"/>
        <w:gridCol w:w="1131"/>
        <w:gridCol w:w="1131"/>
        <w:gridCol w:w="1131"/>
      </w:tblGrid>
      <w:tr>
        <w:trPr>
          <w:tblHeader w:val="on"/>
        </w:trPr>
        <w:tc>
          <w:tcPr>
            <w:tcW w:w="0" w:type="auto"/>
          </w:tcPr>
          <w:p>
            <w:pPr>
              <w:spacing w:line="240" w:lineRule="auto" w:before="0" w:after="0"/>
              <w:pStyle w:val="Compact"/>
            </w:pPr>
            <w:r>
              <w:rPr>
                <w:sz w:val="20"/>
                <w:szCs w:val="20"/>
              </w:rPr>
              <w:t xml:space="preserve">doc_id</w:t>
            </w:r>
          </w:p>
        </w:tc>
        <w:tc>
          <w:tcPr>
            <w:tcW w:w="0" w:type="auto"/>
          </w:tcPr>
          <w:p>
            <w:pPr>
              <w:spacing w:line="240" w:lineRule="auto" w:before="0" w:after="0"/>
              <w:pStyle w:val="Compact"/>
            </w:pPr>
            <w:r>
              <w:rPr>
                <w:sz w:val="20"/>
                <w:szCs w:val="20"/>
              </w:rPr>
              <w:t xml:space="preserve">year_num</w:t>
            </w:r>
          </w:p>
        </w:tc>
        <w:tc>
          <w:tcPr>
            <w:tcW w:w="0" w:type="auto"/>
          </w:tcPr>
          <w:p>
            <w:pPr>
              <w:spacing w:line="240" w:lineRule="auto" w:before="0" w:after="0"/>
              <w:pStyle w:val="Compact"/>
            </w:pPr>
            <w:r>
              <w:rPr>
                <w:sz w:val="20"/>
                <w:szCs w:val="20"/>
              </w:rPr>
              <w:t xml:space="preserve">age_index</w:t>
            </w:r>
          </w:p>
        </w:tc>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cites_plus1</w:t>
            </w:r>
          </w:p>
        </w:tc>
        <w:tc>
          <w:tcPr>
            <w:tcW w:w="0" w:type="auto"/>
          </w:tcPr>
          <w:p>
            <w:pPr>
              <w:spacing w:line="240" w:lineRule="auto" w:before="0" w:after="0"/>
              <w:pStyle w:val="Compact"/>
            </w:pPr>
            <w:r>
              <w:rPr>
                <w:sz w:val="20"/>
                <w:szCs w:val="20"/>
              </w:rPr>
              <w:t xml:space="preserve">signal_score</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https://amostech.space/year/2020/international-perspectives-on-space-weapons/</w:t>
            </w:r>
          </w:p>
        </w:tc>
      </w:tr>
      <w:tr>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https://amostech.space/year/2020/artificial-intelligence-and-autonomy-in-space-balancing-risks-and-benefits-for-deterrence-and-escalation-control/</w:t>
            </w:r>
          </w:p>
        </w:tc>
      </w:tr>
      <w:tr>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https://amostech.space/year/2018/optimization-of-geosynchronous-space-situational-awareness-architectures-using-parallel-computation/</w:t>
            </w:r>
          </w:p>
        </w:tc>
      </w:tr>
      <w:tr>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https://amostech.space/year/2022/employing-a-shared-space-information-sharing-ecosystem-as-a-mechanism-for-promoting-constructive-u-s-china-space-relations/</w:t>
            </w:r>
          </w:p>
        </w:tc>
      </w:tr>
      <w:tr>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https://amostech.space/year/2015/deploying-the-nasa-meter-class-autonomous-telescope-mcat-on-ascension-island/</w:t>
            </w:r>
          </w:p>
        </w:tc>
      </w:tr>
      <w:tr>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10.64861/HKAM1019</w:t>
            </w:r>
          </w:p>
        </w:tc>
      </w:tr>
      <w:tr>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https://amostech.space/year/2022/sharing-operational-risk-information-in-the-space-domain-to-facilitate-norms-development-and-compliance-monitoring/</w:t>
            </w:r>
          </w:p>
        </w:tc>
      </w:tr>
      <w:tr>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https://amostech.space/year/2019/demonstration-of-shift-scale-and-rotation-invariant-target-recognition-using-polar-mellin-transforms-in-a-hybrid-opto-electronic-correlator/</w:t>
            </w:r>
          </w:p>
        </w:tc>
      </w:tr>
      <w:tr>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10.64861/CXGE3201</w:t>
            </w:r>
          </w:p>
        </w:tc>
      </w:tr>
      <w:tr>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https://amostech.space/year/2022/exploring-a-new-class-of-bright-ultra-fast-glints-from-resident-space-objects/</w:t>
            </w:r>
          </w:p>
        </w:tc>
      </w:tr>
      <w:tr>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2007</w:t>
            </w:r>
          </w:p>
        </w:tc>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https://amostech.space/year/2007/missing-in-action-evaluating-the-putative-absence-of-impacts-by-large-asteroids-and-comets-during-the-quaternary-period/</w:t>
            </w:r>
          </w:p>
        </w:tc>
      </w:tr>
      <w:tr>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10.64861/PFBR4795</w:t>
            </w:r>
          </w:p>
        </w:tc>
      </w:tr>
      <w:tr>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10.1016/j.actaastro.2024.10.063</w:t>
            </w:r>
          </w:p>
        </w:tc>
      </w:tr>
      <w:tr>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10.1016/j.actaastro.2024.09.021</w:t>
            </w:r>
          </w:p>
        </w:tc>
      </w:tr>
      <w:tr>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29</w:t>
            </w:r>
          </w:p>
        </w:tc>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10.1016/j.actaastro.2017.03.011</w:t>
            </w:r>
          </w:p>
        </w:tc>
      </w:tr>
      <w:tr>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10.1016/j.actaastro.2024.11.021</w:t>
            </w:r>
          </w:p>
        </w:tc>
      </w:tr>
      <w:tr>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10.1016/j.actaastro.2026.01.021</w:t>
            </w:r>
          </w:p>
        </w:tc>
      </w:tr>
      <w:tr>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10.1016/j.actaastro.2022.12.014</w:t>
            </w:r>
          </w:p>
        </w:tc>
      </w:tr>
      <w:tr>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10.1016/j.actaastro.2025.09.031</w:t>
            </w:r>
          </w:p>
        </w:tc>
      </w:tr>
      <w:tr>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31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10.1016/j.actaastro.2024.06.015</w:t>
            </w:r>
          </w:p>
        </w:tc>
      </w:tr>
      <w:tr>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10.1016/j.actaastro.2024.06.046</w:t>
            </w:r>
          </w:p>
        </w:tc>
      </w:tr>
      <w:tr>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10.1016/j.actaastro.2022.07.042</w:t>
            </w:r>
          </w:p>
        </w:tc>
      </w:tr>
      <w:tr>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10.1016/j.actaastro.2023.01.016</w:t>
            </w:r>
          </w:p>
        </w:tc>
      </w:tr>
      <w:tr>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10.1016/j.actaastro.2025.09.014</w:t>
            </w:r>
          </w:p>
        </w:tc>
      </w:tr>
      <w:tr>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Dailey et al. (MITRE/CisLunar) apply circular economy principles to space sustainability, presenting an agent-based economic simulation showing orbital carrying capacity collapse under the tragedy of the commons, and a Metal Propellant Ecosystem (MPE) concept in which defunct satellites are recycled into solid metal propellant in situ to reduce debris and refueling costs.</w:t>
            </w:r>
          </w:p>
        </w:tc>
      </w:tr>
      <w:tr>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Architectural Socio-Technological Transformative Change of Space-Use Norms</w:t>
            </w:r>
          </w:p>
        </w:tc>
      </w:tr>
      <w:tr>
        <w:tc>
          <w:tcPr>
            <w:tcW w:w="0" w:type="auto"/>
          </w:tcPr>
          <w:p>
            <w:pPr>
              <w:spacing w:line="240" w:lineRule="auto" w:before="0" w:after="0"/>
              <w:pStyle w:val="Compact"/>
            </w:pPr>
            <w:r>
              <w:rPr>
                <w:sz w:val="20"/>
                <w:szCs w:val="20"/>
              </w:rPr>
              <w:t xml:space="preserve">27</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Roadmap: Australia Economic-Technological Renaissance in Space</w:t>
            </w:r>
          </w:p>
        </w:tc>
      </w:tr>
      <w:tr>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A 2021 Johns Hopkins SAIS doctoral thesis by Nathaniel Dailey proposing an International Space Reference Architecture (ISRA) as a socio-technological transformative mechanism to resolve contemporary space governance failures – orbital debris, policy fragmentation, and space traffic management – by coupling enterprise architecture methodology with international relations constructivist theory, blockchain-enabled information sharing, and norms entrepreneurship.</w:t>
            </w:r>
          </w:p>
        </w:tc>
      </w:tr>
      <w:tr>
        <w:tc>
          <w:tcPr>
            <w:tcW w:w="0" w:type="auto"/>
          </w:tcPr>
          <w:p>
            <w:pPr>
              <w:spacing w:line="240" w:lineRule="auto" w:before="0" w:after="0"/>
              <w:pStyle w:val="Compact"/>
            </w:pPr>
            <w:r>
              <w:rPr>
                <w:sz w:val="20"/>
                <w:szCs w:val="20"/>
              </w:rPr>
              <w:t xml:space="preserve">29</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The Space Imperative (Whole-of-Nation)</w:t>
            </w:r>
          </w:p>
        </w:tc>
      </w:tr>
      <w:tr>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Leveraging Circular Economy for Space Sustainability</w:t>
            </w:r>
          </w:p>
        </w:tc>
      </w:tr>
    </w:tbl>
    <w:bookmarkEnd w:id="184"/>
    <w:bookmarkStart w:id="185" w:name="variable-construction-1"/>
    <w:p>
      <w:pPr>
        <w:pStyle w:val="Heading3"/>
        <w:spacing w:line="480" w:lineRule="auto"/>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cites_plus1</w:t>
            </w:r>
          </w:p>
        </w:tc>
        <w:tc>
          <w:tcPr>
            <w:tcW w:w="0" w:type="auto"/>
          </w:tcPr>
          <w:p>
            <w:pPr>
              <w:spacing w:line="240" w:lineRule="auto" w:before="0" w:after="0"/>
              <w:pStyle w:val="Compact"/>
            </w:pPr>
            <w:r>
              <w:rPr>
                <w:sz w:val="20"/>
                <w:szCs w:val="20"/>
              </w:rPr>
              <w:t xml:space="preserve">Citation count plus one</w:t>
            </w:r>
          </w:p>
        </w:tc>
        <w:tc>
          <w:tcPr>
            <w:tcW w:w="0" w:type="auto"/>
          </w:tcPr>
          <w:p>
            <w:pPr>
              <w:spacing w:line="240" w:lineRule="auto" w:before="0" w:after="0"/>
              <w:pStyle w:val="Compact"/>
            </w:pPr>
            <w:r>
              <w:rPr>
                <w:sz w:val="20"/>
                <w:szCs w:val="20"/>
              </w:rPr>
              <w:t xml:space="preserve">Computed as the reported citation count from the local brain index plus one so the log transformation is defined for uncited records</w:t>
            </w:r>
          </w:p>
        </w:tc>
      </w:tr>
      <w:tr>
        <w:tc>
          <w:tcPr>
            <w:tcW w:w="0" w:type="auto"/>
          </w:tcPr>
          <w:p>
            <w:pPr>
              <w:spacing w:line="240" w:lineRule="auto" w:before="0" w:after="0"/>
              <w:pStyle w:val="Compact"/>
            </w:pPr>
            <w:r>
              <w:rPr>
                <w:sz w:val="20"/>
                <w:szCs w:val="20"/>
              </w:rPr>
              <w:t xml:space="preserve">age_index</w:t>
            </w:r>
          </w:p>
        </w:tc>
        <w:tc>
          <w:tcPr>
            <w:tcW w:w="0" w:type="auto"/>
          </w:tcPr>
          <w:p>
            <w:pPr>
              <w:spacing w:line="240" w:lineRule="auto" w:before="0" w:after="0"/>
              <w:pStyle w:val="Compact"/>
            </w:pPr>
            <w:r>
              <w:rPr>
                <w:sz w:val="20"/>
                <w:szCs w:val="20"/>
              </w:rPr>
              <w:t xml:space="preserve">Document age index</w:t>
            </w:r>
          </w:p>
        </w:tc>
        <w:tc>
          <w:tcPr>
            <w:tcW w:w="0" w:type="auto"/>
          </w:tcPr>
          <w:p>
            <w:pPr>
              <w:spacing w:line="240" w:lineRule="auto" w:before="0" w:after="0"/>
              <w:pStyle w:val="Compact"/>
            </w:pPr>
            <w:r>
              <w:rPr>
                <w:sz w:val="20"/>
                <w:szCs w:val="20"/>
              </w:rPr>
              <w:t xml:space="preserve">Computed as 2026 minus publication year plus one</w:t>
            </w:r>
          </w:p>
        </w:tc>
      </w:tr>
    </w:tbl>
    <w:bookmarkEnd w:id="185"/>
    <w:bookmarkEnd w:id="186"/>
    <w:bookmarkEnd w:id="187"/>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updateFields w:val="tru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line="240" w:lineRule="auto"/>
      <w:ind w:left="380"/>
    </w:pPr>
    <w:rPr>
      <w:rFonts w:ascii="Arial" w:cs="Arial" w:eastAsia="Arial" w:hAnsi="Arial"/>
      <w:b/>
      <w:bCs/>
      <w:sz w:val="20"/>
      <w:szCs w:val="20"/>
    </w:rPr>
  </w:style>
  <w:style w:styleId="TOC2" w:type="paragraph">
    <w:name w:val="toc 2"/>
    <w:basedOn w:val="Normal"/>
    <w:uiPriority w:val="1"/>
    <w:qFormat/>
    <w:pPr>
      <w:spacing w:line="240" w:lineRule="auto"/>
      <w:ind w:left="620"/>
    </w:pPr>
    <w:rPr>
      <w:rFonts w:ascii="Arial" w:cs="Arial" w:eastAsia="Arial" w:hAnsi="Arial"/>
      <w:sz w:val="20"/>
      <w:szCs w:val="20"/>
    </w:rPr>
  </w:style>
  <w:style w:styleId="TOC3" w:type="paragraph">
    <w:name w:val="toc 3"/>
    <w:basedOn w:val="Normal"/>
    <w:uiPriority w:val="1"/>
    <w:qFormat/>
    <w:pPr>
      <w:spacing w:line="240" w:lineRule="auto"/>
      <w:ind w:left="620"/>
    </w:pPr>
    <w:rPr>
      <w:rFonts w:ascii="Arial" w:cs="Arial" w:eastAsia="Arial" w:hAnsi="Arial"/>
      <w:sz w:val="16"/>
      <w:szCs w:val="16"/>
    </w:rPr>
  </w:style>
  <w:style w:styleId="TOC4" w:type="paragraph">
    <w:name w:val="toc 4"/>
    <w:basedOn w:val="Normal"/>
    <w:uiPriority w:val="1"/>
    <w:qFormat/>
    <w:pPr>
      <w:spacing w:line="240" w:lineRule="auto"/>
      <w:ind w:left="620"/>
    </w:pPr>
    <w:rPr>
      <w:rFonts w:ascii="Arial" w:cs="Arial" w:eastAsia="Arial" w:hAnsi="Arial"/>
      <w:b/>
      <w:bCs/>
      <w:i/>
    </w:rPr>
  </w:style>
  <w:style w:styleId="TOC5" w:type="paragraph">
    <w:name w:val="toc 5"/>
    <w:basedOn w:val="Normal"/>
    <w:uiPriority w:val="1"/>
    <w:qFormat/>
    <w:pPr>
      <w:spacing w:line="240" w:lineRule="auto"/>
      <w:ind w:left="860"/>
    </w:pPr>
    <w:rPr>
      <w:rFonts w:ascii="Arial" w:cs="Arial" w:eastAsia="Arial" w:hAnsi="Arial"/>
      <w:i/>
      <w:sz w:val="20"/>
      <w:szCs w:val="20"/>
    </w:rPr>
  </w:style>
  <w:style w:styleId="BodyText" w:type="paragraph">
    <w:name w:val="Body Text"/>
    <w:basedOn w:val="Normal"/>
    <w:uiPriority w:val="1"/>
    <w:qFormat/>
    <w:pPr>
      <w:spacing w:line="480" w:lineRule="auto"/>
      <w:ind w:firstLine="72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b/>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i/>
      <w:color w:val="5e5e5e"/>
      <w:shd w:val="clear" w:fill="f1f3f5"/>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i/>
      <w:color w:val="5e5e5e"/>
      <w:shd w:val="clear" w:fill="f1f3f5"/>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b/>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i/>
      <w:color w:val="5e5e5e"/>
      <w:shd w:val="clear" w:fill="f1f3f5"/>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60" Type="http://schemas.openxmlformats.org/officeDocument/2006/relationships/numbering" Target="numbering.xml"/><Relationship Id="rId59" Type="http://schemas.openxmlformats.org/officeDocument/2006/relationships/styles" Target="styles.xml"/><Relationship Id="rId58" Type="http://schemas.openxmlformats.org/officeDocument/2006/relationships/settings" Target="settings.xml"/><Relationship Id="rId57" Type="http://schemas.openxmlformats.org/officeDocument/2006/relationships/webSettings" Target="webSettings.xml"/><Relationship Id="rId56" Type="http://schemas.openxmlformats.org/officeDocument/2006/relationships/fontTable" Target="fontTable.xml"/><Relationship Id="rId55" Type="http://schemas.openxmlformats.org/officeDocument/2006/relationships/theme" Target="theme/theme1.xml"/><Relationship Id="rId54" Type="http://schemas.openxmlformats.org/officeDocument/2006/relationships/footnotes" Target="footnotes.xml"/><Relationship Id="rId53" Type="http://schemas.openxmlformats.org/officeDocument/2006/relationships/comments" Target="comment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png"/><Relationship Id="rId21" Type="http://schemas.openxmlformats.org/officeDocument/2006/relationships/image" Target="media/image13.png"/><Relationship Id="rId50" Type="http://schemas.openxmlformats.org/officeDocument/2006/relationships/image" Target="media/image23.png"/><Relationship Id="rId7" Type="http://schemas.openxmlformats.org/officeDocument/2006/relationships/footer" Target="footer1.xml"/><Relationship Id="rId16" Type="http://schemas.openxmlformats.org/officeDocument/2006/relationships/image" Target="media/image8.jpeg"/><Relationship Id="rId29" Type="http://schemas.openxmlformats.org/officeDocument/2006/relationships/image" Target="media/image20.png"/><Relationship Id="rId11" Type="http://schemas.openxmlformats.org/officeDocument/2006/relationships/image" Target="media/image3.png"/><Relationship Id="rId24" Type="http://schemas.openxmlformats.org/officeDocument/2006/relationships/image" Target="media/image16.png"/><Relationship Id="rId19" Type="http://schemas.openxmlformats.org/officeDocument/2006/relationships/image" Target="media/image11.png"/><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8.png"/><Relationship Id="rId30" Type="http://schemas.openxmlformats.org/officeDocument/2006/relationships/image" Target="media/image21.png"/><Relationship Id="rId8" Type="http://schemas.openxmlformats.org/officeDocument/2006/relationships/footer" Target="footer2.xml"/><Relationship Id="rId51" Type="http://schemas.openxmlformats.org/officeDocument/2006/relationships/image" Target="media/image24.jpeg"/><Relationship Id="rId12" Type="http://schemas.openxmlformats.org/officeDocument/2006/relationships/image" Target="media/image4.png"/><Relationship Id="rId17" Type="http://schemas.openxmlformats.org/officeDocument/2006/relationships/image" Target="media/image9.png"/><Relationship Id="rId20" Type="http://schemas.openxmlformats.org/officeDocument/2006/relationships/image" Target="media/image12.png"/><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19.jpeg"/><Relationship Id="rId10" Type="http://schemas.openxmlformats.org/officeDocument/2006/relationships/image" Target="media/image2.jpeg"/><Relationship Id="rId31" Type="http://schemas.openxmlformats.org/officeDocument/2006/relationships/image" Target="media/image22.png"/><Relationship Id="rId52" Type="http://schemas.openxmlformats.org/officeDocument/2006/relationships/image" Target="media/image25.jpeg"/><Relationship Id="rId172" Type="http://schemas.openxmlformats.org/officeDocument/2006/relationships/image" Target="media/rId172.png"/><Relationship Id="rId180" Type="http://schemas.openxmlformats.org/officeDocument/2006/relationships/image" Target="media/rId180.png"/><Relationship Id="rId160" Type="http://schemas.openxmlformats.org/officeDocument/2006/relationships/hyperlink" Target="https://doi.org/10.1016/j.actaastro.2016.03.003" TargetMode="External"/><Relationship Id="rId168" Type="http://schemas.openxmlformats.org/officeDocument/2006/relationships/hyperlink" Target="https://doi.org/10.1016/j.actaastro.2020.06.041" TargetMode="External"/><Relationship Id="rId164" Type="http://schemas.openxmlformats.org/officeDocument/2006/relationships/hyperlink" Target="https://doi.org/10.1016/j.actaastro.2020.11.028" TargetMode="External"/><Relationship Id="rId156" Type="http://schemas.openxmlformats.org/officeDocument/2006/relationships/hyperlink" Target="https://doi.org/10.1016/j.actaastro.2022.07.042" TargetMode="External"/><Relationship Id="rId158" Type="http://schemas.openxmlformats.org/officeDocument/2006/relationships/hyperlink" Target="https://doi.org/10.1016/j.actaastro.2024.09.021" TargetMode="External"/><Relationship Id="rId166" Type="http://schemas.openxmlformats.org/officeDocument/2006/relationships/hyperlink" Target="https://doi.org/10.1016/j.actaastro.2025.02.046" TargetMode="External"/><Relationship Id="rId154" Type="http://schemas.openxmlformats.org/officeDocument/2006/relationships/hyperlink" Target="https://doi.org/10.1016/j.actaastro.2025.09.031" TargetMode="External"/><Relationship Id="rId162" Type="http://schemas.openxmlformats.org/officeDocument/2006/relationships/hyperlink" Target="https://doi.org/10.1016/j.actaastro.2026.01.005" TargetMode="External"/><Relationship Id="rId149" Type="http://schemas.openxmlformats.org/officeDocument/2006/relationships/hyperlink" Target="https://doi.org/10.64861/PFBR4795" TargetMode="External"/><Relationship Id="rId152" Type="http://schemas.openxmlformats.org/officeDocument/2006/relationships/hyperlink" Target="https://doi.org/10.64861/QYAX9070" TargetMode="External"/></Relationships>
</file>

<file path=word/_rels/footnotes.xml.rels><?xml version='1.0' encoding='UTF-8' standalone='yes'?>
<Relationships xmlns="http://schemas.openxmlformats.org/package/2006/relationships"><Relationship Id="rId160" Type="http://schemas.openxmlformats.org/officeDocument/2006/relationships/hyperlink" Target="https://doi.org/10.1016/j.actaastro.2016.03.003" TargetMode="External"/><Relationship Id="rId168" Type="http://schemas.openxmlformats.org/officeDocument/2006/relationships/hyperlink" Target="https://doi.org/10.1016/j.actaastro.2020.06.041" TargetMode="External"/><Relationship Id="rId164" Type="http://schemas.openxmlformats.org/officeDocument/2006/relationships/hyperlink" Target="https://doi.org/10.1016/j.actaastro.2020.11.028" TargetMode="External"/><Relationship Id="rId156" Type="http://schemas.openxmlformats.org/officeDocument/2006/relationships/hyperlink" Target="https://doi.org/10.1016/j.actaastro.2022.07.042" TargetMode="External"/><Relationship Id="rId158" Type="http://schemas.openxmlformats.org/officeDocument/2006/relationships/hyperlink" Target="https://doi.org/10.1016/j.actaastro.2024.09.021" TargetMode="External"/><Relationship Id="rId166" Type="http://schemas.openxmlformats.org/officeDocument/2006/relationships/hyperlink" Target="https://doi.org/10.1016/j.actaastro.2025.02.046" TargetMode="External"/><Relationship Id="rId154" Type="http://schemas.openxmlformats.org/officeDocument/2006/relationships/hyperlink" Target="https://doi.org/10.1016/j.actaastro.2025.09.031" TargetMode="External"/><Relationship Id="rId162" Type="http://schemas.openxmlformats.org/officeDocument/2006/relationships/hyperlink" Target="https://doi.org/10.1016/j.actaastro.2026.01.005" TargetMode="External"/><Relationship Id="rId149" Type="http://schemas.openxmlformats.org/officeDocument/2006/relationships/hyperlink" Target="https://doi.org/10.64861/PFBR4795" TargetMode="External"/><Relationship Id="rId152" Type="http://schemas.openxmlformats.org/officeDocument/2006/relationships/hyperlink" Target="https://doi.org/10.64861/QYAX907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Sea-Lane Logic in Cislunar Space: Does Corbett’s Limited-War Theory Explain Patr</dc:title>
  <dc:creator>Liv Ramos (1B-SEC-229)</dc:creator>
  <cp:keywords/>
  <dcterms:created xsi:type="dcterms:W3CDTF">2026-07-02T21:53:02Z</dcterms:created>
  <dcterms:modified xsi:type="dcterms:W3CDTF">2026-07-02T21:53:02Z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s">
    <vt:lpwstr/>
  </property>
  <property fmtid="{D5CDD505-2E9C-101B-9397-08002B2CF9AE}" pid="3" name="biblio-config">
    <vt:lpwstr>True</vt:lpwstr>
  </property>
  <property fmtid="{D5CDD505-2E9C-101B-9397-08002B2CF9AE}" pid="4" name="by-author">
    <vt:lpwstr/>
  </property>
  <property fmtid="{D5CDD505-2E9C-101B-9397-08002B2CF9AE}" pid="5" name="date">
    <vt:lpwstr>2025-12-31</vt:lpwstr>
  </property>
  <property fmtid="{D5CDD505-2E9C-101B-9397-08002B2CF9AE}" pid="6" name="engines">
    <vt:lpwstr/>
  </property>
  <property fmtid="{D5CDD505-2E9C-101B-9397-08002B2CF9AE}" pid="7" name="execute">
    <vt:lpwstr/>
  </property>
  <property fmtid="{D5CDD505-2E9C-101B-9397-08002B2CF9AE}" pid="8" name="header-includes">
    <vt:lpwstr/>
  </property>
  <property fmtid="{D5CDD505-2E9C-101B-9397-08002B2CF9AE}" pid="9" name="include-after">
    <vt:lpwstr/>
  </property>
  <property fmtid="{D5CDD505-2E9C-101B-9397-08002B2CF9AE}" pid="10" name="include-before">
    <vt:lpwstr/>
  </property>
  <property fmtid="{D5CDD505-2E9C-101B-9397-08002B2CF9AE}" pid="11" name="labels">
    <vt:lpwstr/>
  </property>
  <property fmtid="{D5CDD505-2E9C-101B-9397-08002B2CF9AE}" pid="12" name="toc-title">
    <vt:lpwstr>Table of contents</vt:lpwstr>
  </property>
</Properties>
</file>