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d2f5bb975a7b522ea14f0acda99f265f2fb9021"/>
    <w:p>
      <w:pPr>
        <w:pStyle w:val="Heading1"/>
      </w:pPr>
      <w:r>
        <w:t xml:space="preserve">Attention Accumulation in Orbital Chokepoints and Sea-Power Analogy Does Mahanian Concentration Theory Pr: A Learning-Curve Analysis of Citation Growth by Article Age</w:t>
      </w:r>
    </w:p>
    <w:bookmarkStart w:id="61" w:name="introduction"/>
    <w:p>
      <w:pPr>
        <w:pStyle w:val="Heading2"/>
      </w:pPr>
      <w:r>
        <w:t xml:space="preserve">1. Introduction</w:t>
      </w:r>
    </w:p>
    <w:p>
      <w:pPr>
        <w:pStyle w:val="FirstParagraph"/>
      </w:pPr>
      <w:r>
        <w:t xml:space="preserve">This empirical paper supports Samir Dubois (1B-SEC-216) and the dissertation project</w:t>
      </w:r>
      <w:r>
        <w:t xml:space="preserve"> </w:t>
      </w:r>
      <w:r>
        <w:rPr>
          <w:i/>
          <w:iCs/>
        </w:rPr>
        <w:t xml:space="preserve">Orbital Chokepoints and Sea-Power Analogy: Does Mahanian Concentration Theory Pr</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R2=0.007910070722814244, elasticity_b=-0.1575698525896248, progress_ratio_2^b=0.8965339662252612. The exact term summary is: const coef=1.023286080233003 p=0.038817210471068744; _ln_x coef=-0.1575698525896248 p=0.5484252513295753.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9" w:name="references"/>
    <w:p>
      <w:pPr>
        <w:pStyle w:val="Heading2"/>
      </w:pPr>
      <w:r>
        <w:t xml:space="preserve">References</w:t>
      </w:r>
    </w:p>
    <w:p>
      <w:pPr>
        <w:pStyle w:val="FirstParagraph"/>
      </w:pPr>
      <w:bookmarkStart w:id="67" w:name="ref-1"/>
      <w:bookmarkEnd w:id="67"/>
      <w:r>
        <w:t xml:space="preserve">1. Evangelina Evans, University of Colorado at Boulder; Marcus Holzinger, University of Colorado at Boulder; Daniel Scheeres, University of Colorado at Boulder. An Investigation of Impulsive-Maneuver Transfers from L3, L4 and L5 to Earth-Orbit (2024). doi:</w:t>
      </w:r>
      <w:r>
        <w:t xml:space="preserve"> </w:t>
      </w:r>
      <w:hyperlink r:id="rId68">
        <w:r>
          <w:rPr>
            <w:rStyle w:val="Hyperlink"/>
          </w:rPr>
          <w:t xml:space="preserve">10.64861/QVXH2118</w:t>
        </w:r>
      </w:hyperlink>
      <w:r>
        <w:t xml:space="preserve"> </w:t>
      </w:r>
      <w:bookmarkStart w:id="69" w:name="ref-2"/>
      <w:bookmarkEnd w:id="69"/>
      <w:r>
        <w:t xml:space="preserve">2. Angelita Kelly (NASA), Wynn Watson (NASA). Collision Avoidance: Coordination of Predicted Conjunctions between NASA Satellites and Satellites of other Countries (2014). [AMOS]</w:t>
      </w:r>
      <w:r>
        <w:t xml:space="preserve"> </w:t>
      </w:r>
      <w:bookmarkStart w:id="70" w:name="ref-3"/>
      <w:bookmarkEnd w:id="70"/>
      <w:r>
        <w:t xml:space="preserve">3. W. Bruce Masse (Los Alamos National Laboratory), Robert P. Weaver (Los Alamos National Laboratory), Dallas H. Abbott (Lamont Doherty Earth Observatory of Columbia University), Viacheslav K. Gusiakov (Tsunami Laboratory), Edward A. Bryant (University of Wollongong). Missing in Action? Evaluating the Putative Absence of Impacts by Large Asteroids and Comets during the Quaternary Period (2007). [AMOS]</w:t>
      </w:r>
      <w:r>
        <w:t xml:space="preserve"> </w:t>
      </w:r>
      <w:bookmarkStart w:id="71" w:name="ref-4"/>
      <w:bookmarkEnd w:id="71"/>
      <w:r>
        <w:t xml:space="preserve">4. Scott A. Wright (Northrop Grumman Corporation), David Payne (Northrop Grumman Corporation), Russell Gillespie (Northrop Grumman Corporation). Improving Trans-ionospheric Geolocation of High Frequency Signals Using Parallel Processing and Assimilative Ionospheric Models (2012). [AMOS]</w:t>
      </w:r>
      <w:r>
        <w:t xml:space="preserve"> </w:t>
      </w:r>
      <w:bookmarkStart w:id="72" w:name="ref-5"/>
      <w:bookmarkEnd w:id="72"/>
      <w:r>
        <w:t xml:space="preserve">5. Miles Lifson, Massachusetts Institute of Technology; Daniel Jang, Massachusetts Institute of Technology; Richard Linares, Massachusetts Institute of Technology. Space Environmental Governance and Decision-Support using Source-Sink Evolutionary Environmental Models (2023). doi:</w:t>
      </w:r>
      <w:r>
        <w:t xml:space="preserve"> </w:t>
      </w:r>
      <w:hyperlink r:id="rId73">
        <w:r>
          <w:rPr>
            <w:rStyle w:val="Hyperlink"/>
          </w:rPr>
          <w:t xml:space="preserve">10.64861/FKER7625</w:t>
        </w:r>
      </w:hyperlink>
      <w:r>
        <w:t xml:space="preserve"> </w:t>
      </w:r>
      <w:bookmarkStart w:id="74" w:name="ref-6"/>
      <w:bookmarkEnd w:id="74"/>
      <w:r>
        <w:t xml:space="preserve">6. Phillip Reid, The Boeing Company. Conceptual Framework for a Rapid Space Launch Capability (2023). doi:</w:t>
      </w:r>
      <w:r>
        <w:t xml:space="preserve"> </w:t>
      </w:r>
      <w:hyperlink r:id="rId75">
        <w:r>
          <w:rPr>
            <w:rStyle w:val="Hyperlink"/>
          </w:rPr>
          <w:t xml:space="preserve">10.64861/KYFU6858</w:t>
        </w:r>
      </w:hyperlink>
      <w:r>
        <w:t xml:space="preserve"> </w:t>
      </w:r>
      <w:bookmarkStart w:id="76" w:name="ref-7"/>
      <w:bookmarkEnd w:id="76"/>
      <w:r>
        <w:t xml:space="preserve">7. Matthew Stevenson, LeoLabs; Michael Nicolls, LeoLabs; Inkwan Park, LeoLabs; Chris Rosner, LeoLabs Inc.. Measurement Precision and Orbit Tracking Performance of the Kiwi Space Radar (2020). [AMOS]</w:t>
      </w:r>
      <w:r>
        <w:t xml:space="preserve"> </w:t>
      </w:r>
      <w:bookmarkStart w:id="77" w:name="ref-8"/>
      <w:bookmarkEnd w:id="77"/>
      <w:r>
        <w:t xml:space="preserve">8. Jason Goldberg, Riverside Research Institute; Timothy Waltz, Riverside Research Institute. Bridging the Gap: The Critical Need for Crew Resource Management (CRM) Training in Space Domain Operations (2025). doi:</w:t>
      </w:r>
      <w:r>
        <w:t xml:space="preserve"> </w:t>
      </w:r>
      <w:hyperlink r:id="rId78">
        <w:r>
          <w:rPr>
            <w:rStyle w:val="Hyperlink"/>
          </w:rPr>
          <w:t xml:space="preserve">10.64861/CXGE3201</w:t>
        </w:r>
      </w:hyperlink>
    </w:p>
    <w:bookmarkEnd w:id="79"/>
    <w:bookmarkStart w:id="80"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1.0233</w:t>
            </w:r>
          </w:p>
        </w:tc>
        <w:tc>
          <w:tcPr>
            <w:tcW w:w="0" w:type="auto"/>
          </w:tcPr>
          <w:p>
            <w:pPr>
              <w:spacing w:line="240" w:lineRule="auto" w:before="0" w:after="0"/>
              <w:pStyle w:val="Compact"/>
            </w:pPr>
            <w:r>
              <w:rPr>
                <w:sz w:val="20"/>
                <w:szCs w:val="20"/>
              </w:rPr>
              <w:t xml:space="preserve">0.4953</w:t>
            </w:r>
          </w:p>
        </w:tc>
        <w:tc>
          <w:tcPr>
            <w:tcW w:w="0" w:type="auto"/>
          </w:tcPr>
          <w:p>
            <w:pPr>
              <w:spacing w:line="240" w:lineRule="auto" w:before="0" w:after="0"/>
              <w:pStyle w:val="Compact"/>
            </w:pPr>
            <w:r>
              <w:rPr>
                <w:sz w:val="20"/>
                <w:szCs w:val="20"/>
              </w:rPr>
              <w:t xml:space="preserve">2.0661</w:t>
            </w:r>
          </w:p>
        </w:tc>
        <w:tc>
          <w:tcPr>
            <w:tcW w:w="0" w:type="auto"/>
          </w:tcPr>
          <w:p>
            <w:pPr>
              <w:spacing w:line="240" w:lineRule="auto" w:before="0" w:after="0"/>
              <w:pStyle w:val="Compact"/>
            </w:pPr>
            <w:r>
              <w:rPr>
                <w:sz w:val="20"/>
                <w:szCs w:val="20"/>
              </w:rPr>
              <w:t xml:space="preserve">0.0388</w:t>
            </w:r>
          </w:p>
        </w:tc>
        <w:tc>
          <w:tcPr>
            <w:tcW w:w="0" w:type="auto"/>
          </w:tcPr>
          <w:p>
            <w:pPr>
              <w:spacing w:line="240" w:lineRule="auto" w:before="0" w:after="0"/>
              <w:pStyle w:val="Compact"/>
            </w:pPr>
            <w:r>
              <w:rPr>
                <w:sz w:val="20"/>
                <w:szCs w:val="20"/>
              </w:rPr>
              <w:t xml:space="preserve">[0.0526, 1.994]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-0.1576</w:t>
            </w:r>
          </w:p>
        </w:tc>
        <w:tc>
          <w:tcPr>
            <w:tcW w:w="0" w:type="auto"/>
          </w:tcPr>
          <w:p>
            <w:pPr>
              <w:spacing w:line="240" w:lineRule="auto" w:before="0" w:after="0"/>
              <w:pStyle w:val="Compact"/>
            </w:pPr>
            <w:r>
              <w:rPr>
                <w:sz w:val="20"/>
                <w:szCs w:val="20"/>
              </w:rPr>
              <w:t xml:space="preserve">0.2626</w:t>
            </w:r>
          </w:p>
        </w:tc>
        <w:tc>
          <w:tcPr>
            <w:tcW w:w="0" w:type="auto"/>
          </w:tcPr>
          <w:p>
            <w:pPr>
              <w:spacing w:line="240" w:lineRule="auto" w:before="0" w:after="0"/>
              <w:pStyle w:val="Compact"/>
            </w:pPr>
            <w:r>
              <w:rPr>
                <w:sz w:val="20"/>
                <w:szCs w:val="20"/>
              </w:rPr>
              <w:t xml:space="preserve">-0.6001</w:t>
            </w:r>
          </w:p>
        </w:tc>
        <w:tc>
          <w:tcPr>
            <w:tcW w:w="0" w:type="auto"/>
          </w:tcPr>
          <w:p>
            <w:pPr>
              <w:spacing w:line="240" w:lineRule="auto" w:before="0" w:after="0"/>
              <w:pStyle w:val="Compact"/>
            </w:pPr>
            <w:r>
              <w:rPr>
                <w:sz w:val="20"/>
                <w:szCs w:val="20"/>
              </w:rPr>
              <w:t xml:space="preserve">0.5484</w:t>
            </w:r>
          </w:p>
        </w:tc>
        <w:tc>
          <w:tcPr>
            <w:tcW w:w="0" w:type="auto"/>
          </w:tcPr>
          <w:p>
            <w:pPr>
              <w:spacing w:line="240" w:lineRule="auto" w:before="0" w:after="0"/>
              <w:pStyle w:val="Compact"/>
            </w:pPr>
            <w:r>
              <w:rPr>
                <w:sz w:val="20"/>
                <w:szCs w:val="20"/>
              </w:rPr>
              <w:t xml:space="preserve">[-0.6722, 0.357]</w:t>
            </w:r>
          </w:p>
        </w:tc>
      </w:tr>
    </w:tbl>
    <w:p>
      <w:pPr>
        <w:pStyle w:val="BodyText"/>
      </w:pPr>
      <w:r>
        <w:t xml:space="preserve">Fit: N = 30 R2 = 0.0079 elasticity_b = -0.1576 progress_ratio_2^b = 0.8965</w:t>
      </w:r>
    </w:p>
    <w:p>
      <w:pPr>
        <w:pStyle w:val="CaptionedFigure"/>
      </w:pPr>
      <w:r>
        <w:drawing>
          <wp:inline>
            <wp:extent cx="5669280" cy="3657600"/>
            <wp:effectExtent b="0" l="0" r="0" t="0"/>
            <wp:docPr descr="Figure 1. Citation accumulation against article age in the retrieved topic literature." title="" id="82" name="Picture"/>
            <a:graphic>
              <a:graphicData uri="http://schemas.openxmlformats.org/drawingml/2006/picture">
                <pic:pic>
                  <pic:nvPicPr>
                    <pic:cNvPr descr="D:\Claude_Code\brain\collegium\candidates\dissertations\SECURITY_DETERRENCE_03\research_papers\p2\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10.64861/QVXH2118</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https://amostech.space/year/2014/collision-avoidance-coordination-of-predicted-conjunctions-between-nasa-satellites-and-satellites-of-other-countries/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https://amostech.space/year/2007/missing-in-action-evaluating-the-putative-absence-of-impacts-by-large-asteroids-and-comets-during-the-quaternary-period/</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https://amostech.space/year/2012/improving-trans-ionospheric-geolocation-of-high-frequency-signals-using-parallel-processing-and-assimilative-ionospheric-models/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10.64861/FKER7625</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10.64861/KYFU6858</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https://amostech.space/year/2020/measurement-precision-and-orbit-tracking-performance-of-the-kiwi-space-radar/</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10.64861/CXGE3201</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https://amostech.space/year/2019/spectral-performance-optimization-of-small-telescopes-for-space-object-detection/</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https://amostech.space/year/2021/sda-environment-toolkit-for-defense-set4d-enabling-attribution-for-orbital-assets-and-electro-magnetic-spectrum-links-through-streamlined-r2o/</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https://amostech.space/year/2022/optimization-and-automation-of-the-spectroscopy-pipeline-of-the-falcon-telescope-network/</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https://amostech.space/year/2013/image-reconstruction-from-sparse-irregular-intensity-interferometry-measurements-of-squared-fourier-magnitude/</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10.1016/j.actaastro.2021.01.049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10.1016/j.actaastro.2024.10.007</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10.1016/j.actaastro.2023.03.042</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10.1016/j.actaastro.2018.11.034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10.1016/j.actaastro.2024.10.044</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10.1016/j.actaastro.2023.11.025</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10.1016/j.actaastro.2026.05.065</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10.1016/j.actaastro.2018.05.018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10.1016/j.actaastro.2024.04.028</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10.1016/j.actaastro.2025.07.050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10.1016/j.actaastro.2019.03.059</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McKinsey and World Economic Forum 2022 report synthesizing perspectives from nearly 100 leaders across 25 countries on the space sector’s inflection point, four future scenarios, and five priority actions needed to achieve a self-sustaining space economy, with particular emphasis on governance gaps, finite orbital resource competition, and the sustainability-security nexus.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Abstract-only document presenting</w:t>
            </w:r>
            <w:r>
              <w:rPr>
                <w:sz w:val="20"/>
                <w:szCs w:val="20"/>
              </w:rPr>
              <w:t xml:space="preserve"> </w:t>
            </w:r>
            <w:r>
              <w:rPr>
                <w:sz w:val="20"/>
                <w:szCs w:val="20"/>
              </w:rPr>
              <w:t xml:space="preserve">“Astro-Economics”</w:t>
            </w:r>
            <w:r>
              <w:rPr>
                <w:sz w:val="20"/>
                <w:szCs w:val="20"/>
              </w:rPr>
              <w:t xml:space="preserve"> </w:t>
            </w:r>
            <w:r>
              <w:rPr>
                <w:sz w:val="20"/>
                <w:szCs w:val="20"/>
              </w:rPr>
              <w:t xml:space="preserve">as a framework for integrating the space economy into national deterrence strategy, with attention to the UK space sector, resource competition, and international norms. The source file contains only the abstract/summary (12 lines); no body text is available.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Harnessing AstroEconomics for Integrated Deterrence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An IRD working paper by Dailey, Stilwell et al. (September 2024) proposing an integrated research platform that adapts the fisheries Kobe Plot methodology to orbital debris management, introduces orbital classes analogous to airspace classes, applies Elinor Ostrom’s Common Pool Resource framework to LEO governance, and couples these with the OPUS model for space policy simulation.</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1.0233</w:t>
            </w:r>
          </w:p>
        </w:tc>
        <w:tc>
          <w:tcPr>
            <w:tcW w:w="0" w:type="auto"/>
          </w:tcPr>
          <w:p>
            <w:pPr>
              <w:spacing w:line="240" w:lineRule="auto" w:before="0" w:after="0"/>
              <w:pStyle w:val="Compact"/>
            </w:pPr>
            <w:r>
              <w:rPr>
                <w:sz w:val="20"/>
                <w:szCs w:val="20"/>
              </w:rPr>
              <w:t xml:space="preserve">0.4953</w:t>
            </w:r>
          </w:p>
        </w:tc>
        <w:tc>
          <w:tcPr>
            <w:tcW w:w="0" w:type="auto"/>
          </w:tcPr>
          <w:p>
            <w:pPr>
              <w:spacing w:line="240" w:lineRule="auto" w:before="0" w:after="0"/>
              <w:pStyle w:val="Compact"/>
            </w:pPr>
            <w:r>
              <w:rPr>
                <w:sz w:val="20"/>
                <w:szCs w:val="20"/>
              </w:rPr>
              <w:t xml:space="preserve">2.0661</w:t>
            </w:r>
          </w:p>
        </w:tc>
        <w:tc>
          <w:tcPr>
            <w:tcW w:w="0" w:type="auto"/>
          </w:tcPr>
          <w:p>
            <w:pPr>
              <w:spacing w:line="240" w:lineRule="auto" w:before="0" w:after="0"/>
              <w:pStyle w:val="Compact"/>
            </w:pPr>
            <w:r>
              <w:rPr>
                <w:sz w:val="20"/>
                <w:szCs w:val="20"/>
              </w:rPr>
              <w:t xml:space="preserve">0.0388</w:t>
            </w:r>
          </w:p>
        </w:tc>
        <w:tc>
          <w:tcPr>
            <w:tcW w:w="0" w:type="auto"/>
          </w:tcPr>
          <w:p>
            <w:pPr>
              <w:spacing w:line="240" w:lineRule="auto" w:before="0" w:after="0"/>
              <w:pStyle w:val="Compact"/>
            </w:pPr>
            <w:r>
              <w:rPr>
                <w:sz w:val="20"/>
                <w:szCs w:val="20"/>
              </w:rPr>
              <w:t xml:space="preserve">[0.0526, 1.994]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-0.1576</w:t>
            </w:r>
          </w:p>
        </w:tc>
        <w:tc>
          <w:tcPr>
            <w:tcW w:w="0" w:type="auto"/>
          </w:tcPr>
          <w:p>
            <w:pPr>
              <w:spacing w:line="240" w:lineRule="auto" w:before="0" w:after="0"/>
              <w:pStyle w:val="Compact"/>
            </w:pPr>
            <w:r>
              <w:rPr>
                <w:sz w:val="20"/>
                <w:szCs w:val="20"/>
              </w:rPr>
              <w:t xml:space="preserve">0.2626</w:t>
            </w:r>
          </w:p>
        </w:tc>
        <w:tc>
          <w:tcPr>
            <w:tcW w:w="0" w:type="auto"/>
          </w:tcPr>
          <w:p>
            <w:pPr>
              <w:spacing w:line="240" w:lineRule="auto" w:before="0" w:after="0"/>
              <w:pStyle w:val="Compact"/>
            </w:pPr>
            <w:r>
              <w:rPr>
                <w:sz w:val="20"/>
                <w:szCs w:val="20"/>
              </w:rPr>
              <w:t xml:space="preserve">-0.6001</w:t>
            </w:r>
          </w:p>
        </w:tc>
        <w:tc>
          <w:tcPr>
            <w:tcW w:w="0" w:type="auto"/>
          </w:tcPr>
          <w:p>
            <w:pPr>
              <w:spacing w:line="240" w:lineRule="auto" w:before="0" w:after="0"/>
              <w:pStyle w:val="Compact"/>
            </w:pPr>
            <w:r>
              <w:rPr>
                <w:sz w:val="20"/>
                <w:szCs w:val="20"/>
              </w:rPr>
              <w:t xml:space="preserve">0.5484</w:t>
            </w:r>
          </w:p>
        </w:tc>
        <w:tc>
          <w:tcPr>
            <w:tcW w:w="0" w:type="auto"/>
          </w:tcPr>
          <w:p>
            <w:pPr>
              <w:spacing w:line="240" w:lineRule="auto" w:before="0" w:after="0"/>
              <w:pStyle w:val="Compact"/>
            </w:pPr>
            <w:r>
              <w:rPr>
                <w:sz w:val="20"/>
                <w:szCs w:val="20"/>
              </w:rPr>
              <w:t xml:space="preserve">[-0.6722, 0.357]</w:t>
            </w:r>
          </w:p>
        </w:tc>
      </w:tr>
    </w:tbl>
    <w:p>
      <w:pPr>
        <w:pStyle w:val="BodyText"/>
      </w:pPr>
      <w:r>
        <w:t xml:space="preserve">Fit: N = 30 R2 = 0.0079 elasticity_b = -0.1576 progress_ratio_2^b = 0.8965</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8" Target="https://doi.org/10.64861/CXGE3201" TargetMode="External" /><Relationship Type="http://schemas.openxmlformats.org/officeDocument/2006/relationships/hyperlink" Id="rId73" Target="https://doi.org/10.64861/FKER7625" TargetMode="External" /><Relationship Type="http://schemas.openxmlformats.org/officeDocument/2006/relationships/hyperlink" Id="rId75" Target="https://doi.org/10.64861/KYFU6858" TargetMode="External" /><Relationship Type="http://schemas.openxmlformats.org/officeDocument/2006/relationships/hyperlink" Id="rId68" Target="https://doi.org/10.64861/QVXH2118" TargetMode="External" /></Relationships>
</file>

<file path=word/_rels/footnotes.xml.rels><?xml version="1.0" encoding="UTF-8"?><Relationships xmlns="http://schemas.openxmlformats.org/package/2006/relationships"><Relationship Type="http://schemas.openxmlformats.org/officeDocument/2006/relationships/hyperlink" Id="rId78" Target="https://doi.org/10.64861/CXGE3201" TargetMode="External" /><Relationship Type="http://schemas.openxmlformats.org/officeDocument/2006/relationships/hyperlink" Id="rId73" Target="https://doi.org/10.64861/FKER7625" TargetMode="External" /><Relationship Type="http://schemas.openxmlformats.org/officeDocument/2006/relationships/hyperlink" Id="rId75" Target="https://doi.org/10.64861/KYFU6858" TargetMode="External" /><Relationship Type="http://schemas.openxmlformats.org/officeDocument/2006/relationships/hyperlink" Id="rId68" Target="https://doi.org/10.64861/QVXH211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2026-06-29T09:42:25Z</dcterms:created>
  <dcterms:modified xsi:type="dcterms:W3CDTF">2026-06-29T09:42:25Z</dcterms:modified>
</cp:coreProperties>
</file>

<file path=docProps/custom.xml><?xml version="1.0" encoding="utf-8"?>
<Properties xmlns="http://schemas.openxmlformats.org/officeDocument/2006/custom-properties" xmlns:vt="http://schemas.openxmlformats.org/officeDocument/2006/docPropsVTypes"/>
</file>