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ORBITAL CHOKEPOINTS AND SEA-POWER ANALOGY: DOES MAHANIAN CONCENTRATION THEORY PR</w:t>
      </w:r>
    </w:p>
    <w:p>
      <w:pPr>
        <w:jc w:val="center"/>
      </w:pPr>
    </w:p>
    <w:p>
      <w:pPr>
        <w:jc w:val="center"/>
      </w:pPr>
      <w:r>
        <w:rPr>
          <w:rFonts w:ascii="Times New Roman" w:hAnsi="Times New Roman"/>
          <w:sz w:val="24"/>
        </w:rPr>
        <w:t>by</w:t>
      </w:r>
    </w:p>
    <w:p>
      <w:pPr>
        <w:jc w:val="center"/>
      </w:pPr>
      <w:r>
        <w:rPr>
          <w:rFonts w:ascii="Times New Roman" w:hAnsi="Times New Roman"/>
          <w:b/>
          <w:sz w:val="28"/>
        </w:rPr>
        <w:t>Samir Dubois</w:t>
      </w:r>
    </w:p>
    <w:p>
      <w:pPr>
        <w:jc w:val="center"/>
      </w:pPr>
      <w:r>
        <w:rPr>
          <w:rFonts w:ascii="Times New Roman" w:hAnsi="Times New Roman"/>
          <w:sz w:val="24"/>
        </w:rPr>
        <w:t>1B-SEC-216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A strategic idea can travel through a policy community for years before anyone asks whether the evidence for it exists. The orbital chokepoint is such an idea. Analysts borrow the vocabulary of naval strategy, they speak of concentration, decisive points, and command of the commons, and they map those terms onto the crowded shells of low Earth orbit as though the mapping were self-evident. This dissertation,</w:t>
      </w:r>
      <w:r>
        <w:t xml:space="preserve"> </w:t>
      </w:r>
      <w:r>
        <w:rPr>
          <w:i/>
          <w:iCs/>
        </w:rPr>
        <w:t xml:space="preserve">Orbital Chokepoints and Sea-Power Analogy: Does Mahanian Concentration Theory Predict Orbital Contest</w:t>
      </w:r>
      <w:r>
        <w:t xml:space="preserve">, refuses that shortcut. It asks a narrower and more honest question. Before we argue about whether Alfred Thayer Mahan’s concentration theory governs the contest for orbit, can we even detect the topic in the documentary record with instruments that a second analyst could rebuild from scratch</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That question sounds modest. It is deliberately modest. The stakes behind it are not.</w:t>
      </w:r>
    </w:p>
    <w:p>
      <w:pPr>
        <w:pStyle w:val="BodyText"/>
        <w:spacing w:line="480" w:lineRule="auto"/>
        <w:ind w:firstLine="720"/>
      </w:pPr>
      <w:r>
        <w:t xml:space="preserve">Space has become an arena where commercial dependence, military posture, and environmental fragility overlap in the same few hundred kilometers of altitude. Conjunction coordination between operators is now a routine and delicate act of statecraft rather than an engineering footnote</w:t>
      </w:r>
      <w:r>
        <w:t xml:space="preserve"> </w:t>
      </w:r>
      <w:hyperlink w:anchor="ref-2">
        <w:r>
          <w:rPr>
            <w:rStyle w:val="Hyperlink"/>
          </w:rPr>
          <w:t xml:space="preserve">[2]</w:t>
        </w:r>
      </w:hyperlink>
      <w:r>
        <w:t xml:space="preserve">. Governance language hardens in some venues and stays loose in others, and the reasons are rarely transparent. When a strategist reaches for the Mahanian frame, the claim being smuggled in is large. It holds that orbit has natural lines of passage, that whoever concentrates force at those lines commands the domain, and that rivalry will therefore organize itself around a handful of contested points. If that claim is right, it reshapes how a state should invest, where it should place sensors, and which orbital regions it should treat as vital. If it is wrong, or merely unmeasured, then a great deal of doctrine rests on a metaphor.</w:t>
      </w:r>
    </w:p>
    <w:p>
      <w:pPr>
        <w:pStyle w:val="BodyText"/>
        <w:spacing w:line="480" w:lineRule="auto"/>
        <w:ind w:firstLine="720"/>
      </w:pPr>
      <w:r>
        <w:t xml:space="preserve">The purpose of this study is to build the first disciplined rung of a ladder toward that judgment. It does not settle whether concentration theory predicts orbital contest. It establishes whether the raw material for such a test, the retrievable literature and its metadata, carries any measurable structure at all, and it reports only what the local empirical instruments actually produce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61" w:name="the-problem"/>
    <w:p>
      <w:pPr>
        <w:pStyle w:val="Heading2"/>
        <w:spacing w:line="480" w:lineRule="auto"/>
      </w:pPr>
      <w:r>
        <w:t xml:space="preserve">1.1 The Problem</w:t>
      </w:r>
    </w:p>
    <w:p>
      <w:pPr>
        <w:pStyle w:val="FirstParagraph"/>
        <w:spacing w:line="480" w:lineRule="auto"/>
      </w:pPr>
      <w:r>
        <w:t xml:space="preserve">Two problems sit underneath the chokepoint metaphor, and they are usually collapsed into one.</w:t>
      </w:r>
    </w:p>
    <w:p>
      <w:pPr>
        <w:pStyle w:val="BodyText"/>
        <w:spacing w:line="480" w:lineRule="auto"/>
        <w:ind w:firstLine="720"/>
      </w:pPr>
      <w:r>
        <w:t xml:space="preserve">The first is conceptual. The sea-power analogy imports assumptions forged for a fluid, two-dimensional medium with fixed geographic constraints. Straits, canals, and capes are permanent. Orbital geometry is not fixed in the same way; a chokepoint in orbit, if it exists, is a function of physics, traffic, and altitude rather than of coastline. Whether the analogy survives that translation is a theoretical matter that no regression can decide.</w:t>
      </w:r>
    </w:p>
    <w:p>
      <w:pPr>
        <w:pStyle w:val="BodyText"/>
        <w:spacing w:line="480" w:lineRule="auto"/>
        <w:ind w:firstLine="720"/>
      </w:pPr>
      <w:r>
        <w:t xml:space="preserve">The second problem is evidentiary, and it is the one this dissertation can address. If orbital chokepoints were becoming a consequential organizing idea, we would expect that consequence to leave marks. We would expect the topic to appear across venues, to attract citation attention, to cluster in recent years as the domain crowds, or to concentrate in particular publication families. Those marks are observable. They can be counted. They can be modeled. And they can fail to appear, which would itself be a finding worth reporting honestly.</w:t>
      </w:r>
    </w:p>
    <w:p>
      <w:pPr>
        <w:pStyle w:val="BodyText"/>
        <w:spacing w:line="480" w:lineRule="auto"/>
        <w:ind w:firstLine="720"/>
      </w:pPr>
      <w:r>
        <w:t xml:space="preserve">Most writing on orbital strategy does neither. It asserts salience and moves on. The gap this study occupies is the distance between asserted salience and measured salience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A dissertation earns its keep by staking one claim that could be shown false. This one stakes the following.</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That is the whole wager. It is not a claim that Mahan was right. It is not a claim that a particular orbit is a chokepoint. It is a claim about whether the documentary trace of the topic has detectable structure, tested on a fixed set of records with a fixed procedure, so that any reader can rerun the test and reach the same numbers. If the structure is absent, the honest conclusion is that the present corpus cannot carry the strategic argument, and the next analyst must gather better evidence before theorizing further.</w:t>
      </w:r>
    </w:p>
    <w:p>
      <w:pPr>
        <w:pStyle w:val="BodyText"/>
        <w:spacing w:line="480" w:lineRule="auto"/>
        <w:ind w:firstLine="720"/>
      </w:pPr>
      <w:r>
        <w:t xml:space="preserve">Two empirical instruments carry the wager. The first is a cross-sectional model of topic-signal intensity. The second is a temporal model of citation accumulation. Neither is a causal estimate of orbital contest. Both are screens: disciplined ways of asking what shape the evidence has before anyone leans on it.</w:t>
      </w:r>
    </w:p>
    <w:bookmarkEnd w:id="62"/>
    <w:bookmarkStart w:id="63" w:name="what-the-two-papers-report"/>
    <w:p>
      <w:pPr>
        <w:pStyle w:val="Heading2"/>
        <w:spacing w:line="480" w:lineRule="auto"/>
      </w:pPr>
      <w:r>
        <w:t xml:space="preserve">1.3 What the Two Papers Report</w:t>
      </w:r>
    </w:p>
    <w:p>
      <w:pPr>
        <w:pStyle w:val="FirstParagraph"/>
        <w:spacing w:line="480" w:lineRule="auto"/>
      </w:pPr>
      <w:r>
        <w:t xml:space="preserve">I preview the results here because a reader deserves to know early whether the wager paid off, and because the rest of the dissertation is an extended interpretation of these exact numbers.</w:t>
      </w:r>
    </w:p>
    <w:p>
      <w:pPr>
        <w:pStyle w:val="BodyText"/>
        <w:spacing w:line="480" w:lineRule="auto"/>
        <w:ind w:firstLine="720"/>
      </w:pPr>
      <w:r>
        <w:t xml:space="preserve">Paper 1 estimates an ordinary least squares model of the composite topic-signal score on three predictors: a publication recency index, a citation count, and an ordinal venue-family score, with robust HC1 standard errors. The fit is weak. N is 30. The coefficient of determination is 0.0672, the adjusted figure is negative at -0.0404, and the overall F statistic of 2.4196 returns a p value of 0.0889, which does not cross a conventional threshold. Inside that weak model one term is precise. The citation coefficient is -0.0393 with a p value of 0.0188, a small and statistically distinguishable negative association. Recency at -0.0370 (p = 0.4736) and venue at 0.1159 (p = 0.8126) are indistinguishable from noise. The intercept is 3.3619 and is precisely estimated (p = 0.000129).</w:t>
      </w:r>
    </w:p>
    <w:p>
      <w:pPr>
        <w:pStyle w:val="BodyText"/>
        <w:spacing w:line="480" w:lineRule="auto"/>
        <w:ind w:firstLine="720"/>
      </w:pPr>
      <w:r>
        <w:t xml:space="preserve">Paper 2 estimates a log-log learning-curve model of citation accumulation on article age, again with robust HC1 standard errors. N is 30. The coefficient of determination is 0.0079, essentially flat. The age elasticity is -0.1576 with a p value of 0.5484, statistically indistinguishable from zero, which implies a progress ratio of 0.8965. The intercept is 1.0233 and is distinguishable from zero (p = 0.0388).</w:t>
      </w:r>
    </w:p>
    <w:p>
      <w:pPr>
        <w:pStyle w:val="BodyText"/>
        <w:spacing w:line="480" w:lineRule="auto"/>
        <w:ind w:firstLine="720"/>
      </w:pPr>
      <w:r>
        <w:t xml:space="preserve">Taken together, the two screens deliver a bounded verdict. The corpus contains one precise cross-sectional signal, a negative citation association, embedded in an otherwise weak model, and no reliable age structure in citation accumulation. The topic is present in the record but only faintly structured. That is the disciplined answer, and Chapter 6 defends it in full.</w:t>
      </w:r>
    </w:p>
    <w:bookmarkEnd w:id="63"/>
    <w:bookmarkStart w:id="64" w:name="why-the-bounded-answer-matters"/>
    <w:p>
      <w:pPr>
        <w:pStyle w:val="Heading2"/>
        <w:spacing w:line="480" w:lineRule="auto"/>
      </w:pPr>
      <w:r>
        <w:t xml:space="preserve">1.4 Why the Bounded Answer Matters</w:t>
      </w:r>
    </w:p>
    <w:p>
      <w:pPr>
        <w:pStyle w:val="FirstParagraph"/>
        <w:spacing w:line="480" w:lineRule="auto"/>
      </w:pPr>
      <w:r>
        <w:t xml:space="preserve">It would be easy to read a weak model as a failed study. That reading mistakes the design. The value of a screen is that it can say no.</w:t>
      </w:r>
    </w:p>
    <w:p>
      <w:pPr>
        <w:pStyle w:val="BodyText"/>
        <w:spacing w:line="480" w:lineRule="auto"/>
        <w:ind w:firstLine="720"/>
      </w:pPr>
      <w:r>
        <w:t xml:space="preserve">A field that theorizes ahead of its evidence accumulates confident claims that no one can check. The sea-power analogy is vulnerable to exactly this failure, because the analogy is intuitive, rhetorically powerful, and historically prestigious</w:t>
      </w:r>
      <w:r>
        <w:t xml:space="preserve"> </w:t>
      </w:r>
      <w:hyperlink w:anchor="ref-7">
        <w:r>
          <w:rPr>
            <w:rStyle w:val="Hyperlink"/>
          </w:rPr>
          <w:t xml:space="preserve">[7]</w:t>
        </w:r>
      </w:hyperlink>
      <w:r>
        <w:t xml:space="preserve">. An intuitive metaphor invites overreach. By fixing the outcome variables, the estimator, and the source set in advance, the study forces the metaphor to survive a test it could have failed, and it reports the survival margin honestly rather than dressing a thin result in strong language.</w:t>
      </w:r>
    </w:p>
    <w:p>
      <w:pPr>
        <w:pStyle w:val="BodyText"/>
        <w:spacing w:line="480" w:lineRule="auto"/>
        <w:ind w:firstLine="720"/>
      </w:pPr>
      <w:r>
        <w:t xml:space="preserve">The bounded answer also has program relevance. Space situational awareness systems, radar networks, and conjunction-coordination arrangements generate the operational data that a mature version of this argument would eventually need</w:t>
      </w:r>
      <w:r>
        <w:t xml:space="preserve"> </w:t>
      </w:r>
      <w:hyperlink w:anchor="ref-7">
        <w:r>
          <w:rPr>
            <w:rStyle w:val="Hyperlink"/>
          </w:rPr>
          <w:t xml:space="preserve">[7]</w:t>
        </w:r>
      </w:hyperlink>
      <w:r>
        <w:t xml:space="preserve"> </w:t>
      </w:r>
      <w:hyperlink w:anchor="ref-2">
        <w:r>
          <w:rPr>
            <w:rStyle w:val="Hyperlink"/>
          </w:rPr>
          <w:t xml:space="preserve">[2]</w:t>
        </w:r>
      </w:hyperlink>
      <w:r>
        <w:t xml:space="preserve">. Knowing that the current documentary trace is only faintly structured tells a program office where the measurement gap sits. It says: do not fund doctrine on the strength of the metaphor yet; fund the instrumentation that would let the metaphor be tested directly. That is a concrete, defensible use of a modest finding.</w:t>
      </w:r>
    </w:p>
    <w:bookmarkEnd w:id="64"/>
    <w:bookmarkStart w:id="65" w:name="scope-and-boundaries"/>
    <w:p>
      <w:pPr>
        <w:pStyle w:val="Heading2"/>
        <w:spacing w:line="480" w:lineRule="auto"/>
      </w:pPr>
      <w:r>
        <w:t xml:space="preserve">1.5 Scope and Boundaries</w:t>
      </w:r>
    </w:p>
    <w:p>
      <w:pPr>
        <w:pStyle w:val="FirstParagraph"/>
        <w:spacing w:line="480" w:lineRule="auto"/>
      </w:pPr>
      <w:r>
        <w:t xml:space="preserve">Three boundaries define what this dissertation is not.</w:t>
      </w:r>
    </w:p>
    <w:p>
      <w:pPr>
        <w:pStyle w:val="BodyText"/>
        <w:spacing w:line="480" w:lineRule="auto"/>
        <w:ind w:firstLine="720"/>
      </w:pPr>
      <w:r>
        <w:t xml:space="preserve">It is not a history of naval strategy, and it does not adjudicate Mahan’s original texts. It uses concentration theory as a testable proposition about observable structure, not as an object of intellectual biography.</w:t>
      </w:r>
    </w:p>
    <w:p>
      <w:pPr>
        <w:pStyle w:val="BodyText"/>
        <w:spacing w:line="480" w:lineRule="auto"/>
        <w:ind w:firstLine="720"/>
      </w:pPr>
      <w:r>
        <w:t xml:space="preserve">It is not a causal study of orbital conflict. No coefficient here estimates the probability that a state contests a given orbit. The models estimate structure in retrieved metadata, and the prose never lets a metadata association masquerade as a strategic outcome.</w:t>
      </w:r>
    </w:p>
    <w:p>
      <w:pPr>
        <w:pStyle w:val="BodyText"/>
        <w:spacing w:line="480" w:lineRule="auto"/>
        <w:ind w:firstLine="720"/>
      </w:pPr>
      <w:r>
        <w:t xml:space="preserve">It is not a universal bibliometric survey. The corpus is a fixed, candidate-specific set of thirty records drawn from defined venue families. Its citation counts are local index measures, not global counts, and its venue coding is ordinal. Those limits are stated here so that no later chapter can quietly forget them</w:t>
      </w:r>
      <w:r>
        <w:t xml:space="preserve"> </w:t>
      </w:r>
      <w:hyperlink w:anchor="ref-8">
        <w:r>
          <w:rPr>
            <w:rStyle w:val="Hyperlink"/>
          </w:rPr>
          <w:t xml:space="preserve">[8]</w:t>
        </w:r>
      </w:hyperlink>
      <w:r>
        <w:t xml:space="preserve">.</w:t>
      </w:r>
    </w:p>
    <w:bookmarkEnd w:id="65"/>
    <w:bookmarkStart w:id="66" w:name="Xa9a3e7f666a09cfc489130c352a34fb471fd76f"/>
    <w:p>
      <w:pPr>
        <w:pStyle w:val="Heading2"/>
        <w:spacing w:line="480" w:lineRule="auto"/>
      </w:pPr>
      <w:r>
        <w:t xml:space="preserve">1.5a The Intellectual Hazard of a Prestigious Analogy</w:t>
      </w:r>
    </w:p>
    <w:p>
      <w:pPr>
        <w:pStyle w:val="FirstParagraph"/>
        <w:spacing w:line="480" w:lineRule="auto"/>
      </w:pPr>
      <w:r>
        <w:t xml:space="preserve">There is a particular danger in strategic thinking that borrows a settled theory from one domain and applies it to another. The borrowed theory arrives with authority already attached. Mahan’s concentration doctrine is not a fringe idea; it shaped a century of naval procurement and war planning, and its vocabulary is woven into how strategists speak. When that vocabulary is transposed to orbit, the authority travels with it, and the transposition can feel validated before it has been examined. The word chokepoint does a great deal of silent work. It implies fixity, it implies scarcity, it implies that avoidance is costly, and it implies that a rational rival will mass force to control passage. None of those implications is obviously true of orbit, yet all of them ride along inside the single borrowed word.</w:t>
      </w:r>
    </w:p>
    <w:p>
      <w:pPr>
        <w:pStyle w:val="BodyText"/>
        <w:spacing w:line="480" w:lineRule="auto"/>
        <w:ind w:firstLine="720"/>
      </w:pPr>
      <w:r>
        <w:t xml:space="preserve">This is why a measurement step matters more here than it would for a home-grown concept. A home-grown concept has to earn its authority as it goes, and skeptics scrutinize it at every step. A borrowed concept can skip that scrutiny, because the scrutiny already happened in the domain it came from, for a medium with different physics. The oceans are continuous, two-dimensional at the scale of fleets, and bounded by permanent coastlines. Orbit is a set of nested three-dimensional shells whose contested regions are defined by traffic density, altitude, and the energetics of moving between them, and whose geometry shifts as the population of objects shifts. A strait cannot relocate. A congested orbital region can be relieved by deorbit, dispersed by regulation, or made irrelevant by a change in launch economics. The analogy may survive these differences, but it has to be made to survive them rather than assumed to.</w:t>
      </w:r>
    </w:p>
    <w:p>
      <w:pPr>
        <w:pStyle w:val="BodyText"/>
        <w:spacing w:line="480" w:lineRule="auto"/>
        <w:ind w:firstLine="720"/>
      </w:pPr>
      <w:r>
        <w:t xml:space="preserve">The dissertation treats this hazard as its central methodological motivation. By fixing a falsifiable claim about documentary structure and testing it on a frozen corpus, it forces the borrowed authority to demonstrate itself in the one place it can be checked cheaply, the record of what has actually been written and cited. If the frame were organizing real activity, that activity would leave a trace, and the trace would have structure. The screen asks whether it does, and it is willing to report that it largely does not.</w:t>
      </w:r>
    </w:p>
    <w:bookmarkEnd w:id="66"/>
    <w:bookmarkStart w:id="67" w:name="Xd2e22ae3e9eed30055f7be0f7d091e91fce32da"/>
    <w:p>
      <w:pPr>
        <w:pStyle w:val="Heading2"/>
        <w:spacing w:line="480" w:lineRule="auto"/>
      </w:pPr>
      <w:r>
        <w:t xml:space="preserve">1.5b Why This Belongs in a Security and Deterrence Program</w:t>
      </w:r>
    </w:p>
    <w:p>
      <w:pPr>
        <w:pStyle w:val="FirstParagraph"/>
        <w:spacing w:line="480" w:lineRule="auto"/>
      </w:pPr>
      <w:r>
        <w:t xml:space="preserve">The candidate topic sits inside a security and deterrence track for a reason that the framing so far has only implied. If orbital chokepoints exist and behave as concentration theory predicts, then deterrence in space acquires a geography. Deterrence with a geography is a different problem from deterrence without one. It permits denial strategies focused on specific regions, it invites forward positioning of sensors and effectors, and it changes the calculus of escalation, because control of a decisive point becomes a discrete objective a rival can seize or defend. A deterrence posture built on that assumption would look very different from one built on the premise that orbit is a diffuse commons where advantage cannot be localized.</w:t>
      </w:r>
    </w:p>
    <w:p>
      <w:pPr>
        <w:pStyle w:val="BodyText"/>
        <w:spacing w:line="480" w:lineRule="auto"/>
        <w:ind w:firstLine="720"/>
      </w:pPr>
      <w:r>
        <w:t xml:space="preserve">The stakes of getting this wrong are asymmetric. A state that wrongly believes orbit has chokepoints may over-invest in controlling regions that turn out not to be decisive, and may signal resolve in ways a rival misreads, raising the risk of miscalculation. A state that wrongly believes orbit has no chokepoints may be surprised by a rival who has correctly identified and seized a genuine decisive point. Because the strategic consequences run in both directions, the value of an honest measurement is high even when the measurement is inconclusive, because an inconclusive result tells both the overconfident and the underconfident that the question is still open and that the evidence to close it has not yet been gathered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is the sense in which a bibliometric screen, modest as it is, touches a serious security question. It does not resolve the deterrence problem. It disciplines the premise the deterrence problem rests on, and it refuses to let a prestigious metaphor supply that premise for free.</w:t>
      </w:r>
    </w:p>
    <w:bookmarkEnd w:id="67"/>
    <w:bookmarkStart w:id="68" w:name="roadmap"/>
    <w:p>
      <w:pPr>
        <w:pStyle w:val="Heading2"/>
        <w:spacing w:line="480" w:lineRule="auto"/>
      </w:pPr>
      <w:r>
        <w:t xml:space="preserve">1.6 Roadmap</w:t>
      </w:r>
    </w:p>
    <w:p>
      <w:pPr>
        <w:pStyle w:val="FirstParagraph"/>
        <w:spacing w:line="480" w:lineRule="auto"/>
      </w:pPr>
      <w:r>
        <w:t xml:space="preserve">The dissertation proceeds in seven further chapters, each building on the last.</w:t>
      </w:r>
    </w:p>
    <w:p>
      <w:pPr>
        <w:pStyle w:val="BodyText"/>
        <w:spacing w:line="480" w:lineRule="auto"/>
        <w:ind w:firstLine="720"/>
      </w:pPr>
      <w:r>
        <w:t xml:space="preserve">Chapter 2 situates the study against prior work on orbital operations, space governance, and the transfer of maritime strategic concepts into the space domain, using the reference pool to mark where the present contribution sits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Chapter 3 develops the mechanism and derives the two testable hypotheses, and it names the rival explanations that a weak result would have to survive.</w:t>
      </w:r>
    </w:p>
    <w:p>
      <w:pPr>
        <w:pStyle w:val="BodyText"/>
        <w:spacing w:line="480" w:lineRule="auto"/>
        <w:ind w:firstLine="720"/>
      </w:pPr>
      <w:r>
        <w:t xml:space="preserve">Chapter 4 sets out the methodology and identification logic: why ordinary least squares and a log-log learning curve are the right instruments for a structural screen, and what each can and cannot identify.</w:t>
      </w:r>
    </w:p>
    <w:p>
      <w:pPr>
        <w:pStyle w:val="BodyText"/>
        <w:spacing w:line="480" w:lineRule="auto"/>
        <w:ind w:firstLine="720"/>
      </w:pPr>
      <w:r>
        <w:t xml:space="preserve">Chapter 5 documents the data and measurement rules in full: how each of the thirty records was retained, how the signal score, recency index, citation count, and venue score were constructed, and where every variable comes from.</w:t>
      </w:r>
    </w:p>
    <w:p>
      <w:pPr>
        <w:pStyle w:val="BodyText"/>
        <w:spacing w:line="480" w:lineRule="auto"/>
        <w:ind w:firstLine="720"/>
      </w:pPr>
      <w:r>
        <w:t xml:space="preserve">Chapter 6 reports the exact estimator output for both papers and interprets the signs and magnitudes, treating every number as a workbook result rather than a rhetorical claim.</w:t>
      </w:r>
    </w:p>
    <w:p>
      <w:pPr>
        <w:pStyle w:val="BodyText"/>
        <w:spacing w:line="480" w:lineRule="auto"/>
        <w:ind w:firstLine="720"/>
      </w:pPr>
      <w:r>
        <w:t xml:space="preserve">Chapter 7 discusses what the findings mean, catalogs the threats to validity, and states plainly what the data cannot show.</w:t>
      </w:r>
    </w:p>
    <w:p>
      <w:pPr>
        <w:pStyle w:val="BodyText"/>
        <w:spacing w:line="480" w:lineRule="auto"/>
        <w:ind w:firstLine="720"/>
      </w:pPr>
      <w:r>
        <w:t xml:space="preserve">Chapter 8 closes with the knowledge contribution, the governance and program implications of a bounded result, and the specific next data collection that would let the sea-power analogy be tested on its own terms</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68"/>
    <w:bookmarkStart w:id="69" w:name="the-standard-of-proof-this-study-accepts"/>
    <w:p>
      <w:pPr>
        <w:pStyle w:val="Heading2"/>
        <w:spacing w:line="480" w:lineRule="auto"/>
      </w:pPr>
      <w:r>
        <w:t xml:space="preserve">1.7 The Standard of Proof This Study Accepts</w:t>
      </w:r>
    </w:p>
    <w:p>
      <w:pPr>
        <w:pStyle w:val="FirstParagraph"/>
        <w:spacing w:line="480" w:lineRule="auto"/>
      </w:pPr>
      <w:r>
        <w:t xml:space="preserve">A reader is entitled to know what would count, in this study, as evidence for and against the proposition, because a test whose standard of proof is vague can be made to say anything after the fact. The standard here is fixed in advance and stated plainly.</w:t>
      </w:r>
    </w:p>
    <w:p>
      <w:pPr>
        <w:pStyle w:val="BodyText"/>
        <w:spacing w:line="480" w:lineRule="auto"/>
        <w:ind w:firstLine="720"/>
      </w:pPr>
      <w:r>
        <w:t xml:space="preserve">Evidence for the proposition would be a jointly significant cross-sectional model in which the topic signal rises with recency and citation attention, together with a positive and significant age elasticity in the accumulation model. That pattern would show a topic that is both cross-sectionally structured and temporally consolidating, which is what a consequential organizing idea should look like in the record. Evidence against the proposition would be weak or null fits in both models, indicating a topic that circulates as vocabulary without organizing measurable activity. A mixed result, some structure but not the full pattern, would be read as an early-stage or peripheral topic, neither confirmed nor refuted.</w:t>
      </w:r>
    </w:p>
    <w:p>
      <w:pPr>
        <w:pStyle w:val="BodyText"/>
        <w:spacing w:line="480" w:lineRule="auto"/>
        <w:ind w:firstLine="720"/>
      </w:pPr>
      <w:r>
        <w:t xml:space="preserve">The study commits to whichever of these the data return. It does not reserve the right to relabel a weak result as a subtle confirmation, and it does not treat a null as proof of a true zero, because a sample of thirty can fail to detect real structure. This pre-commitment is what makes the screen honest. The interpretation in Chapter 6 is bound to the standard set here, and the reader can check that binding by comparing the stated standard against the reported numbers.</w:t>
      </w:r>
    </w:p>
    <w:bookmarkEnd w:id="69"/>
    <w:bookmarkStart w:id="70" w:name="a-note-on-what-success-looks-like"/>
    <w:p>
      <w:pPr>
        <w:pStyle w:val="Heading2"/>
        <w:spacing w:line="480" w:lineRule="auto"/>
      </w:pPr>
      <w:r>
        <w:t xml:space="preserve">1.8 A Note on What Success Looks Like</w:t>
      </w:r>
    </w:p>
    <w:p>
      <w:pPr>
        <w:pStyle w:val="FirstParagraph"/>
        <w:spacing w:line="480" w:lineRule="auto"/>
      </w:pPr>
      <w:r>
        <w:t xml:space="preserve">Success for this dissertation is not a significant coefficient. Success is a faithful measurement and an interpretation that does not exceed it. A study that reported a strong confirmation of the sea-power analogy from thirty metadata records would be more exciting and less trustworthy than one that reported a faint, peripheral signal with candor. The security-studies literature has enough confident metaphors; what it lacks, in this corner, is a reproducible instrument and a willingness to report what the instrument shows. Supplying both is the ambition, and the modesty of the finding is a feature of the design rather than a failure of it</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thread that runs through all of it is a single commitment. Every substantive claim in this dissertation is conditional on sources a reader can inspect, and every number is a result a reader can reproduce. The chokepoint metaphor may yet prove to govern the contest for orbit. This study asks only that we earn the right to say so, and it begins by measuring whether the evidence is even there to be measured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70"/>
    <w:bookmarkEnd w:id="71"/>
    <w:bookmarkStart w:id="81" w:name="chapter-2.-literature-review"/>
    <w:p>
      <w:pPr>
        <w:pStyle w:val="Heading1"/>
        <w:spacing w:line="480" w:lineRule="auto"/>
      </w:pPr>
      <w:r>
        <w:t xml:space="preserve">Chapter 2. Literature Review</w:t>
      </w:r>
    </w:p>
    <w:p>
      <w:pPr>
        <w:pStyle w:val="FirstParagraph"/>
        <w:spacing w:line="480" w:lineRule="auto"/>
      </w:pPr>
      <w:r>
        <w:t xml:space="preserve">The literature that bears on orbital chokepoints does not form a single conversation. It forms three, and they seldom cite one another. The first is a strategic-studies tradition that treats space as an extension of maritime and continental theory. The second is an operational literature written by engineers and mission planners who track objects, coordinate conjunctions, and characterize the orbital environment. The third is a governance and economics literature concerned with who owns risk in a shared resource and how norms form. This dissertation lives at the seam where the strategic frame meets the operational and governance evidence, and the review below is organized to show why that seam is where the contribution has to sit.</w:t>
      </w:r>
    </w:p>
    <w:bookmarkStart w:id="72" w:name="how-the-review-is-organized"/>
    <w:p>
      <w:pPr>
        <w:pStyle w:val="Heading2"/>
        <w:spacing w:line="480" w:lineRule="auto"/>
      </w:pPr>
      <w:r>
        <w:t xml:space="preserve">2.0 How the Review Is Organized</w:t>
      </w:r>
    </w:p>
    <w:p>
      <w:pPr>
        <w:pStyle w:val="FirstParagraph"/>
        <w:spacing w:line="480" w:lineRule="auto"/>
      </w:pPr>
      <w:r>
        <w:t xml:space="preserve">Before entering the three conversations, a word on how they are read here. This review does not aim to be exhaustive, because the corpus that anchors the empirical work is fixed and finite, and a sprawling survey of everything ever written on space strategy would be disconnected from what the models actually estimate. Instead the review is instrumental. It reads the retained literature for what it contributes to a single question: whether the orbital-chokepoint frame leaves a structured documentary trace. Every source is engaged with an eye to what it implies for the variables, the mechanism, or the rival explanations that Chapters 3 through 5 develop.</w:t>
      </w:r>
    </w:p>
    <w:p>
      <w:pPr>
        <w:pStyle w:val="BodyText"/>
        <w:spacing w:line="480" w:lineRule="auto"/>
        <w:ind w:firstLine="720"/>
      </w:pPr>
      <w:r>
        <w:t xml:space="preserve">That instrumental posture has a consequence worth stating. Some sources appear here not because they argue about chokepoints but because their presence in the corpus shapes what the models can see. A well-cited paper on analog-mission crew dynamics does not mention orbital strategy, yet it matters to the review because it loads onto the citation predictor and pulls attention away from the theme-dense records. Reading the literature instrumentally means treating such records as part of the measurement structure rather than dismissing them as off-topic, and it is the only way to connect a review to an empirical screen honestly</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72"/>
    <w:bookmarkStart w:id="73" w:name="X3521adcc57227c57f4f839bf348ee0f3c22cab8"/>
    <w:p>
      <w:pPr>
        <w:pStyle w:val="Heading2"/>
        <w:spacing w:line="480" w:lineRule="auto"/>
      </w:pPr>
      <w:r>
        <w:t xml:space="preserve">2.1 The Sea-Power Frame and Its Migration to Space</w:t>
      </w:r>
    </w:p>
    <w:p>
      <w:pPr>
        <w:pStyle w:val="FirstParagraph"/>
        <w:spacing w:line="480" w:lineRule="auto"/>
      </w:pPr>
      <w:r>
        <w:t xml:space="preserve">Concentration theory in its original form is a claim about scarcity and geometry. Mahan argued that maritime power flows to the state that can mass decisive force at the points through which trade and fleets must pass. The doctrine assumes fixed geography, a contestable medium, and an economy that depends on unobstructed passage. Strategists who move this frame into orbit assume, often silently, that orbit has analogous fixed points, that force can be massed there, and that dependence on passage is comparable. Each assumption is arguable. None has been measured against the documentary record with a reproducible instrument, which is precisely the omission this study addresses.</w:t>
      </w:r>
    </w:p>
    <w:p>
      <w:pPr>
        <w:pStyle w:val="BodyText"/>
        <w:spacing w:line="480" w:lineRule="auto"/>
        <w:ind w:firstLine="720"/>
      </w:pPr>
      <w:r>
        <w:t xml:space="preserve">The migration is attractive for a reason. Orbit does have congested regions, and access to certain altitudes and inclinations is genuinely rivalrous. The rapid-launch and access literature treats timely insertion into a desired orbit as a strategic capability in its own right</w:t>
      </w:r>
      <w:r>
        <w:t xml:space="preserve"> </w:t>
      </w:r>
      <w:hyperlink w:anchor="ref-6">
        <w:r>
          <w:rPr>
            <w:rStyle w:val="Hyperlink"/>
          </w:rPr>
          <w:t xml:space="preserve">[6]</w:t>
        </w:r>
      </w:hyperlink>
      <w:r>
        <w:t xml:space="preserve">. If access is a capability that can be contested, the language of decisive points feels natural. What the frame lacks is a demonstration that the contest actually organizes around identifiable chokepoints rather than diffusing across the whole shell. The analogy supplies vocabulary; it does not supply evidence of the geometry it presumes.</w:t>
      </w:r>
    </w:p>
    <w:bookmarkEnd w:id="73"/>
    <w:bookmarkStart w:id="74" w:name="Xe2043a1e4661d59e240fdd77ee6fffee591b439"/>
    <w:p>
      <w:pPr>
        <w:pStyle w:val="Heading2"/>
        <w:spacing w:line="480" w:lineRule="auto"/>
      </w:pPr>
      <w:r>
        <w:t xml:space="preserve">2.2 The Operational Environment: Objects, Tracks, and Conjunctions</w:t>
      </w:r>
    </w:p>
    <w:p>
      <w:pPr>
        <w:pStyle w:val="FirstParagraph"/>
        <w:spacing w:line="480" w:lineRule="auto"/>
      </w:pPr>
      <w:r>
        <w:t xml:space="preserve">Beneath the strategic frame sits a large body of operational work that describes the orbital environment with far more precision than any strategist typically invokes. Radar and sensor programs measure object positions and refine orbit determination to the point where operators can forecast close approaches</w:t>
      </w:r>
      <w:r>
        <w:t xml:space="preserve"> </w:t>
      </w:r>
      <w:hyperlink w:anchor="ref-7">
        <w:r>
          <w:rPr>
            <w:rStyle w:val="Hyperlink"/>
          </w:rPr>
          <w:t xml:space="preserve">[7]</w:t>
        </w:r>
      </w:hyperlink>
      <w:r>
        <w:t xml:space="preserve">. That capability is the physical substrate of any chokepoint claim, because a chokepoint that cannot be observed cannot be contested in any operational sense.</w:t>
      </w:r>
    </w:p>
    <w:p>
      <w:pPr>
        <w:pStyle w:val="BodyText"/>
        <w:spacing w:line="480" w:lineRule="auto"/>
        <w:ind w:firstLine="720"/>
      </w:pPr>
      <w:r>
        <w:t xml:space="preserve">Conjunction coordination is where the operational and the strategic meet most directly. When agencies from different countries must jointly manage the predicted close approach of two satellites, they are managing a shared scarcity, and the coordination itself is a governance act</w:t>
      </w:r>
      <w:r>
        <w:t xml:space="preserve"> </w:t>
      </w:r>
      <w:hyperlink w:anchor="ref-2">
        <w:r>
          <w:rPr>
            <w:rStyle w:val="Hyperlink"/>
          </w:rPr>
          <w:t xml:space="preserve">[2]</w:t>
        </w:r>
      </w:hyperlink>
      <w:r>
        <w:t xml:space="preserve">. This literature demonstrates that the crowding is real and that it already forces cooperative behavior between potential rivals. What it does not do is test whether the crowding concentrates at a few decisive points in the way concentration theory would predict. It documents the medium; it does not adjudicate the metaphor.</w:t>
      </w:r>
    </w:p>
    <w:p>
      <w:pPr>
        <w:pStyle w:val="BodyText"/>
        <w:spacing w:line="480" w:lineRule="auto"/>
        <w:ind w:firstLine="720"/>
      </w:pPr>
      <w:r>
        <w:t xml:space="preserve">Transfer and maneuver studies add a further dimension. Work on impulsive-maneuver transfers between libration points and Earth orbit maps the energetic cost of moving between orbital regions</w:t>
      </w:r>
      <w:r>
        <w:t xml:space="preserve"> </w:t>
      </w:r>
      <w:hyperlink w:anchor="ref-1">
        <w:r>
          <w:rPr>
            <w:rStyle w:val="Hyperlink"/>
          </w:rPr>
          <w:t xml:space="preserve">[1]</w:t>
        </w:r>
      </w:hyperlink>
      <w:r>
        <w:t xml:space="preserve">. Cost structure is exactly what would make a chokepoint a chokepoint: a passage is decisive when the cost of avoiding it is high. That the transfer literature exists and is quantitative is encouraging for any future test of concentration, but it sits in a technical register that the strategic literature rarely reads, and the two have not been joined.</w:t>
      </w:r>
    </w:p>
    <w:p>
      <w:pPr>
        <w:pStyle w:val="BodyText"/>
        <w:spacing w:line="480" w:lineRule="auto"/>
        <w:ind w:firstLine="720"/>
      </w:pPr>
      <w:r>
        <w:t xml:space="preserve">The libration-point transfer work deserves a closer look, because it is the single retained record that comes nearest to supplying the physics a chokepoint claim would need. If moving between two orbital regions demands a large velocity change, then the low-cost paths between them behave like passages, and control of those paths would confer exactly the advantage concentration theory describes. The transfer literature quantifies these costs for specific point-to-point transfers</w:t>
      </w:r>
      <w:r>
        <w:t xml:space="preserve"> </w:t>
      </w:r>
      <w:hyperlink w:anchor="ref-1">
        <w:r>
          <w:rPr>
            <w:rStyle w:val="Hyperlink"/>
          </w:rPr>
          <w:t xml:space="preserve">[1]</w:t>
        </w:r>
      </w:hyperlink>
      <w:r>
        <w:t xml:space="preserve">. What it does not do, and does not try to do, is aggregate those costs into a map of which regions are collectively hard to bypass, which is the step a chokepoint argument requires. The raw material for a rigorous chokepoint test therefore exists in the technical literature, unassembled, while the strategic literature asserts the conclusion without reaching for that material. The disconnection between the two is not a minor gap; it is the reason the chokepoint claim has never been grounded, and it is part of what this dissertation’s screen is meant to expose.</w:t>
      </w:r>
    </w:p>
    <w:bookmarkEnd w:id="74"/>
    <w:bookmarkStart w:id="75" w:name="Xe8d0e4d241b5aac186b601bb56f7823b07ba2a9"/>
    <w:p>
      <w:pPr>
        <w:pStyle w:val="Heading2"/>
        <w:spacing w:line="480" w:lineRule="auto"/>
      </w:pPr>
      <w:r>
        <w:t xml:space="preserve">2.3 Governance, Sustainability, and the Common Resource</w:t>
      </w:r>
    </w:p>
    <w:p>
      <w:pPr>
        <w:pStyle w:val="FirstParagraph"/>
        <w:spacing w:line="480" w:lineRule="auto"/>
      </w:pPr>
      <w:r>
        <w:t xml:space="preserve">A third strand treats orbit as a common-pool resource whose degradation is a collective problem. Source-sink and environmental-governance models formalize how the population of orbital objects evolves and how decisions today constrain the environment tomorrow</w:t>
      </w:r>
      <w:r>
        <w:t xml:space="preserve"> </w:t>
      </w:r>
      <w:hyperlink w:anchor="ref-5">
        <w:r>
          <w:rPr>
            <w:rStyle w:val="Hyperlink"/>
          </w:rPr>
          <w:t xml:space="preserve">[5]</w:t>
        </w:r>
      </w:hyperlink>
      <w:r>
        <w:t xml:space="preserve">. This is the literature most alert to the possibility that orbital regions differ in value and vulnerability, and it is therefore the closest natural ally of a chokepoint argument. If certain shells are both crowded and hard to substitute, they behave like decisive points whether or not anyone calls them that.</w:t>
      </w:r>
    </w:p>
    <w:p>
      <w:pPr>
        <w:pStyle w:val="BodyText"/>
        <w:spacing w:line="480" w:lineRule="auto"/>
        <w:ind w:firstLine="720"/>
      </w:pPr>
      <w:r>
        <w:t xml:space="preserve">The governance literature also supplies the caution that this dissertation takes seriously. Environmental and decision-support models are explicit that their outputs are conditional on assumptions and data quality, and they resist the leap from a modeled association to a settled policy verdict</w:t>
      </w:r>
      <w:r>
        <w:t xml:space="preserve"> </w:t>
      </w:r>
      <w:hyperlink w:anchor="ref-5">
        <w:r>
          <w:rPr>
            <w:rStyle w:val="Hyperlink"/>
          </w:rPr>
          <w:t xml:space="preserve">[5]</w:t>
        </w:r>
      </w:hyperlink>
      <w:r>
        <w:t xml:space="preserve">. That posture is the one adopted here. A screen that finds weak structure is not an embarrassment; it is a boundary marker that tells the governance community where the evidence currently stops.</w:t>
      </w:r>
    </w:p>
    <w:p>
      <w:pPr>
        <w:pStyle w:val="BodyText"/>
        <w:spacing w:line="480" w:lineRule="auto"/>
        <w:ind w:firstLine="720"/>
      </w:pPr>
      <w:r>
        <w:t xml:space="preserve">Adjacent operational-culture work reinforces the point that space operations are becoming a domain with its own professional norms, training demands, and coordination failures</w:t>
      </w:r>
      <w:r>
        <w:t xml:space="preserve"> </w:t>
      </w:r>
      <w:hyperlink w:anchor="ref-8">
        <w:r>
          <w:rPr>
            <w:rStyle w:val="Hyperlink"/>
          </w:rPr>
          <w:t xml:space="preserve">[8]</w:t>
        </w:r>
      </w:hyperlink>
      <w:r>
        <w:t xml:space="preserve">. The emergence of formal crew-resource and domain-operations training signals that orbit is being institutionalized as a contested working environment. Institutionalization leaves documentary traces, and traces are measurable, which returns the argument to the central question of whether those traces carry structure.</w:t>
      </w:r>
    </w:p>
    <w:bookmarkEnd w:id="75"/>
    <w:bookmarkStart w:id="76" w:name="X8484baa8a8c651119062539887b72e28fb545ee"/>
    <w:p>
      <w:pPr>
        <w:pStyle w:val="Heading2"/>
        <w:spacing w:line="480" w:lineRule="auto"/>
      </w:pPr>
      <w:r>
        <w:t xml:space="preserve">2.4 The Measurement Literature and the Bibliometric Turn</w:t>
      </w:r>
    </w:p>
    <w:p>
      <w:pPr>
        <w:pStyle w:val="FirstParagraph"/>
        <w:spacing w:line="480" w:lineRule="auto"/>
      </w:pPr>
      <w:r>
        <w:t xml:space="preserve">The instruments this dissertation uses come from a different tradition again: the measurement of scholarly and documentary attention. Bibliometric reasoning holds that if a topic is becoming consequential, its salience should be visible in citation counts, publication timing, and venue distribution. That premise is not free of hazards. Citation counts favor older and more accessible work. Venue coding can capture publishing practice rather than substantive weight. Recency can reflect the growth of a field or merely the growth of publishing capacity.</w:t>
      </w:r>
    </w:p>
    <w:p>
      <w:pPr>
        <w:pStyle w:val="BodyText"/>
        <w:spacing w:line="480" w:lineRule="auto"/>
        <w:ind w:firstLine="720"/>
      </w:pPr>
      <w:r>
        <w:t xml:space="preserve">The dissertation’s two models are direct applications of this tradition, and they are deliberately modest applications. Paper 1 asks whether a composite topic-signal score varies across records with recency, citation attention, and venue family, using ordinary least squares with robust standard errors. Paper 2 asks whether citation accumulation follows a learning-curve shape in article age. Both treat the retrieved corpus as the universe of observation and refuse to generalize past it. This is the discipline the strategic literature lacks and the governance literature recommends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6"/>
    <w:bookmarkStart w:id="77" w:name="X4afbaec9da035488e87842c17b3c4c08430dbf4"/>
    <w:p>
      <w:pPr>
        <w:pStyle w:val="Heading2"/>
        <w:spacing w:line="480" w:lineRule="auto"/>
      </w:pPr>
      <w:r>
        <w:t xml:space="preserve">2.4a Human-Factors and Analog Work as a Coverage Signal</w:t>
      </w:r>
    </w:p>
    <w:p>
      <w:pPr>
        <w:pStyle w:val="FirstParagraph"/>
        <w:spacing w:line="480" w:lineRule="auto"/>
      </w:pPr>
      <w:r>
        <w:t xml:space="preserve">A substantial share of the retained journal corpus is not about strategy at all. It concerns the human dimension of spaceflight: crew self-organization during long-duration analog missions</w:t>
      </w:r>
      <w:r>
        <w:t xml:space="preserve"> </w:t>
      </w:r>
      <w:hyperlink w:anchor="ref-9">
        <w:r>
          <w:rPr>
            <w:rStyle w:val="Hyperlink"/>
          </w:rPr>
          <w:t xml:space="preserve">[9]</w:t>
        </w:r>
      </w:hyperlink>
      <w:r>
        <w:t xml:space="preserve">, latent personality profiles of analog astronauts derived by clustering methods</w:t>
      </w:r>
      <w:r>
        <w:t xml:space="preserve"> </w:t>
      </w:r>
      <w:hyperlink w:anchor="ref-10">
        <w:r>
          <w:rPr>
            <w:rStyle w:val="Hyperlink"/>
          </w:rPr>
          <w:t xml:space="preserve">[10]</w:t>
        </w:r>
      </w:hyperlink>
      <w:r>
        <w:t xml:space="preserve">, and analog environments such as underwater and Antarctic bases used to rehearse crewed operations</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At first glance these records seem tangential to orbital chokepoints. Their presence in the corpus is itself informative, and the dissertation treats it as a coverage signal rather than as noise to be discarded.</w:t>
      </w:r>
    </w:p>
    <w:p>
      <w:pPr>
        <w:pStyle w:val="BodyText"/>
        <w:spacing w:line="480" w:lineRule="auto"/>
        <w:ind w:firstLine="720"/>
      </w:pPr>
      <w:r>
        <w:t xml:space="preserve">The signal is this. When a topic retrieval built around a strategic theme returns a large block of human-factors and analog-mission science, it indicates that the retrieval is sampling the general space-research literature broadly rather than a tightly bounded strategic subfield. That breadth has a direct consequence for the models. The human-factors records tend to be metadata-rich, keyword-dense, and, in the journal family, comparatively well cited, which means they load onto the citation predictor without carrying chokepoint content. Understanding this is essential to reading the negative citation coefficient in Chapter 6 correctly, because it is precisely these well-cited, off-theme records that pull citation attention away from the theme-dense records. The human-factors literature is thus not a distraction from the argument; it is part of the measurement structure the argument has to account for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bookmarkEnd w:id="77"/>
    <w:bookmarkStart w:id="78" w:name="X89aca300e0c12bff712202e7d69b7fc60830a4c"/>
    <w:p>
      <w:pPr>
        <w:pStyle w:val="Heading2"/>
        <w:spacing w:line="480" w:lineRule="auto"/>
      </w:pPr>
      <w:r>
        <w:t xml:space="preserve">2.4b Technology and Mission-Hardware Records as Attention Anchors</w:t>
      </w:r>
    </w:p>
    <w:p>
      <w:pPr>
        <w:pStyle w:val="FirstParagraph"/>
        <w:spacing w:line="480" w:lineRule="auto"/>
      </w:pPr>
      <w:r>
        <w:t xml:space="preserve">A parallel block of the corpus consists of mission-hardware and technology-demonstration work: dual-band circular-polarization antenna design for a small-satellite mission</w:t>
      </w:r>
      <w:r>
        <w:t xml:space="preserve"> </w:t>
      </w:r>
      <w:hyperlink w:anchor="ref-11">
        <w:r>
          <w:rPr>
            <w:rStyle w:val="Hyperlink"/>
          </w:rPr>
          <w:t xml:space="preserve">[11]</w:t>
        </w:r>
      </w:hyperlink>
      <w:r>
        <w:t xml:space="preserve">, power-system optimization for a modular experiment carrier on an analog lunar demonstration</w:t>
      </w:r>
      <w:r>
        <w:t xml:space="preserve"> </w:t>
      </w:r>
      <w:hyperlink w:anchor="ref-12">
        <w:r>
          <w:rPr>
            <w:rStyle w:val="Hyperlink"/>
          </w:rPr>
          <w:t xml:space="preserve">[12]</w:t>
        </w:r>
      </w:hyperlink>
      <w:r>
        <w:t xml:space="preserve">, and long-horizon propulsion concepts such as interstellar sail studies</w:t>
      </w:r>
      <w:r>
        <w:t xml:space="preserve"> </w:t>
      </w:r>
      <w:hyperlink w:anchor="ref-16">
        <w:r>
          <w:rPr>
            <w:rStyle w:val="Hyperlink"/>
          </w:rPr>
          <w:t xml:space="preserve">[16]</w:t>
        </w:r>
      </w:hyperlink>
      <w:r>
        <w:t xml:space="preserve">. Like the human-factors records, these are engineering contributions with no strategic-concentration content, and like the human-factors records, several of them carry citations.</w:t>
      </w:r>
    </w:p>
    <w:p>
      <w:pPr>
        <w:pStyle w:val="BodyText"/>
        <w:spacing w:line="480" w:lineRule="auto"/>
        <w:ind w:firstLine="720"/>
      </w:pPr>
      <w:r>
        <w:t xml:space="preserve">Their role in the review is to make visible a structural fact about how attention distributes in this field. Citations in space research concentrate on tractable engineering and science contributions that other researchers build on directly, not on the synthesis-and-governance documents where strategic frames such as the chokepoint analogy actually live. This is a general feature of applied technical fields, and it sets up the central tension the dissertation measures: the records that carry the strategic idea and the records that carry the citations are, to a first approximation, disjoint sets. The literature does not lack attention and does not lack strategic framing; it keeps them in separate compartments, and the cross-sectional model is designed to detect exactly that separation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78"/>
    <w:bookmarkStart w:id="79" w:name="the-gap-this-dissertation-occupies"/>
    <w:p>
      <w:pPr>
        <w:pStyle w:val="Heading2"/>
        <w:spacing w:line="480" w:lineRule="auto"/>
      </w:pPr>
      <w:r>
        <w:t xml:space="preserve">2.5 The Gap This Dissertation Occupies</w:t>
      </w:r>
    </w:p>
    <w:p>
      <w:pPr>
        <w:pStyle w:val="FirstParagraph"/>
        <w:spacing w:line="480" w:lineRule="auto"/>
      </w:pPr>
      <w:r>
        <w:t xml:space="preserve">Two gaps emerge from placing the three conversations side by side.</w:t>
      </w:r>
    </w:p>
    <w:p>
      <w:pPr>
        <w:pStyle w:val="BodyText"/>
        <w:spacing w:line="480" w:lineRule="auto"/>
        <w:ind w:firstLine="720"/>
      </w:pPr>
      <w:r>
        <w:t xml:space="preserve">The first gap is between technical work and institutional explanation. Operational studies identify where the environment is crowded and where passage is costly, but they do not explain why strategic language hardens around some regions and stays loose around others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strategists assert the hardening; the engineers measure the environment; no one connects the two with a reproducible test.</w:t>
      </w:r>
    </w:p>
    <w:p>
      <w:pPr>
        <w:pStyle w:val="BodyText"/>
        <w:spacing w:line="480" w:lineRule="auto"/>
        <w:ind w:firstLine="720"/>
      </w:pPr>
      <w:r>
        <w:t xml:space="preserve">The second gap is between policy salience and measurement. Citation attention, publication recency, and venue family can reveal how a topic is distributed across a retrieved corpus, yet those signals still require careful interpretation before they can support a strategic claim</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bibliometric premise is sound in principle but has not been applied to the specific proposition that orbital contest concentrates at chokepoints.</w:t>
      </w:r>
    </w:p>
    <w:p>
      <w:pPr>
        <w:pStyle w:val="BodyText"/>
        <w:spacing w:line="480" w:lineRule="auto"/>
        <w:ind w:firstLine="720"/>
      </w:pPr>
      <w:r>
        <w:t xml:space="preserve">This dissertation responds by converting the literature into an auditable design rather than a synthesis essay. Source records become rows. Variables are constructed from observable fields and documented in configuration files. Interpretation stays inside the estimator output. The contribution is not a new theory of orbital strategy and not a new operational instrument. It is the first reproducible measurement of whether the documentary trace of the chokepoint topic is structured enough to bear the weight strategists have placed on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Where prior work asserts, this work tests, and where the test is weak, this work says so.</w:t>
      </w:r>
    </w:p>
    <w:bookmarkEnd w:id="79"/>
    <w:bookmarkStart w:id="80" w:name="Xed51b5d42b4111eb8a6181ead55ce4051ab93ff"/>
    <w:p>
      <w:pPr>
        <w:pStyle w:val="Heading2"/>
        <w:spacing w:line="480" w:lineRule="auto"/>
      </w:pPr>
      <w:r>
        <w:t xml:space="preserve">2.6 What Prior Work Would Predict for the Two Models</w:t>
      </w:r>
    </w:p>
    <w:p>
      <w:pPr>
        <w:pStyle w:val="FirstParagraph"/>
        <w:spacing w:line="480" w:lineRule="auto"/>
      </w:pPr>
      <w:r>
        <w:t xml:space="preserve">It is possible to derive, from the three literatures, a prior expectation for each model, and stating that prior in advance sharpens what the results in Chapter 6 will mean.</w:t>
      </w:r>
    </w:p>
    <w:p>
      <w:pPr>
        <w:pStyle w:val="BodyText"/>
        <w:spacing w:line="480" w:lineRule="auto"/>
        <w:ind w:firstLine="720"/>
      </w:pPr>
      <w:r>
        <w:t xml:space="preserve">From the strategic literature, one would predict a positive recency effect. If the chokepoint frame is gaining traction, as its proponents claim, recent records should carry more of the topic signal than older ones, because the debate is described as intensifying. From the governance and economics literature, one would predict a positive venue effect, because that literature is where the frame concentrates, and the venue coding places economy-and-policy synthesis at the top of the ordinal scale. From the bibliometric literature, the prediction for the citation effect is genuinely ambiguous: attention could track substantive centrality, predicting a positive coefficient, or it could track the mechanics of accrual and the off-theme engineering core, predicting a negative one. And from the maturity framing that runs through the sustainability literature, one would predict a positive age elasticity in the accumulation model if the field is consolidating.</w:t>
      </w:r>
    </w:p>
    <w:p>
      <w:pPr>
        <w:pStyle w:val="BodyText"/>
        <w:spacing w:line="480" w:lineRule="auto"/>
        <w:ind w:firstLine="720"/>
      </w:pPr>
      <w:r>
        <w:t xml:space="preserve">Holding those priors up against the results reported later is instructive, because it turns each null into a specific disappointment of a specific expectation rather than a generic absence. The recency null disappoints the strategic literature’s intensification claim. The venue null disappoints the governance literature’s concentration claim. The accumulation null disappoints the maturity framing. Only the citation effect returns a clear signal, and it returns the pessimistic branch of the bibliometric prior. Reading the results this way, against explicit prior expectations drawn from the literature, is what converts a set of weak coefficients into an argument about the state of the field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review therefore closes with a claim about position, not about outcome. The sea-power analogy has borrowed prestige from Mahan, physical plausibility from the transfer and sensor literatures, and moral urgency from the sustainability literature</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5">
        <w:r>
          <w:rPr>
            <w:rStyle w:val="Hyperlink"/>
          </w:rPr>
          <w:t xml:space="preserve">[5]</w:t>
        </w:r>
      </w:hyperlink>
      <w:r>
        <w:t xml:space="preserve">. What it has not earned is a measurement. Supplying that measurement, and being candid about how much or how little structure it reveals, is the space this dissertation occupies, and the chapters that follow build the instrument and report the result without inflating either.</w:t>
      </w:r>
    </w:p>
    <w:p>
      <w:pPr>
        <w:pStyle w:val="BodyText"/>
        <w:spacing w:line="480" w:lineRule="auto"/>
        <w:ind w:firstLine="720"/>
      </w:pPr>
      <w:r>
        <w:t xml:space="preserve">One further observation about the literature closes the chapter. The three conversations do not merely fail to cite one another; they operate at different evidentiary standards. The strategic conversation accepts analogy as argument. The operational conversation demands measurement and replication. The governance conversation sits between them, modeling explicitly but reasoning toward policy under acknowledged uncertainty</w:t>
      </w:r>
      <w:r>
        <w:t xml:space="preserve"> </w:t>
      </w:r>
      <w:hyperlink w:anchor="ref-5">
        <w:r>
          <w:rPr>
            <w:rStyle w:val="Hyperlink"/>
          </w:rPr>
          <w:t xml:space="preserve">[5]</w:t>
        </w:r>
      </w:hyperlink>
      <w:r>
        <w:t xml:space="preserve">. A dissertation that wants to test a strategic claim has to import the operational conversation’s standard into the strategic conversation’s subject matter, which is precisely the maneuver this study performs. It takes a claim generated in the analogical register and subjects it to the evidentiary register of measurement, and the friction between those registers is where the contribution lives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rapid-launch and access literature offers a final illustration of the seam this dissertation works. A conceptual framework for rapid space launch treats timely orbital insertion as a strategic capability, which is a claim squarely at the intersection of operations and strategy</w:t>
      </w:r>
      <w:r>
        <w:t xml:space="preserve"> </w:t>
      </w:r>
      <w:hyperlink w:anchor="ref-6">
        <w:r>
          <w:rPr>
            <w:rStyle w:val="Hyperlink"/>
          </w:rPr>
          <w:t xml:space="preserve">[6]</w:t>
        </w:r>
      </w:hyperlink>
      <w:r>
        <w:t xml:space="preserve">. It is quantitative enough to be operational and consequential enough to be strategic, yet it stops short of asking whether that capability concentrates advantage at identifiable points. That is the recurring pattern across the retained corpus: the pieces of a rigorous chokepoint test exist, scattered across venue families and evidentiary registers, but no one has assembled them, and the strategic claim continues to rest on analogy while the operational evidence sits unconnected beside it</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80"/>
    <w:bookmarkEnd w:id="81"/>
    <w:bookmarkStart w:id="93" w:name="chapter-3.-theory-and-hypotheses"/>
    <w:p>
      <w:pPr>
        <w:pStyle w:val="Heading1"/>
        <w:spacing w:line="480" w:lineRule="auto"/>
      </w:pPr>
      <w:r>
        <w:t xml:space="preserve">Chapter 3. Theory and Hypotheses</w:t>
      </w:r>
    </w:p>
    <w:p>
      <w:pPr>
        <w:pStyle w:val="FirstParagraph"/>
        <w:spacing w:line="480" w:lineRule="auto"/>
      </w:pPr>
      <w:r>
        <w:t xml:space="preserve">Theory earns its place in an empirical dissertation by doing two jobs. It has to say what the world would look like if a claim were true, and it has to say what the world would look like if the claim were false, in terms specific enough that a dataset can tell the two apart. This chapter builds a mechanism for the orbital-chokepoint proposition that meets both requirements, derives two testable hypotheses from it, and names in advance the rival explanations a weak result would have to survive.</w:t>
      </w:r>
    </w:p>
    <w:bookmarkStart w:id="82" w:name="from-metaphor-to-mechanism"/>
    <w:p>
      <w:pPr>
        <w:pStyle w:val="Heading2"/>
        <w:spacing w:line="480" w:lineRule="auto"/>
      </w:pPr>
      <w:r>
        <w:t xml:space="preserve">3.1 From Metaphor to Mechanism</w:t>
      </w:r>
    </w:p>
    <w:p>
      <w:pPr>
        <w:pStyle w:val="FirstParagraph"/>
        <w:spacing w:line="480" w:lineRule="auto"/>
      </w:pPr>
      <w:r>
        <w:t xml:space="preserve">The sea-power analogy asserts that orbital rivalry concentrates at decisive points. To test anything, that assertion has to be converted into a mechanism with observable consequences. The mechanism proposed here is a salience mechanism, and it runs as follows.</w:t>
      </w:r>
    </w:p>
    <w:p>
      <w:pPr>
        <w:pStyle w:val="BodyText"/>
        <w:spacing w:line="480" w:lineRule="auto"/>
        <w:ind w:firstLine="720"/>
      </w:pPr>
      <w:r>
        <w:t xml:space="preserve">If a strategic idea is becoming consequential in a domain, the actors who work in that domain, engineers, planners, regulators, and analysts, respond to it. They write about it. They cite the work that frames it. They publish in the venues that host the debate. The idea acquires a documentary footprint. A consequential idea should therefore leave a structured trace in the literature: a trace that varies systematically with when work appeared, how much attention it drew, and where it was published. A merely rhetorical idea, one that circulates as vocabulary without organizing real activity, should leave a diffuse and unstructured trace instead.</w:t>
      </w:r>
    </w:p>
    <w:p>
      <w:pPr>
        <w:pStyle w:val="BodyText"/>
        <w:spacing w:line="480" w:lineRule="auto"/>
        <w:ind w:firstLine="720"/>
      </w:pPr>
      <w:r>
        <w:t xml:space="preserve">That is the whole logic. It is deliberately weak in one specific sense: it cannot prove that orbital contest concentrates at chokepoints. It can only test whether the topic behaves in the record like a consequential idea or like an ambient metaphor. A screen of this kind sits one full step below a causal test, and the theory is honest about that distance rather than papering over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mechanism has an important asymmetry. Detecting structure would be consistent with the topic being consequential, but would not confirm it, because structure can arise from publishing dynamics unrelated to strategic substance. Failing to detect structure, by contrast, is a stronger negative signal, because a genuinely organizing idea should be hard to keep invisible across thirty records spanning multiple venues and two decades. The design is thus better at falsifying overclaim than at confirming importance, and it is used for exactly that purpose.</w:t>
      </w:r>
    </w:p>
    <w:bookmarkEnd w:id="82"/>
    <w:bookmarkStart w:id="83" w:name="the-cross-sectional-hypothesis"/>
    <w:p>
      <w:pPr>
        <w:pStyle w:val="Heading2"/>
        <w:spacing w:line="480" w:lineRule="auto"/>
      </w:pPr>
      <w:r>
        <w:t xml:space="preserve">3.2 The Cross-Sectional Hypothesis</w:t>
      </w:r>
    </w:p>
    <w:p>
      <w:pPr>
        <w:pStyle w:val="FirstParagraph"/>
        <w:spacing w:line="480" w:lineRule="auto"/>
      </w:pPr>
      <w:r>
        <w:t xml:space="preserve">The first hypothesis concerns structure across records: whether the intensity of the topic signal is associated with observable features of each record.</w:t>
      </w:r>
    </w:p>
    <w:p>
      <w:pPr>
        <w:pStyle w:val="BodyText"/>
        <w:spacing w:line="480" w:lineRule="auto"/>
        <w:ind w:firstLine="720"/>
      </w:pPr>
      <w:r>
        <w:t xml:space="preserve">Paper 1 operationalizes this through the composite signal score and three predictors: a publication recency index, a citation count from the local index, and an ordinal venue-family score. The reasoning behind each predictor is specific.</w:t>
      </w:r>
    </w:p>
    <w:p>
      <w:pPr>
        <w:pStyle w:val="BodyText"/>
        <w:spacing w:line="480" w:lineRule="auto"/>
        <w:ind w:firstLine="720"/>
      </w:pPr>
      <w:r>
        <w:t xml:space="preserve">Recency matters because a maturing strategic idea should appear more intensely in newer work as the debate crystallizes. If the chokepoint frame is gaining organizing power, recent records should carry a stronger signal than older ones. A flat or negative relationship would undercut the maturation story.</w:t>
      </w:r>
    </w:p>
    <w:p>
      <w:pPr>
        <w:pStyle w:val="BodyText"/>
        <w:spacing w:line="480" w:lineRule="auto"/>
        <w:ind w:firstLine="720"/>
      </w:pPr>
      <w:r>
        <w:t xml:space="preserve">Citation attention matters because scholarly weight tends to concentrate on the records that anchor a debate. If the topic is consequential, the more-cited records should carry more of the signal, because attention and substantive centrality usually move together. A negative relationship would be surprising and would demand interpretation, because it would mean the signal lives in the periphery of the citation distribution rather than at its core.</w:t>
      </w:r>
    </w:p>
    <w:p>
      <w:pPr>
        <w:pStyle w:val="BodyText"/>
        <w:spacing w:line="480" w:lineRule="auto"/>
        <w:ind w:firstLine="720"/>
      </w:pPr>
      <w:r>
        <w:t xml:space="preserve">Venue family matters because different publication families host different registers of argument. The ordinal coding places conference-technical work at one end, journal science in the middle, and economy-and-policy synthesis at the other. If the chokepoint frame is primarily a governance-and-economics idea, the signal should rise with the venue score. If it is primarily a technical artifact, it should not.</w:t>
      </w:r>
    </w:p>
    <w:p>
      <w:pPr>
        <w:pStyle w:val="BodyText"/>
        <w:spacing w:line="480" w:lineRule="auto"/>
        <w:ind w:firstLine="720"/>
      </w:pPr>
      <w:r>
        <w:t xml:space="preserve">The hypotheses are stated formally as follows.</w:t>
      </w:r>
    </w:p>
    <w:p>
      <w:pPr>
        <w:pStyle w:val="BodyText"/>
        <w:spacing w:line="480" w:lineRule="auto"/>
        <w:ind w:firstLine="720"/>
      </w:pPr>
      <w:r>
        <w:t xml:space="preserve">H0(1): the topic-signal score is unrelated to publication recency, citation attention, and venue family.</w:t>
      </w:r>
    </w:p>
    <w:p>
      <w:pPr>
        <w:pStyle w:val="BodyText"/>
        <w:spacing w:line="480" w:lineRule="auto"/>
        <w:ind w:firstLine="720"/>
      </w:pPr>
      <w:r>
        <w:t xml:space="preserve">H1(1): the topic-signal score is systematically related to at least one of publication recency, citation attention, and venue family, and in particular rises with recency and citation attention.</w:t>
      </w:r>
    </w:p>
    <w:p>
      <w:pPr>
        <w:pStyle w:val="BodyText"/>
        <w:spacing w:line="480" w:lineRule="auto"/>
        <w:ind w:firstLine="720"/>
      </w:pPr>
      <w:r>
        <w:t xml:space="preserve">The joint F test evaluates the overall relationship, and the individual coefficients locate which predictor, if any, carries the association.</w:t>
      </w:r>
    </w:p>
    <w:bookmarkEnd w:id="83"/>
    <w:bookmarkStart w:id="84" w:name="the-accumulation-hypothesis"/>
    <w:p>
      <w:pPr>
        <w:pStyle w:val="Heading2"/>
        <w:spacing w:line="480" w:lineRule="auto"/>
      </w:pPr>
      <w:r>
        <w:t xml:space="preserve">3.3 The Accumulation Hypothesis</w:t>
      </w:r>
    </w:p>
    <w:p>
      <w:pPr>
        <w:pStyle w:val="FirstParagraph"/>
        <w:spacing w:line="480" w:lineRule="auto"/>
      </w:pPr>
      <w:r>
        <w:t xml:space="preserve">The second hypothesis concerns structure over time: whether attention to the topic accumulates in the age-patterned way that a maturing evidence base would exhibit.</w:t>
      </w:r>
    </w:p>
    <w:p>
      <w:pPr>
        <w:pStyle w:val="BodyText"/>
        <w:spacing w:line="480" w:lineRule="auto"/>
        <w:ind w:firstLine="720"/>
      </w:pPr>
      <w:r>
        <w:t xml:space="preserve">Paper 2 operationalizes this through a learning-curve specification, regressing the logarithm of citation-count-plus-one on the logarithm of an article-age index. The learning-curve form is chosen because it encodes a specific, testable expectation. In a field where attention accumulates predictably with exposure time, older records should carry more citations, and the relationship should be smooth in log space, yielding a positive age elasticity and a progress ratio below one. A field with no such structure should return an elasticity indistinguishable from zero.</w:t>
      </w:r>
    </w:p>
    <w:p>
      <w:pPr>
        <w:pStyle w:val="BodyText"/>
        <w:spacing w:line="480" w:lineRule="auto"/>
        <w:ind w:firstLine="720"/>
      </w:pPr>
      <w:r>
        <w:t xml:space="preserve">The hypotheses are stated formally as follows.</w:t>
      </w:r>
    </w:p>
    <w:p>
      <w:pPr>
        <w:pStyle w:val="BodyText"/>
        <w:spacing w:line="480" w:lineRule="auto"/>
        <w:ind w:firstLine="720"/>
      </w:pPr>
      <w:r>
        <w:t xml:space="preserve">H0(2): citation accumulation is unrelated to article age in the retrieved topic literature.</w:t>
      </w:r>
    </w:p>
    <w:p>
      <w:pPr>
        <w:pStyle w:val="BodyText"/>
        <w:spacing w:line="480" w:lineRule="auto"/>
        <w:ind w:firstLine="720"/>
      </w:pPr>
      <w:r>
        <w:t xml:space="preserve">H1(2): citation accumulation follows a measurable age-based attention curve, with a nonzero age elasticity.</w:t>
      </w:r>
    </w:p>
    <w:p>
      <w:pPr>
        <w:pStyle w:val="BodyText"/>
        <w:spacing w:line="480" w:lineRule="auto"/>
        <w:ind w:firstLine="720"/>
      </w:pPr>
      <w:r>
        <w:t xml:space="preserve">The elasticity is the parameter of interest. Its sign tells the direction of accumulation, its magnitude tells the strength, and its p value tells whether the pattern is distinguishable from noise inside this corpus.</w:t>
      </w:r>
    </w:p>
    <w:bookmarkEnd w:id="84"/>
    <w:bookmarkStart w:id="85" w:name="a-the-scope-conditions-of-the-mechanism"/>
    <w:p>
      <w:pPr>
        <w:pStyle w:val="Heading2"/>
        <w:spacing w:line="480" w:lineRule="auto"/>
      </w:pPr>
      <w:r>
        <w:t xml:space="preserve">3.3a The Scope Conditions of the Mechanism</w:t>
      </w:r>
    </w:p>
    <w:p>
      <w:pPr>
        <w:pStyle w:val="FirstParagraph"/>
        <w:spacing w:line="480" w:lineRule="auto"/>
      </w:pPr>
      <w:r>
        <w:t xml:space="preserve">Every mechanism holds only under conditions, and naming those conditions is part of stating it responsibly. The salience mechanism assumes three things about the domain it is applied to. It assumes that consequential ideas do get written about, which is true of an academic and professional field that publishes but would fail for a domain whose important developments are classified or proprietary. It assumes that the retrieval captures a representative slice of what is written, which holds only to the degree that the venue families sampled overlap with where the strategic conversation actually happens. And it assumes that the measurement window is long enough for traces to have formed, which is plausible over the two decades the corpus spans but would fail for an idea only months old.</w:t>
      </w:r>
    </w:p>
    <w:p>
      <w:pPr>
        <w:pStyle w:val="BodyText"/>
        <w:spacing w:line="480" w:lineRule="auto"/>
        <w:ind w:firstLine="720"/>
      </w:pPr>
      <w:r>
        <w:t xml:space="preserve">These scope conditions matter because a null result means different things depending on which condition is in doubt. If ideas are written about and retrieval is representative and the window is adequate, then a null result is genuine evidence that the idea is not organizing measurable activity. If instead the strategic conversation is happening in classified channels or in venues outside the sampled families, then a null result reflects a blind spot in the instrument rather than an absence in the world. The dissertation cannot fully verify its scope conditions, and it therefore treats null results as conditional on them, which is the honest posture. Stating the conditions in advance is what lets a reader judge how much a null is worth</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5"/>
    <w:bookmarkStart w:id="86" w:name="why-two-models-rather-than-one"/>
    <w:p>
      <w:pPr>
        <w:pStyle w:val="Heading2"/>
        <w:spacing w:line="480" w:lineRule="auto"/>
      </w:pPr>
      <w:r>
        <w:t xml:space="preserve">3.4 Why Two Models Rather Than One</w:t>
      </w:r>
    </w:p>
    <w:p>
      <w:pPr>
        <w:pStyle w:val="FirstParagraph"/>
        <w:spacing w:line="480" w:lineRule="auto"/>
      </w:pPr>
      <w:r>
        <w:t xml:space="preserve">The two hypotheses are complementary, not redundant, and the reason is substantive. A topic can be visible in a corpus for two very different reasons. It can be visible because a handful of records are intensely on-topic at one moment, which is a cross-sectional fact. Or it can be visible because attention has built up over years as the field matured, which is a temporal fact. These carry different meanings for governance. A cross-sectional spike suggests a live but possibly transient debate. A temporal accumulation suggests an institutionalizing evidence base.</w:t>
      </w:r>
    </w:p>
    <w:p>
      <w:pPr>
        <w:pStyle w:val="BodyText"/>
        <w:spacing w:line="480" w:lineRule="auto"/>
        <w:ind w:firstLine="720"/>
      </w:pPr>
      <w:r>
        <w:t xml:space="preserve">Running both models lets the dissertation distinguish these stories rather than conflating them. If Paper 1 finds cross-sectional structure but Paper 2 finds no accumulation, the topic looks like an active debate without a maturing base. If both find structure, the topic looks like a consolidating field. If neither finds structure, the topic looks like an ambient metaphor. The design space is richer than a single model would allow, and the interpretation in Chapter 6 exploits that richness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6"/>
    <w:bookmarkStart w:id="87" w:name="rival-explanations-named-in-advance"/>
    <w:p>
      <w:pPr>
        <w:pStyle w:val="Heading2"/>
        <w:spacing w:line="480" w:lineRule="auto"/>
      </w:pPr>
      <w:r>
        <w:t xml:space="preserve">3.5 Rival Explanations Named in Advance</w:t>
      </w:r>
    </w:p>
    <w:p>
      <w:pPr>
        <w:pStyle w:val="FirstParagraph"/>
        <w:spacing w:line="480" w:lineRule="auto"/>
      </w:pPr>
      <w:r>
        <w:t xml:space="preserve">A disciplined test states what it would accept as a rival account before it sees which account the data favor. Four rivals are named here.</w:t>
      </w:r>
    </w:p>
    <w:p>
      <w:pPr>
        <w:pStyle w:val="BodyText"/>
        <w:spacing w:line="480" w:lineRule="auto"/>
        <w:ind w:firstLine="720"/>
      </w:pPr>
      <w:r>
        <w:t xml:space="preserve">The first rival is a venue-coverage account. Any structure the models detect could reflect which venue families were retrievable rather than the true distribution of strategic activity. Conference proceedings, journals, and economy synthesis differ in how they report citations and keywords, and that difference alone can generate apparent structure.</w:t>
      </w:r>
    </w:p>
    <w:p>
      <w:pPr>
        <w:pStyle w:val="BodyText"/>
        <w:spacing w:line="480" w:lineRule="auto"/>
        <w:ind w:firstLine="720"/>
      </w:pPr>
      <w:r>
        <w:t xml:space="preserve">The second rival is a citation-age account. Citation counts favor older and more accessible records regardless of substantive centrality. A relationship involving citations could therefore encode the mechanics of citation accrual rather than the salience of the chokepoint idea.</w:t>
      </w:r>
    </w:p>
    <w:p>
      <w:pPr>
        <w:pStyle w:val="BodyText"/>
        <w:spacing w:line="480" w:lineRule="auto"/>
        <w:ind w:firstLine="720"/>
      </w:pPr>
      <w:r>
        <w:t xml:space="preserve">The third rival is a metadata-availability account. The signal score is built from term hits in titles, snippets, keywords, and author metadata. Records with richer metadata have more surface for hits. Apparent signal intensity could track metadata density rather than topical intensity.</w:t>
      </w:r>
    </w:p>
    <w:p>
      <w:pPr>
        <w:pStyle w:val="BodyText"/>
        <w:spacing w:line="480" w:lineRule="auto"/>
        <w:ind w:firstLine="720"/>
      </w:pPr>
      <w:r>
        <w:t xml:space="preserve">The fourth rival is a proxy-slippage account. The signal score is a proxy for topical salience, not a direct measure of strategic contest. Even a clean association between signal score and a predictor would remain an association among proxies, one step removed from the orbital-contest outcome the metaphor actually asserts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These rivals are not nuisances to be dismissed. They are the reasons the interpretation stays conditional. Each surviving or failing coefficient in Chapter 6 is read against this list, so that a precise result is credited only to the extent that it resists the rivals, and a weak result is treated as informative about the limits of the present record</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87"/>
    <w:bookmarkStart w:id="88" w:name="a-formalizing-the-salience-mechanism"/>
    <w:p>
      <w:pPr>
        <w:pStyle w:val="Heading2"/>
        <w:spacing w:line="480" w:lineRule="auto"/>
      </w:pPr>
      <w:r>
        <w:t xml:space="preserve">3.5a Formalizing the Salience Mechanism</w:t>
      </w:r>
    </w:p>
    <w:p>
      <w:pPr>
        <w:pStyle w:val="FirstParagraph"/>
        <w:spacing w:line="480" w:lineRule="auto"/>
      </w:pPr>
      <w:r>
        <w:t xml:space="preserve">The salience mechanism can be stated more formally, which helps clarify what the models test and what they leave untouched. Let the true strategic consequence of the chokepoint frame be a latent quantity, unobserved, that captures how much the idea actually organizes activity in the domain. The mechanism posits that this latent consequence generates observable documentary traces through a measurement process: consequence raises the probability that work is written on the topic, that such work is cited, and that it clusters in particular venues and years. The signal score, the citation count, the venue code, and the age index are all noisy, partial observations of that generating process.</w:t>
      </w:r>
    </w:p>
    <w:p>
      <w:pPr>
        <w:pStyle w:val="BodyText"/>
        <w:spacing w:line="480" w:lineRule="auto"/>
        <w:ind w:firstLine="720"/>
      </w:pPr>
      <w:r>
        <w:t xml:space="preserve">Two features of this formalization matter. First, the mapping from latent consequence to observable trace is many-to-one and lossy. A high latent consequence can produce a weak trace if the field is young, if the relevant work is uncited, or if the vocabulary has not yet standardized. This is why a null result cannot prove the latent consequence is zero; it can only show that the trace, as measured, is weak. Second, the mapping is contaminated. Observable traces are also generated by processes unrelated to strategic consequence, such as general publishing growth and the citation habits of an engineering field, and those contaminating processes are exactly the rival explanations named below. The models estimate associations in the observable traces; they do not recover the latent consequence directly. Keeping that distinction explicit is what prevents the interpretation from sliding, silently, from a claim about traces to a claim about strategy</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88"/>
    <w:bookmarkStart w:id="89" w:name="b-the-direction-of-each-predicted-sign"/>
    <w:p>
      <w:pPr>
        <w:pStyle w:val="Heading2"/>
        <w:spacing w:line="480" w:lineRule="auto"/>
      </w:pPr>
      <w:r>
        <w:t xml:space="preserve">3.5b The Direction of Each Predicted Sign</w:t>
      </w:r>
    </w:p>
    <w:p>
      <w:pPr>
        <w:pStyle w:val="FirstParagraph"/>
        <w:spacing w:line="480" w:lineRule="auto"/>
      </w:pPr>
      <w:r>
        <w:t xml:space="preserve">The hypotheses are not merely about whether coefficients differ from zero; the mechanism predicts specific signs, and stating them in advance is part of making the test falsifiable. For the cross-sectional model, the maturation logic predicts a positive recency coefficient, the centrality logic predicts a positive citation coefficient, and the register logic predicts a positive venue coefficient. For the accumulation model, the consolidation logic predicts a positive age elasticity.</w:t>
      </w:r>
    </w:p>
    <w:p>
      <w:pPr>
        <w:pStyle w:val="BodyText"/>
        <w:spacing w:line="480" w:lineRule="auto"/>
        <w:ind w:firstLine="720"/>
      </w:pPr>
      <w:r>
        <w:t xml:space="preserve">A study that only asked whether coefficients were nonzero could claim partial success from any significant result regardless of sign. By committing to predicted signs, this design raises the bar: a significant coefficient with the wrong sign is not a confirmation but a puzzle that demands a rival explanation. The negative citation coefficient reported in Chapter 6 is exactly such a puzzle. It is significant, which a sign-blind test would count as support, but its sign is opposite to the centrality prediction, which forces the interpretation toward the citation-mechanics and off-theme-core rivals rather than toward vindication of the frame. Predicting signs in advance is what makes that forcing legitimate rather than post-hoc</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89"/>
    <w:bookmarkStart w:id="90" w:name="the-evidence-ladder"/>
    <w:p>
      <w:pPr>
        <w:pStyle w:val="Heading2"/>
        <w:spacing w:line="480" w:lineRule="auto"/>
      </w:pPr>
      <w:r>
        <w:t xml:space="preserve">3.6 The Evidence Ladder</w:t>
      </w:r>
    </w:p>
    <w:p>
      <w:pPr>
        <w:pStyle w:val="FirstParagraph"/>
        <w:spacing w:line="480" w:lineRule="auto"/>
      </w:pPr>
      <w:r>
        <w:t xml:space="preserve">The theory yields an evidence ladder that governs every later claim. A precise coefficient establishes an association inside the retained corpus, nothing more and nothing less. A stable model fit supports treating the corpus as a usable measurement base for further work. A weak or unstable coefficient remains informative, because it marks the boundary beyond which the available evidence cannot sustain the strategic claim. All three rungs are legitimate scholarly outputs, provided the interpretation stays tethered to the source trail. The chapters that follow build the instrument that climbs this ladder and report exactly how far up it the evidence lets the dissertation stand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0"/>
    <w:bookmarkStart w:id="91" w:name="what-would-falsify-the-contribution"/>
    <w:p>
      <w:pPr>
        <w:pStyle w:val="Heading2"/>
        <w:spacing w:line="480" w:lineRule="auto"/>
      </w:pPr>
      <w:r>
        <w:t xml:space="preserve">3.7 What Would Falsify the Contribution</w:t>
      </w:r>
    </w:p>
    <w:p>
      <w:pPr>
        <w:pStyle w:val="FirstParagraph"/>
        <w:spacing w:line="480" w:lineRule="auto"/>
      </w:pPr>
      <w:r>
        <w:t xml:space="preserve">The single falsifiable contribution deserves a final, explicit statement of its own falsification conditions, because a claim that cannot specify how it would be shown false is not truly falsifiable. The contribution asserts that the topic signal is systematically related to recency, citation attention, and venue family. That assertion is falsified, within this corpus, if the joint model fails to reject the null of no relationship and the individual predictors return estimates indistinguishable from zero in their predicted directions.</w:t>
      </w:r>
    </w:p>
    <w:p>
      <w:pPr>
        <w:pStyle w:val="BodyText"/>
        <w:spacing w:line="480" w:lineRule="auto"/>
        <w:ind w:firstLine="720"/>
      </w:pPr>
      <w:r>
        <w:t xml:space="preserve">This is not a rhetorical safeguard. It is a commitment that binds the interpretation. If the models come back weak, the dissertation is obligated to report that the strong form of its contribution failed, and it does exactly that in Chapter 6. The accumulation hypothesis has a parallel falsification condition: it is falsified if the age elasticity is statistically indistinguishable from zero, which is what the data return. Committing to these conditions in the theory chapter, before the results are read, is what prevents the later chapters from redefining success after the fact. A dissertation that moved its own goalposts once it saw the numbers would forfeit the credibility the screening design is meant to earn. This one fixes the goalposts here and lives with where the ball lands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1"/>
    <w:bookmarkStart w:id="92" w:name="Xcffc83e6f7fa9c135f7015e132c0fccde6d0221"/>
    <w:p>
      <w:pPr>
        <w:pStyle w:val="Heading2"/>
        <w:spacing w:line="480" w:lineRule="auto"/>
      </w:pPr>
      <w:r>
        <w:t xml:space="preserve">3.8 How the Two Hypotheses Inform Policy Differently</w:t>
      </w:r>
    </w:p>
    <w:p>
      <w:pPr>
        <w:pStyle w:val="FirstParagraph"/>
        <w:spacing w:line="480" w:lineRule="auto"/>
      </w:pPr>
      <w:r>
        <w:t xml:space="preserve">The two hypotheses do not merely test different statistical objects; they inform different policy questions, and separating those questions clarifies why both are worth testing. The cross-sectional hypothesis speaks to whether the topic is currently structured, which bears on whether a decision maker should treat the chokepoint frame as a live consideration now. The accumulation hypothesis speaks to whether the topic is maturing, which bears on whether a decision maker should expect the frame to grow into an established body of evidence over time.</w:t>
      </w:r>
    </w:p>
    <w:p>
      <w:pPr>
        <w:pStyle w:val="BodyText"/>
        <w:spacing w:line="480" w:lineRule="auto"/>
        <w:ind w:firstLine="720"/>
      </w:pPr>
      <w:r>
        <w:t xml:space="preserve">These are genuinely different decisions. A frame that is cross-sectionally structured but not accumulating suggests a live debate that may or may not consolidate, arguing for watchful attention. A frame that is accumulating but not yet cross-sectionally structured suggests an emerging base that is worth getting ahead of. A frame that is neither suggests a metaphor that has not yet organized activity in either dimension, arguing against premature commitment. By testing both, the design lets the dissertation locate the chokepoint frame within this policy-relevant space rather than delivering a single undifferentiated verdict. The results place it in the last cell, neither structured nor accumulating in the strong sense, which is the cell that most strongly counsels against building doctrine on the frame today</w:t>
      </w:r>
      <w:r>
        <w:t xml:space="preserve"> </w:t>
      </w:r>
      <w:hyperlink w:anchor="ref-5">
        <w:r>
          <w:rPr>
            <w:rStyle w:val="Hyperlink"/>
          </w:rPr>
          <w:t xml:space="preserve">[5]</w:t>
        </w:r>
      </w:hyperlink>
      <w:r>
        <w:t xml:space="preserve"> </w:t>
      </w:r>
      <w:hyperlink w:anchor="ref-6">
        <w:r>
          <w:rPr>
            <w:rStyle w:val="Hyperlink"/>
          </w:rPr>
          <w:t xml:space="preserve">[6]</w:t>
        </w:r>
      </w:hyperlink>
      <w:r>
        <w:t xml:space="preserve">. Placing the frame in that cell is a policy-relevant act, not merely a statistical one, because it tells a decision maker which of four postures the evidence supports, and it supports the most cautious one</w:t>
      </w:r>
      <w:r>
        <w:t xml:space="preserve"> </w:t>
      </w:r>
      <w:hyperlink w:anchor="ref-4">
        <w:r>
          <w:rPr>
            <w:rStyle w:val="Hyperlink"/>
          </w:rPr>
          <w:t xml:space="preserve">[4]</w:t>
        </w:r>
      </w:hyperlink>
      <w:r>
        <w:t xml:space="preserve">.</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A screen is only as credible as the reasoning that connects its estimator to its claim. This chapter sets out the two estimators the dissertation uses, explains why each is the right tool for the question it answers, and states with precision what each can and cannot identify. The governing principle is restraint. The models are chosen to be transparent and reproducible rather than powerful, because a small, fixed corpus punishes overfitting and rewards estimators whose assumptions a reader can check by eye.</w:t>
      </w:r>
    </w:p>
    <w:bookmarkStart w:id="94" w:name="what-identification-means-here"/>
    <w:p>
      <w:pPr>
        <w:pStyle w:val="Heading2"/>
        <w:spacing w:line="480" w:lineRule="auto"/>
      </w:pPr>
      <w:r>
        <w:t xml:space="preserve">4.1 What Identification Means Here</w:t>
      </w:r>
    </w:p>
    <w:p>
      <w:pPr>
        <w:pStyle w:val="FirstParagraph"/>
        <w:spacing w:line="480" w:lineRule="auto"/>
      </w:pPr>
      <w:r>
        <w:t xml:space="preserve">Identification, in the strict econometric sense, is the argument that a specific estimand can be recovered from the data given the assumptions of the design. This dissertation does not claim causal identification of orbital contest. It makes a narrower identification claim: that a well-defined descriptive parameter, the association between the topic signal and each observable predictor, can be recovered from the retained corpus under ordinary regression assumptions, and that the parameter is meaningful as a measure of documentary structure.</w:t>
      </w:r>
    </w:p>
    <w:p>
      <w:pPr>
        <w:pStyle w:val="BodyText"/>
        <w:spacing w:line="480" w:lineRule="auto"/>
        <w:ind w:firstLine="720"/>
      </w:pPr>
      <w:r>
        <w:t xml:space="preserve">The distinction is not a hedge. It is the whole point of a screening design. A causal claim would require a counterfactual, some account of what the signal would have been had a record been published earlier, cited less, or placed in a different venue. No such counterfactual is available from metadata alone. What is available is the conditional association, and the conditional association is exactly what the salience mechanism of Chapter 3 predicts should be nonzero if the topic is consequential. So the estimand is chosen to match the mechanism, and the identification argument is that ordinary least squares recovers that conditional association without bias under its standard assumptions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94"/>
    <w:bookmarkStart w:id="95" w:name="X0a6545b6a4ed1b56276c0f5a705043216a35aa4"/>
    <w:p>
      <w:pPr>
        <w:pStyle w:val="Heading2"/>
        <w:spacing w:line="480" w:lineRule="auto"/>
      </w:pPr>
      <w:r>
        <w:t xml:space="preserve">4.2 Paper 1: Ordinary Least Squares on Topic-Signal Intensity</w:t>
      </w:r>
    </w:p>
    <w:p>
      <w:pPr>
        <w:pStyle w:val="FirstParagraph"/>
        <w:spacing w:line="480" w:lineRule="auto"/>
      </w:pPr>
      <w:r>
        <w:t xml:space="preserve">The first estimator is ordinary least squares. The dependent variable is the composite signal score. The predictors are the recency index, the citation count, and the ordinal venue-family score. The specification recorded in the configuration file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Three properties make ordinary least squares appropriate here. It is the minimum-variance linear unbiased estimator of the conditional mean under the Gauss-Markov assumptions, which is the parameter the salience mechanism cares about. It produces coefficients that read directly as the change in signal score per unit change in a predictor, holding the others fixed, which is exactly the cross-sectional comparison the first hypothesis frames. And it is completely transparent: a reader can reconstruct the fit from the thirty rows with no hidden tuning.</w:t>
      </w:r>
    </w:p>
    <w:p>
      <w:pPr>
        <w:pStyle w:val="BodyText"/>
        <w:spacing w:line="480" w:lineRule="auto"/>
        <w:ind w:firstLine="720"/>
      </w:pPr>
      <w:r>
        <w:t xml:space="preserve">The estimator is run with heteroskedasticity-consistent HC1 standard errors. The reason is specific to the data. The signal score is a bounded count built from term hits, and count-like outcomes routinely exhibit variance that changes with the predictors. Under heteroskedasticity, the coefficient point estimates from ordinary least squares remain unbiased, but the conventional standard errors are wrong. HC1 corrects the standard errors without altering the coefficients, so the inference is robust to a violation that is likely present and hard to rule out in a small sample. This is a conservative choice: it widens intervals rather than narrowing them, which guards against overclaiming precision.</w:t>
      </w:r>
    </w:p>
    <w:p>
      <w:pPr>
        <w:pStyle w:val="BodyText"/>
        <w:spacing w:line="480" w:lineRule="auto"/>
        <w:ind w:firstLine="720"/>
      </w:pPr>
      <w:r>
        <w:t xml:space="preserve">The joint F test and the coefficient-level t tests do different work, and the design uses both. The F test asks whether the three predictors together explain more variation than chance, which is the overall form of the first hypothesis. The individual t tests locate which predictor, if any, carries an association strong enough to survive its own standard error. A design that reported only the F statistic could hide a single meaningful coefficient inside an insignificant model, and a design that reported only individual coefficients could mine for one lucky term. Reporting both is the safeguard.</w:t>
      </w:r>
    </w:p>
    <w:bookmarkEnd w:id="95"/>
    <w:bookmarkStart w:id="96" w:name="Xd9e070c85c95217a8e25bba2fa15bd370202cf0"/>
    <w:p>
      <w:pPr>
        <w:pStyle w:val="Heading2"/>
        <w:spacing w:line="480" w:lineRule="auto"/>
      </w:pPr>
      <w:r>
        <w:t xml:space="preserve">4.3 Paper 2: A Log-Log Learning Curve on Citation Accumulation</w:t>
      </w:r>
    </w:p>
    <w:p>
      <w:pPr>
        <w:pStyle w:val="FirstParagraph"/>
        <w:spacing w:line="480" w:lineRule="auto"/>
      </w:pPr>
      <w:r>
        <w:t xml:space="preserve">The second estimator is a log-log learning-curve regression. The dependent variable is the natural logarithm of citation-count-plus-one. The single predictor is the natural logarithm of an article-age index. The specification recorded in the configuration file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learning-curve form is not an arbitrary functional choice. It encodes a substantive expectation about how attention accumulates. In a maturing field, citations should grow with exposure time at a decreasing rate, which is precisely the behavior a constant-elasticity log-log curve captures. The slope coefficient is the age elasticity of citations, and it maps directly onto a progress ratio, the multiplicative factor by which citations change when age doubles. An elasticity near zero means age carries no accumulation structure; a clearly positive elasticity means older records systematically hold more attention in the way an institutionalizing evidence base would.</w:t>
      </w:r>
    </w:p>
    <w:p>
      <w:pPr>
        <w:pStyle w:val="BodyText"/>
        <w:spacing w:line="480" w:lineRule="auto"/>
        <w:ind w:firstLine="720"/>
      </w:pPr>
      <w:r>
        <w:t xml:space="preserve">Two measurement decisions make the log transformation defensible. Adding one to the citation count before taking the logarithm keeps the transform defined for the many uncited records, a standard treatment for count outcomes with zeros. Indexing age as 2026 minus publication year plus one guarantees a positive argument for every record and fixes the reference year, so the elasticity is interpretable against a stated origin. As in Paper 1, HC1 standard errors are used, because a log-count outcome regressed on a single covariate is again a candidate for heteroskedastic residuals, and the conservative correction protects the inference on the elasticity.</w:t>
      </w:r>
    </w:p>
    <w:bookmarkEnd w:id="96"/>
    <w:bookmarkStart w:id="97" w:name="why-these-two-estimators-together"/>
    <w:p>
      <w:pPr>
        <w:pStyle w:val="Heading2"/>
        <w:spacing w:line="480" w:lineRule="auto"/>
      </w:pPr>
      <w:r>
        <w:t xml:space="preserve">4.4 Why These Two Estimators Together</w:t>
      </w:r>
    </w:p>
    <w:p>
      <w:pPr>
        <w:pStyle w:val="FirstParagraph"/>
        <w:spacing w:line="480" w:lineRule="auto"/>
      </w:pPr>
      <w:r>
        <w:t xml:space="preserve">The pairing is deliberate and the two estimators are not substitutes. Ordinary least squares on the signal score answers a cross-sectional question about the shape of the topic at the level of individual records. The learning curve answers a temporal question about the shape of attention across the age of records. One could hold and the other fail, and that pattern would itself be informative, as Chapter 3 set out. Using two simple, well-understood estimators rather than one complex model keeps every step inspectable, which matters more than statistical sophistication when the sample is thirty and the goal is a reproducible screen rather than a definitive effect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7"/>
    <w:bookmarkStart w:id="98" w:name="X3893030c7f9e1378ce4b160e15ec315eae29f06"/>
    <w:p>
      <w:pPr>
        <w:pStyle w:val="Heading2"/>
        <w:spacing w:line="480" w:lineRule="auto"/>
      </w:pPr>
      <w:r>
        <w:t xml:space="preserve">4.5 Threats to Identification and How the Design Handles Them</w:t>
      </w:r>
    </w:p>
    <w:p>
      <w:pPr>
        <w:pStyle w:val="FirstParagraph"/>
        <w:spacing w:line="480" w:lineRule="auto"/>
      </w:pPr>
      <w:r>
        <w:t xml:space="preserve">Four threats bear on the identification claim, and the design answers each in a specific way rather than in general terms.</w:t>
      </w:r>
    </w:p>
    <w:p>
      <w:pPr>
        <w:pStyle w:val="BodyText"/>
        <w:spacing w:line="480" w:lineRule="auto"/>
        <w:ind w:firstLine="720"/>
      </w:pPr>
      <w:r>
        <w:t xml:space="preserve">Source selection is the first threat. The corpus is the candidate-specific retained set, not a census of all relevant work, so the parameters describe structure inside that set and are not licensed to generalize beyond it. The design handles this by confining every claim to the retained corpus and by refusing population-level language.</w:t>
      </w:r>
    </w:p>
    <w:p>
      <w:pPr>
        <w:pStyle w:val="BodyText"/>
        <w:spacing w:line="480" w:lineRule="auto"/>
        <w:ind w:firstLine="720"/>
      </w:pPr>
      <w:r>
        <w:t xml:space="preserve">Proxy measurement is the second threat. The signal score, the venue score, and the citation count are proxies, not direct measures of strategic contest. The design handles this by naming each variable as a proxy in Chapter 5 and by reading every coefficient as an association among proxies, never as a strategic outcome.</w:t>
      </w:r>
    </w:p>
    <w:p>
      <w:pPr>
        <w:pStyle w:val="BodyText"/>
        <w:spacing w:line="480" w:lineRule="auto"/>
        <w:ind w:firstLine="720"/>
      </w:pPr>
      <w:r>
        <w:t xml:space="preserve">Omitted variables are the third threat. A metadata model cannot include every technical, institutional, or market driver of topical salience, so an estimated coefficient could absorb the influence of something unmeasured. The design handles this by treating the estimates as descriptive conditional associations rather than as structural parameters purged of confounding, which is the honest reading for a screen.</w:t>
      </w:r>
    </w:p>
    <w:p>
      <w:pPr>
        <w:pStyle w:val="BodyText"/>
        <w:spacing w:line="480" w:lineRule="auto"/>
        <w:ind w:firstLine="720"/>
      </w:pPr>
      <w:r>
        <w:t xml:space="preserve">Overinterpretation is the fourth threat, and it is a threat to the prose rather than the math. A weak model invites confident language that the numbers do not support. The design handles this by pre-committing the interpretation to the evidence ladder of Chapter 3: precise coefficients earn association claims, weak coefficients earn boundary claims, and neither earns a causal verdict</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98"/>
    <w:bookmarkStart w:id="99" w:name="a-why-not-a-more-powerful-estimator"/>
    <w:p>
      <w:pPr>
        <w:pStyle w:val="Heading2"/>
        <w:spacing w:line="480" w:lineRule="auto"/>
      </w:pPr>
      <w:r>
        <w:t xml:space="preserve">4.5a Why Not a More Powerful Estimator</w:t>
      </w:r>
    </w:p>
    <w:p>
      <w:pPr>
        <w:pStyle w:val="FirstParagraph"/>
        <w:spacing w:line="480" w:lineRule="auto"/>
      </w:pPr>
      <w:r>
        <w:t xml:space="preserve">A reader trained in modern applied econometrics might ask why the design does not use something more sophisticated: a count model for the signal score, a negative-binomial or Poisson specification for the citations, a penalized regression to handle the small sample, or a hierarchical model that pools information across venue families. Each of these would be defensible in isolation, and the choice to avoid them is deliberate rather than naive.</w:t>
      </w:r>
    </w:p>
    <w:p>
      <w:pPr>
        <w:pStyle w:val="BodyText"/>
        <w:spacing w:line="480" w:lineRule="auto"/>
        <w:ind w:firstLine="720"/>
      </w:pPr>
      <w:r>
        <w:t xml:space="preserve">The governing constraint is that N equals thirty. At that sample size, the gap between a simple estimator and a sophisticated one is dominated by variance, not bias. A negative-binomial model would estimate an additional dispersion parameter from the same thirty observations, spending degrees of freedom the sample cannot spare, and its coefficients would be more sensitive to the handful of high-citation records than the linear estimates are. A hierarchical model would try to learn venue-level variance components from three venue families, one of which has only six records, which is far too few to identify a variance component with any stability. A penalized regression would introduce a tuning choice that a second analyst would have to reproduce exactly, undermining the transparency the design prizes. Ordinary least squares with robust standard errors, by contrast, has no tuning, no auxiliary parameters, and a closed-form solution a reader can verify by hand. For a screen whose purpose is reproducibility rather than efficiency, the simple estimator is not a compromise; it is the correct choice, and the sophisticated alternatives would trade transparency for a precision the sample cannot actually deliver</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99"/>
    <w:bookmarkStart w:id="100" w:name="b-the-role-of-the-progress-ratio"/>
    <w:p>
      <w:pPr>
        <w:pStyle w:val="Heading2"/>
        <w:spacing w:line="480" w:lineRule="auto"/>
      </w:pPr>
      <w:r>
        <w:t xml:space="preserve">4.5b The Role of the Progress Ratio</w:t>
      </w:r>
    </w:p>
    <w:p>
      <w:pPr>
        <w:pStyle w:val="FirstParagraph"/>
        <w:spacing w:line="480" w:lineRule="auto"/>
      </w:pPr>
      <w:r>
        <w:t xml:space="preserve">The learning-curve model reports a progress ratio in addition to the age elasticity, and the two are not independent numbers; the progress ratio is a monotonic transformation of the elasticity, defined as two raised to the elasticity. It is reported because it translates the abstract elasticity into an interpretable quantity: the multiplicative factor by which the citation outcome changes when article age doubles. A progress ratio of one means age doubling leaves citations unchanged, a ratio below one means citations fall as age doubles, and a ratio above one means they rise.</w:t>
      </w:r>
    </w:p>
    <w:p>
      <w:pPr>
        <w:pStyle w:val="BodyText"/>
        <w:spacing w:line="480" w:lineRule="auto"/>
        <w:ind w:firstLine="720"/>
      </w:pPr>
      <w:r>
        <w:t xml:space="preserve">Including the progress ratio serves a specific interpretive discipline. An elasticity of a few tenths sounds small and can be dismissed too quickly, whereas its progress-ratio equivalent forces a concrete reading of what the elasticity would imply if it were real. In the results, the elasticity is not statistically distinguishable from zero, so the progress ratio it maps to must be read as a description of a point estimate that the data cannot confirm, not as an established rate. Reporting both numbers, and being explicit that neither is significant, prevents the progress ratio from being quoted later as if it were a finding. The transformation is a communication device, and its inferential status is inherited entirely from the elasticity it is built from</w:t>
      </w:r>
      <w:r>
        <w:t xml:space="preserve"> </w:t>
      </w:r>
      <w:hyperlink w:anchor="ref-5">
        <w:r>
          <w:rPr>
            <w:rStyle w:val="Hyperlink"/>
          </w:rPr>
          <w:t xml:space="preserve">[5]</w:t>
        </w:r>
      </w:hyperlink>
      <w:r>
        <w:t xml:space="preserve">.</w:t>
      </w:r>
    </w:p>
    <w:bookmarkEnd w:id="100"/>
    <w:bookmarkStart w:id="101" w:name="X34bff7bdecc70b7d639b4b50f6a2be2fbbca54c"/>
    <w:p>
      <w:pPr>
        <w:pStyle w:val="Heading2"/>
        <w:spacing w:line="480" w:lineRule="auto"/>
      </w:pPr>
      <w:r>
        <w:t xml:space="preserve">4.5c The Meaning of HC1 in a Sample of Thirty</w:t>
      </w:r>
    </w:p>
    <w:p>
      <w:pPr>
        <w:pStyle w:val="FirstParagraph"/>
        <w:spacing w:line="480" w:lineRule="auto"/>
      </w:pPr>
      <w:r>
        <w:t xml:space="preserve">The choice of HC1 standard errors, rather than the classical homoskedastic errors or one of the alternative heteroskedasticity-consistent forms, warrants a specific defense at this sample size. Heteroskedasticity-consistent estimators come in a family, and they differ in how aggressively they correct for the leverage of individual observations. The HC1 form applies a simple degrees-of-freedom scaling to the basic sandwich estimator, a scaling that matters precisely when the sample is small relative to the number of parameters, which is the situation here.</w:t>
      </w:r>
    </w:p>
    <w:p>
      <w:pPr>
        <w:pStyle w:val="BodyText"/>
        <w:spacing w:line="480" w:lineRule="auto"/>
        <w:ind w:firstLine="720"/>
      </w:pPr>
      <w:r>
        <w:t xml:space="preserve">There is a genuine tension in the choice. The more aggressive members of the family correct more thoroughly for high-leverage points, which a skewed thirty-record sample has, but they can be unstable when leverage is extreme. HC1 is a middle choice: it improves on the classical errors, which would understate uncertainty under the heteroskedasticity that a bounded count outcome is likely to exhibit, without the volatility of the most aggressive corrections. For a screen whose purpose is a defensible, reproducible reading rather than a knife-edge inference, HC1 is the conservative and standard selection. The point estimates are unaffected by the choice; only the standard errors, and therefore the p values, depend on it, and the dissertation reports which correction was used so that a second analyst can reproduce the inference exactly rather than approximately</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01"/>
    <w:bookmarkStart w:id="102" w:name="reproducibility-as-a-design-requirement"/>
    <w:p>
      <w:pPr>
        <w:pStyle w:val="Heading2"/>
        <w:spacing w:line="480" w:lineRule="auto"/>
      </w:pPr>
      <w:r>
        <w:t xml:space="preserve">4.6 Reproducibility as a Design Requirement</w:t>
      </w:r>
    </w:p>
    <w:p>
      <w:pPr>
        <w:pStyle w:val="FirstParagraph"/>
        <w:spacing w:line="480" w:lineRule="auto"/>
      </w:pPr>
      <w:r>
        <w:t xml:space="preserve">The final methodological commitment is reproducibility. Every estimand is defined in a configuration file, every row carries a source field, and every fit statistic reported in Chapter 6 is the exact output of the embedded workbooks. A second analyst can take the thirty rows, run the two specifications, and obtain the same coefficients, standard errors, and p values to the decimals reported. That property is what separates a screen from an assertion. The strategic literature this dissertation engages has asserted the salience of orbital chokepoints for years; the contribution of this design is that it converts the assertion into a computation anyone can repeat, and it reports the outcome of that computation whether or not the outcome flatters the metaphor</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2"/>
    <w:bookmarkStart w:id="103" w:name="what-the-estimators-cannot-deliver"/>
    <w:p>
      <w:pPr>
        <w:pStyle w:val="Heading2"/>
        <w:spacing w:line="480" w:lineRule="auto"/>
      </w:pPr>
      <w:r>
        <w:t xml:space="preserve">4.7 What the Estimators Cannot Deliver</w:t>
      </w:r>
    </w:p>
    <w:p>
      <w:pPr>
        <w:pStyle w:val="FirstParagraph"/>
        <w:spacing w:line="480" w:lineRule="auto"/>
      </w:pPr>
      <w:r>
        <w:t xml:space="preserve">Honesty about an instrument includes stating what it cannot do, and the two estimators here have hard limits that no amount of careful execution removes. Neither estimator can establish causation. A regression coefficient describes a conditional association, and a conditional association is compatible with many causal structures, including reverse causation and common causes outside the model. When Chapter 6 reports that citation attention is negatively associated with topic signal, that sentence must not be read as attention causing lower signal or signal causing lower attention; it is a description of how the two vary together in the corpus, nothing more.</w:t>
      </w:r>
    </w:p>
    <w:p>
      <w:pPr>
        <w:pStyle w:val="BodyText"/>
        <w:spacing w:line="480" w:lineRule="auto"/>
        <w:ind w:firstLine="720"/>
      </w:pPr>
      <w:r>
        <w:t xml:space="preserve">Neither estimator can generalize beyond the retained records. The parameters describe the thirty-record corpus, and inference to a wider population would require the corpus to be a probability sample of that population, which it is not. The corpus is a purposively retained set, so the standard errors quantify sampling variability under a hypothetical resampling of a data-generating process, not uncertainty about a real population from which these records were drawn. Neither estimator can rescue a proxy. If the signal score is a poor stand-in for substantive engagement with the chokepoint frame, then even a perfectly estimated coefficient on that score answers a question about metadata density rather than about strategy. These limits are not failures of execution; they are the boundaries of what a documentary screen is, and the identification argument respects them by keeping every claim inside them</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3"/>
    <w:bookmarkStart w:id="104" w:name="the-estimators-as-a-matched-pair"/>
    <w:p>
      <w:pPr>
        <w:pStyle w:val="Heading2"/>
        <w:spacing w:line="480" w:lineRule="auto"/>
      </w:pPr>
      <w:r>
        <w:t xml:space="preserve">4.8 The Estimators as a Matched Pair</w:t>
      </w:r>
    </w:p>
    <w:p>
      <w:pPr>
        <w:pStyle w:val="FirstParagraph"/>
        <w:spacing w:line="480" w:lineRule="auto"/>
      </w:pPr>
      <w:r>
        <w:t xml:space="preserve">A closing word on why the two estimators form a coherent design rather than two unrelated exercises. They share a philosophy: both are the simplest defensible tool for their question, both use the same conservative standard-error correction, both are estimated on the same thirty records, and both report their full output for reproduction. That shared philosophy is what lets their results be read together in Chapter 6 without worrying that a difference between them reflects a difference in method rather than a difference in the data.</w:t>
      </w:r>
    </w:p>
    <w:p>
      <w:pPr>
        <w:pStyle w:val="BodyText"/>
        <w:spacing w:line="480" w:lineRule="auto"/>
        <w:ind w:firstLine="720"/>
      </w:pPr>
      <w:r>
        <w:t xml:space="preserve">The pairing is also complementary in what it exposes. The ordinary least squares model exposes cross-sectional structure and would miss a purely temporal pattern; the learning curve exposes temporal structure and would miss a purely cross-sectional one. Between them they cover the two dimensions along which a consequential topic would leave a trace, and running both means the design cannot be accused of having looked in only one place. If the topic were structured and the study had run only the cross-sectional model, a temporal signal could have been missed, and the reverse holds too. Two matched, simple estimators covering complementary dimensions is a more robust screen than one sophisticated estimator covering a single dimension, and it is the right architecture for a study whose goal is to survey the evidence honestly rather than to extract maximum power from one specification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architecture also has the practical virtue that a reviewer can check each estimator independently, since neither depends on the other, and independent checkability is worth more in a screen than the marginal power a coupled specification might buy</w:t>
      </w:r>
      <w:r>
        <w:t xml:space="preserve"> </w:t>
      </w:r>
      <w:hyperlink w:anchor="ref-5">
        <w:r>
          <w:rPr>
            <w:rStyle w:val="Hyperlink"/>
          </w:rPr>
          <w:t xml:space="preserve">[5]</w:t>
        </w:r>
      </w:hyperlink>
      <w:r>
        <w:t xml:space="preserve">.</w:t>
      </w:r>
    </w:p>
    <w:bookmarkEnd w:id="104"/>
    <w:bookmarkEnd w:id="105"/>
    <w:bookmarkStart w:id="117" w:name="chapter-5.-data-and-measurement"/>
    <w:p>
      <w:pPr>
        <w:pStyle w:val="Heading1"/>
        <w:spacing w:line="480" w:lineRule="auto"/>
      </w:pPr>
      <w:r>
        <w:t xml:space="preserve">Chapter 5. Data and Measurement</w:t>
      </w:r>
    </w:p>
    <w:p>
      <w:pPr>
        <w:pStyle w:val="FirstParagraph"/>
        <w:spacing w:line="480" w:lineRule="auto"/>
      </w:pPr>
      <w:r>
        <w:t xml:space="preserve">The credibility of a screen rests on the transparency of its data. This chapter documents the corpus, the construction of every variable, the provenance of every row, and the sample size, so that a reader can move from a claim in Chapter 6 to a specification in the configuration files to a row in the datasets and back again without a gap. Nothing here is incidental. A measurement rule that is not written down is a measurement rule that cannot be checked, and a screen whose measurement cannot be checked is worthless.</w:t>
      </w:r>
    </w:p>
    <w:bookmarkStart w:id="106" w:name="the-corpus-and-its-provenance"/>
    <w:p>
      <w:pPr>
        <w:pStyle w:val="Heading2"/>
        <w:spacing w:line="480" w:lineRule="auto"/>
      </w:pPr>
      <w:r>
        <w:t xml:space="preserve">5.1 The Corpus and Its Provenance</w:t>
      </w:r>
    </w:p>
    <w:p>
      <w:pPr>
        <w:pStyle w:val="FirstParagraph"/>
        <w:spacing w:line="480" w:lineRule="auto"/>
      </w:pPr>
      <w:r>
        <w:t xml:space="preserve">The dataset is a fixed set of thirty retained source records assembled for this candidate. Each record is a real document with a preserved source field. Twelve records carry conference proceedings identifiers from the AMOS venue family, covering work such as collision-avoidance coordination between national satellite operators</w:t>
      </w:r>
      <w:r>
        <w:t xml:space="preserve"> </w:t>
      </w:r>
      <w:hyperlink w:anchor="ref-2">
        <w:r>
          <w:rPr>
            <w:rStyle w:val="Hyperlink"/>
          </w:rPr>
          <w:t xml:space="preserve">[2]</w:t>
        </w:r>
      </w:hyperlink>
      <w:r>
        <w:t xml:space="preserve">, measurement precision and orbit tracking from ground radar</w:t>
      </w:r>
      <w:r>
        <w:t xml:space="preserve"> </w:t>
      </w:r>
      <w:hyperlink w:anchor="ref-7">
        <w:r>
          <w:rPr>
            <w:rStyle w:val="Hyperlink"/>
          </w:rPr>
          <w:t xml:space="preserve">[7]</w:t>
        </w:r>
      </w:hyperlink>
      <w:r>
        <w:t xml:space="preserve">, and trans-ionospheric geolocation of high-frequency signals</w:t>
      </w:r>
      <w:r>
        <w:t xml:space="preserve"> </w:t>
      </w:r>
      <w:hyperlink w:anchor="ref-4">
        <w:r>
          <w:rPr>
            <w:rStyle w:val="Hyperlink"/>
          </w:rPr>
          <w:t xml:space="preserve">[4]</w:t>
        </w:r>
      </w:hyperlink>
      <w:r>
        <w:t xml:space="preserve">. Twelve records carry journal digital object identifiers from Acta Astronautica, spanning mission hardware, analog-mission human factors, and interstellar sail concepts. Six records come from a space-economy synthesis family that includes governance-oriented syntheses of the sector’s inflection point, astro-economics framings of integrated deterrence, and orbital-classification proposals drawn from airspace analogy.</w:t>
      </w:r>
    </w:p>
    <w:p>
      <w:pPr>
        <w:pStyle w:val="BodyText"/>
        <w:spacing w:line="480" w:lineRule="auto"/>
        <w:ind w:firstLine="720"/>
      </w:pPr>
      <w:r>
        <w:t xml:space="preserve">The provenance discipline is strict. Every row in both paper datasets preserves a source column that resolves to the underlying document, a digital object identifier for the journal and some conference records, and a full proceedings URL for the AMOS records. This is what makes the corpus auditable. A reader who doubts a coefficient can trace it to the exact records that produced it. The corpus is not a sample drawn to represent the whole space-strategy literature, and the dissertation never treats it as one. It is the candidate’s retained evidence base, and every parameter estimated from it describes structure inside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06"/>
    <w:bookmarkStart w:id="107" w:name="X8250f621dca221b009e89360b69dfebb59f0b65"/>
    <w:p>
      <w:pPr>
        <w:pStyle w:val="Heading2"/>
        <w:spacing w:line="480" w:lineRule="auto"/>
      </w:pPr>
      <w:r>
        <w:t xml:space="preserve">5.2 The Outcome Variable in Paper 1: Signal Score</w:t>
      </w:r>
    </w:p>
    <w:p>
      <w:pPr>
        <w:pStyle w:val="FirstParagraph"/>
        <w:spacing w:line="480" w:lineRule="auto"/>
      </w:pPr>
      <w:r>
        <w:t xml:space="preserve">The dependent variable in the cross-sectional model is the composite topic-signal score. It is a deterministic count. For each record, the construction procedure counts candidate-theme term hits across four metadata fields: the source title, the retrieved snippet, the keyword field, and the author metadata. The counts are combined into a single integer score per record. Because the rule is deterministic, the score is reproducible: the same record processed by the same rule yields the same score every time, which is the property a screen requires.</w:t>
      </w:r>
    </w:p>
    <w:p>
      <w:pPr>
        <w:pStyle w:val="BodyText"/>
        <w:spacing w:line="480" w:lineRule="auto"/>
        <w:ind w:firstLine="720"/>
      </w:pPr>
      <w:r>
        <w:t xml:space="preserve">The signal score is a proxy, and the dissertation says so plainly. It measures how intensely the candidate theme surfaces in a record’s metadata, not whether the record substantively advances the orbital-chokepoint argument. A record can score high because it repeats theme terms in its title and low because it buries a deep argument in prose that the metadata does not expose. The proxy is defensible for a screen precisely because it is mechanical and unbiased by the analyst’s judgment, but its ceiling is the metadata surface, and Chapter 7 returns to what that ceiling excludes. In the data, the signal score ranges from one to seven across the thirty records, with the highest values attaching to records dense in governance and sustainability keywords.</w:t>
      </w:r>
    </w:p>
    <w:bookmarkEnd w:id="107"/>
    <w:bookmarkStart w:id="108" w:name="the-predictors-in-paper-1"/>
    <w:p>
      <w:pPr>
        <w:pStyle w:val="Heading2"/>
        <w:spacing w:line="480" w:lineRule="auto"/>
      </w:pPr>
      <w:r>
        <w:t xml:space="preserve">5.3 The Predictors in Paper 1</w:t>
      </w:r>
    </w:p>
    <w:p>
      <w:pPr>
        <w:pStyle w:val="FirstParagraph"/>
        <w:spacing w:line="480" w:lineRule="auto"/>
      </w:pPr>
      <w:r>
        <w:t xml:space="preserve">Three predictors enter the cross-sectional model, each constructed by a stated rule.</w:t>
      </w:r>
    </w:p>
    <w:p>
      <w:pPr>
        <w:pStyle w:val="BodyText"/>
        <w:spacing w:line="480" w:lineRule="auto"/>
        <w:ind w:firstLine="720"/>
      </w:pPr>
      <w:r>
        <w:t xml:space="preserve">The recency index is publication year minus the minimum publication year in the sample plus one. It converts absolute years into a positive, sample-anchored scale where older records take small values and newer records take large ones. In this corpus the index runs from one, for the earliest record from 2007, to twenty, for the 2026 record, so a one-unit change is one calendar year measured from the sample floor.</w:t>
      </w:r>
    </w:p>
    <w:p>
      <w:pPr>
        <w:pStyle w:val="BodyText"/>
        <w:spacing w:line="480" w:lineRule="auto"/>
        <w:ind w:firstLine="720"/>
      </w:pPr>
      <w:r>
        <w:t xml:space="preserve">The citation count is parsed from the local index citation field, set to zero when the index reported no count. The values are heavily skewed. Most records, including all twelve AMOS proceedings records and all six space-economy records, carry zero, while a handful of Acta Astronautica records carry substantial counts, the largest being forty. This distribution is itself a measurement fact worth stating, because it means the citation predictor is carried almost entirely by the journal family, a point that shapes the interpretation in Chapter 6.</w:t>
      </w:r>
    </w:p>
    <w:p>
      <w:pPr>
        <w:pStyle w:val="BodyText"/>
        <w:spacing w:line="480" w:lineRule="auto"/>
        <w:ind w:firstLine="720"/>
      </w:pPr>
      <w:r>
        <w:t xml:space="preserve">The venue-family score is an ordinal code: AMOS equals one, Acta Astronautica equals two, and the space-economy family equals three. The coding is ordinal, not cardinal, and the dissertation does not read the distance between one and two as equal in substance to the distance between two and three. The score orders venue families by register, from conference-technical through journal science to economy-and-policy synthesis, and it is used to test whether the topic signal concentrates in a particular register.</w:t>
      </w:r>
    </w:p>
    <w:bookmarkEnd w:id="108"/>
    <w:bookmarkStart w:id="109" w:name="the-variables-in-paper-2"/>
    <w:p>
      <w:pPr>
        <w:pStyle w:val="Heading2"/>
        <w:spacing w:line="480" w:lineRule="auto"/>
      </w:pPr>
      <w:r>
        <w:t xml:space="preserve">5.4 The Variables in Paper 2</w:t>
      </w:r>
    </w:p>
    <w:p>
      <w:pPr>
        <w:pStyle w:val="FirstParagraph"/>
        <w:spacing w:line="480" w:lineRule="auto"/>
      </w:pPr>
      <w:r>
        <w:t xml:space="preserve">The temporal model uses two variables built for the log-log form.</w:t>
      </w:r>
    </w:p>
    <w:p>
      <w:pPr>
        <w:pStyle w:val="BodyText"/>
        <w:spacing w:line="480" w:lineRule="auto"/>
        <w:ind w:firstLine="720"/>
      </w:pPr>
      <w:r>
        <w:t xml:space="preserve">The outcome is citation-count-plus-one. Adding one to the raw citation count before the logarithm keeps the transform defined for the many uncited records, which would otherwise drop out of a plain log-count model. In the data this outcome ranges from one, for every uncited record, to forty-one, for the most-cited record.</w:t>
      </w:r>
    </w:p>
    <w:p>
      <w:pPr>
        <w:pStyle w:val="BodyText"/>
        <w:spacing w:line="480" w:lineRule="auto"/>
        <w:ind w:firstLine="720"/>
      </w:pPr>
      <w:r>
        <w:t xml:space="preserve">The predictor is the article-age index, computed as 2026 minus publication year plus one. It fixes the reference year at 2026 and guarantees a positive argument for every record, so the newest record takes the value one and the oldest takes twenty. The age index and the recency index are two views of the same publication-year information, one oriented toward newness and one toward age, and the two papers use whichever orientation matches their question.</w:t>
      </w:r>
    </w:p>
    <w:bookmarkEnd w:id="109"/>
    <w:bookmarkStart w:id="110" w:name="sample-size-and-its-consequences"/>
    <w:p>
      <w:pPr>
        <w:pStyle w:val="Heading2"/>
        <w:spacing w:line="480" w:lineRule="auto"/>
      </w:pPr>
      <w:r>
        <w:t xml:space="preserve">5.5 Sample Size and Its Consequences</w:t>
      </w:r>
    </w:p>
    <w:p>
      <w:pPr>
        <w:pStyle w:val="FirstParagraph"/>
        <w:spacing w:line="480" w:lineRule="auto"/>
      </w:pPr>
      <w:r>
        <w:t xml:space="preserve">Both models are estimated on N equal to thirty. The sample size is small, and the dissertation treats that as a design fact with consequences rather than as an inconvenience to minimize.</w:t>
      </w:r>
    </w:p>
    <w:p>
      <w:pPr>
        <w:pStyle w:val="BodyText"/>
        <w:spacing w:line="480" w:lineRule="auto"/>
        <w:ind w:firstLine="720"/>
      </w:pPr>
      <w:r>
        <w:t xml:space="preserve">A sample of thirty has real statistical costs. It limits power, so a true but modest association can fail to reach significance. It makes the fit sensitive to individual records, so a single high-citation journal article can move a coefficient. And it forecloses the richer specifications, interaction terms, fixed effects, nonlinear controls, that a larger sample would license. The design responds to these costs by keeping the models deliberately simple, by using conservative HC1 standard errors that widen rather than narrow the intervals, and by refusing to read a weak coefficient as a proven null. A small sample can fail to detect structure that exists; the interpretation in Chapter 6 respects that asymmetry and never treats an insignificant coefficient as evidence of a true zero</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0"/>
    <w:bookmarkStart w:id="111" w:name="Xb3a7d3a0251bad4b5dcd74a9f2bd1a08bc60fee"/>
    <w:p>
      <w:pPr>
        <w:pStyle w:val="Heading2"/>
        <w:spacing w:line="480" w:lineRule="auto"/>
      </w:pPr>
      <w:r>
        <w:t xml:space="preserve">5.5a The Distribution of Records Across Venue Families</w:t>
      </w:r>
    </w:p>
    <w:p>
      <w:pPr>
        <w:pStyle w:val="FirstParagraph"/>
        <w:spacing w:line="480" w:lineRule="auto"/>
      </w:pPr>
      <w:r>
        <w:t xml:space="preserve">Because the venue score carries one of the two hypotheses and is entangled with the citation predictor, the distribution of records across the three families deserves its own accounting. Twelve records sit in the AMOS conference family, coded one. Twelve sit in the Acta Astronautica journal family, coded two. Six sit in the space-economy synthesis family, coded three. The split is not balanced, and the imbalance has consequences the interpretation must respect.</w:t>
      </w:r>
    </w:p>
    <w:p>
      <w:pPr>
        <w:pStyle w:val="BodyText"/>
        <w:spacing w:line="480" w:lineRule="auto"/>
        <w:ind w:firstLine="720"/>
      </w:pPr>
      <w:r>
        <w:t xml:space="preserve">The citation predictor lives almost entirely inside the journal family. Every AMOS record and every space-economy record carries a recorded citation count of zero in the local index, so all the non-zero variation in citations, from the single-digit counts up to the maximum of forty, comes from the twelve journal records. This means the citation coefficient and the venue coefficient are not cleanly separable in a sample this small: the citation signal is confined to the middle venue tier. A reader who wants to attribute the negative citation coefficient to substance rather than to the venue structure must hold that entanglement in mind, because the model cannot fully disentangle them from thirty records. The measurement chapter states this plainly so that Chapter 6 does not have to pretend the two predictors are independent when they are not.</w:t>
      </w:r>
    </w:p>
    <w:p>
      <w:pPr>
        <w:pStyle w:val="BodyText"/>
        <w:spacing w:line="480" w:lineRule="auto"/>
        <w:ind w:firstLine="720"/>
      </w:pPr>
      <w:r>
        <w:t xml:space="preserve">The theme-signal, by contrast, is richest in the space-economy family. The highest signal scores in the corpus, the sixes and sevens, attach to governance and economy syntheses dense in the vocabulary of orbital resource competition, sustainability, and integrated deterrence. Those same records carry zero citations. This is the structural split the whole dissertation turns on, and it is a property of the data documented here before any model is run: the theme lives where the citations are not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1"/>
    <w:bookmarkStart w:id="112" w:name="X1d45f6eb27e679fab4229f26c98765a042c7948"/>
    <w:p>
      <w:pPr>
        <w:pStyle w:val="Heading2"/>
        <w:spacing w:line="480" w:lineRule="auto"/>
      </w:pPr>
      <w:r>
        <w:t xml:space="preserve">5.5b The Signal Score Distribution and Its Shape</w:t>
      </w:r>
    </w:p>
    <w:p>
      <w:pPr>
        <w:pStyle w:val="FirstParagraph"/>
        <w:spacing w:line="480" w:lineRule="auto"/>
      </w:pPr>
      <w:r>
        <w:t xml:space="preserve">The signal score is worth examining as a distribution rather than only as a variable definition, because its shape governs what the cross-sectional model can detect. Across the thirty records the score is a small integer count, concentrated in the low single digits. Most records score between one and four, a smaller group scores five to seven, and no record scores zero, because every retained record contains at least one theme hit by construction.</w:t>
      </w:r>
    </w:p>
    <w:p>
      <w:pPr>
        <w:pStyle w:val="BodyText"/>
        <w:spacing w:line="480" w:lineRule="auto"/>
        <w:ind w:firstLine="720"/>
      </w:pPr>
      <w:r>
        <w:t xml:space="preserve">A bounded, right-skewed count of this kind has two implications for the linear model. It means the residual variance is likely to change with the fitted value, which is the heteroskedasticity the HC1 standard errors are chosen to handle. And it means the outcome has limited range, so even a real predictor can only move the score by a fraction of a point, which caps the coefficient magnitudes and makes them look small in absolute terms regardless of their significance. When Chapter 6 reports a citation coefficient of about four hundredths of a point, that small magnitude is partly a property of the compressed outcome scale documented here, not evidence that the association is trivial. Reading coefficient size correctly requires knowing the scale of the thing being predicted, and that scale is set out here so the later interpretation rests on it</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2"/>
    <w:bookmarkStart w:id="113" w:name="c-the-citation-distribution-and-its-skew"/>
    <w:p>
      <w:pPr>
        <w:pStyle w:val="Heading2"/>
        <w:spacing w:line="480" w:lineRule="auto"/>
      </w:pPr>
      <w:r>
        <w:t xml:space="preserve">5.5c The Citation Distribution and Its Skew</w:t>
      </w:r>
    </w:p>
    <w:p>
      <w:pPr>
        <w:pStyle w:val="FirstParagraph"/>
        <w:spacing w:line="480" w:lineRule="auto"/>
      </w:pPr>
      <w:r>
        <w:t xml:space="preserve">The citation variable deserves a distributional accounting of its own, because it carries the one significant result and its shape governs how much that result can bear. Across the thirty records the modal citation count is zero: all twelve AMOS records, all six space-economy records, and several journal records report no citations in the local index. The non-zero counts are confined to the journal family and are themselves highly skewed, running through single digits up to a maximum of forty, with two records carrying counts in the mid-twenties and one carrying the maximum.</w:t>
      </w:r>
    </w:p>
    <w:p>
      <w:pPr>
        <w:pStyle w:val="BodyText"/>
        <w:spacing w:line="480" w:lineRule="auto"/>
        <w:ind w:firstLine="720"/>
      </w:pPr>
      <w:r>
        <w:t xml:space="preserve">A distribution shaped like this, a large spike at zero and a long thin right tail, has direct consequences for the linear model. It means the citation predictor is effectively a contrast between the uncited majority and a few heavily cited journal records, so the citation coefficient is identified largely by those few tail observations. It means the relationship is sensitive to those observations in a way a more even distribution would not be. And it means the raw coefficient magnitude, expressed per single citation, will look tiny, because the predictor ranges across forty units while the outcome ranges across only six. Documenting this skew before Chapter 6 reads the coefficient is what allows the interpretation there to be appropriately cautious about a result that is statistically real but rests on a handful of influential records</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13"/>
    <w:bookmarkStart w:id="114" w:name="X74da7bf93bddd58cb0cc409a50ad276151e8e21"/>
    <w:p>
      <w:pPr>
        <w:pStyle w:val="Heading2"/>
        <w:spacing w:line="480" w:lineRule="auto"/>
      </w:pPr>
      <w:r>
        <w:t xml:space="preserve">5.5d Provenance Integrity as a Measurement Property</w:t>
      </w:r>
    </w:p>
    <w:p>
      <w:pPr>
        <w:pStyle w:val="FirstParagraph"/>
        <w:spacing w:line="480" w:lineRule="auto"/>
      </w:pPr>
      <w:r>
        <w:t xml:space="preserve">Provenance is usually treated as bookkeeping, but in a screening design it is a measurement property in its own right, and this dissertation treats it as one. Every row in both datasets carries a source field that resolves to a real document: a digital object identifier for the journal records, a proceedings URL for the AMOS records, and a descriptive source string for the economy-synthesis records. This is not decoration. It is what makes the corpus falsifiable at the level of individual observations rather than only at the level of aggregate statistics.</w:t>
      </w:r>
    </w:p>
    <w:p>
      <w:pPr>
        <w:pStyle w:val="BodyText"/>
        <w:spacing w:line="480" w:lineRule="auto"/>
        <w:ind w:firstLine="720"/>
      </w:pPr>
      <w:r>
        <w:t xml:space="preserve">The practical consequence is that a skeptic is not confined to trusting the reported coefficients. A skeptic can pull any row, read the underlying document, recompute its signal score under the stated counting rule, verify its citation count against the index, and confirm its venue coding. If any row fails that check, the whole estimate is called into question, which is exactly the kind of vulnerability a reproducible design should expose itself to. Most strategic writing on orbital chokepoints cannot be audited this way, because it does not tie its claims to a fixed, inspectable record. The provenance discipline here is therefore part of the contribution, not a formality attached to it: it converts the corpus from an assertion about the literature into a set of checkable observations, and a set of checkable observations is the minimum a screen needs to be worth running</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14"/>
    <w:bookmarkStart w:id="115" w:name="the-measurement-chain-end-to-end"/>
    <w:p>
      <w:pPr>
        <w:pStyle w:val="Heading2"/>
        <w:spacing w:line="480" w:lineRule="auto"/>
      </w:pPr>
      <w:r>
        <w:t xml:space="preserve">5.6 The Measurement Chain, End to End</w:t>
      </w:r>
    </w:p>
    <w:p>
      <w:pPr>
        <w:pStyle w:val="FirstParagraph"/>
        <w:spacing w:line="480" w:lineRule="auto"/>
      </w:pPr>
      <w:r>
        <w:t xml:space="preserve">The data strategy forms a hierarchy that a reader can walk in either direction. The bibliography and source metadata establish the universe of thirty records. The paper datasets define the rows, each with its preserved source field. The configuration files define the variables and the estimating formulas. The embedded workbooks reproduce the estimator output. The dissertation narrative is downstream of all four artifacts, never upstream of them, which means no claim in the prose can exist without a computation behind it.</w:t>
      </w:r>
    </w:p>
    <w:p>
      <w:pPr>
        <w:pStyle w:val="BodyText"/>
        <w:spacing w:line="480" w:lineRule="auto"/>
        <w:ind w:firstLine="720"/>
      </w:pPr>
      <w:r>
        <w:t xml:space="preserve">That chain is the measurement contribution. Measurement validity depends on the fit between the question and the data, and this design is strongest when it asks whether observable records contain structure and weakest when read as proof of causal effect outside the retained corpus. Chapter 6 preserves that boundary by reporting the exact model statistics first and interpreting them second, as evidence about the measured record rather than as unsupported claims about the whole space sector. The variables are proxies, the sample is small, and the venue coding is ordinal, and every one of those facts is on the record before a single coefficient is read</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15"/>
    <w:bookmarkStart w:id="116" w:name="the-two-datasets-and-their-relationship"/>
    <w:p>
      <w:pPr>
        <w:pStyle w:val="Heading2"/>
        <w:spacing w:line="480" w:lineRule="auto"/>
      </w:pPr>
      <w:r>
        <w:t xml:space="preserve">5.7 The Two Datasets and Their Relationship</w:t>
      </w:r>
    </w:p>
    <w:p>
      <w:pPr>
        <w:pStyle w:val="FirstParagraph"/>
        <w:spacing w:line="480" w:lineRule="auto"/>
      </w:pPr>
      <w:r>
        <w:t xml:space="preserve">The dissertation rests on two datasets, one per empirical paper, and their relationship deserves a final note because it affects how the results combine. The two files draw on the same thirty underlying records and share several fields, including the citation count, the signal score, and the source identifier. Where they differ is in the variables each constructs for its own model: the cross-sectional file adds the recency index and the venue score, while the accumulation file adds the article-age index and the citations-plus-one transform.</w:t>
      </w:r>
    </w:p>
    <w:p>
      <w:pPr>
        <w:pStyle w:val="BodyText"/>
        <w:spacing w:line="480" w:lineRule="auto"/>
        <w:ind w:firstLine="720"/>
      </w:pPr>
      <w:r>
        <w:t xml:space="preserve">This shared foundation is a strength rather than a redundancy. Because both models observe the same records, a finding in one and a null in the other cannot be dismissed as an artifact of different samples; the two verdicts are about the same evidence viewed through different variables. When Chapter 6 reports that the citation coefficient is significant in the cross-sectional model while the age elasticity is null in the accumulation model, that contrast is informative precisely because the records behind both numbers are identical. The datasets are two lenses on one corpus, and their common provenance is what makes their combined reading trustworthy. A design that used different records for the two models would forfeit that trust, and this design does not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shared foundation also fixes the sample size at thirty for both papers, which keeps the two nulls and the one positive result comparable in their statistical footing. Neither model enjoys more observations than the other, so neither can be dismissed as underpowered relative to its counterpart. When the cross-sectional model finds a significant citation term and the accumulation model finds nothing, the difference is a difference in what the identical records say through different variables, not a difference in how much data each model had to work with. That parity is a quiet but real property of the measurement design, and it is documented here so that the joint reading in Chapter 6 rests on stated ground rather than on an unexamined assumption</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6"/>
    <w:bookmarkEnd w:id="117"/>
    <w:bookmarkStart w:id="127"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embedded workbooks and interprets the signs, magnitudes, and precision of every estimate. The numbers are stated first and read second, and no claim in the prose exceeds what the estimator produced. Where a coefficient is precise, the chapter credits an association inside the retained corpus. Where a coefficient is imprecise, the chapter treats the result as a boundary marker rather than as a proven zero. The verdict that emerges is bounded, and it is the same verdict the whole dissertation was built to earn honestly.</w:t>
      </w:r>
    </w:p>
    <w:bookmarkStart w:id="118" w:name="paper-1-the-cross-sectional-model"/>
    <w:p>
      <w:pPr>
        <w:pStyle w:val="Heading2"/>
        <w:spacing w:line="480" w:lineRule="auto"/>
      </w:pPr>
      <w:r>
        <w:t xml:space="preserve">6.1 Paper 1: The Cross-Sectional Model</w:t>
      </w:r>
    </w:p>
    <w:p>
      <w:pPr>
        <w:pStyle w:val="FirstParagraph"/>
        <w:spacing w:line="480" w:lineRule="auto"/>
      </w:pPr>
      <w:r>
        <w:t xml:space="preserve">Paper 1 estimates the ordinary least squares specification of the signal score on recency, citation count, and venue family, with robust HC1 standard errors, on N = 30 records.</w:t>
      </w:r>
    </w:p>
    <w:p>
      <w:pPr>
        <w:pStyle w:val="BodyText"/>
        <w:spacing w:line="480" w:lineRule="auto"/>
        <w:ind w:firstLine="720"/>
      </w:pPr>
      <w:r>
        <w:t xml:space="preserve">The overall fit is weak. The coefficient of determination is R2 = 0.0672448322089011, meaning the three predictors together account for roughly seven percent of the variation in the signal score across records. The adjusted coefficient of determination is R2_adj = -0.04038076407468738. The adjusted figure is negative, which is the diagnostic signature of a model whose predictors buy less explanatory value than their degrees of freedom cost. The joint F statistic is F = 2.419640129293034 with F_p = 0.08885579894969756. That p value sits above the conventional five percent threshold, so the model as a whole does not reject the null of no joint relationship at that level, though it is close enough to warrant reading the individual terms rather than stopping at the F test.</w:t>
      </w:r>
    </w:p>
    <w:p>
      <w:pPr>
        <w:pStyle w:val="BodyText"/>
        <w:spacing w:line="480" w:lineRule="auto"/>
        <w:ind w:firstLine="720"/>
      </w:pPr>
      <w:r>
        <w:t xml:space="preserve">The term-level estimates are as follows. The intercept is const coef = 3.3618947025069548 with standard error 0.8783 and p = 0.00012940623719672286, a precisely estimated baseline signal score for a record at the reference levels of the predictors. The recency coefficient is recency_index coef = -0.036958234950745975 with standard error 0.0516 and p = 0.47363968553666624. The citation coefficient is cites_num coef = -0.039310950781627926 with standard error 0.0167 and p = 0.01878263329385485. The venue coefficient is venue_score coef = 0.11586107889029518 with standard error 0.4888 and p = 0.8126173746049585.</w:t>
      </w:r>
    </w:p>
    <w:p>
      <w:pPr>
        <w:pStyle w:val="BodyText"/>
        <w:spacing w:line="480" w:lineRule="auto"/>
        <w:ind w:firstLine="720"/>
      </w:pPr>
      <w:r>
        <w:t xml:space="preserve">Read against the evidence ladder, the four terms behave very differently.</w:t>
      </w:r>
    </w:p>
    <w:p>
      <w:pPr>
        <w:pStyle w:val="BodyText"/>
        <w:spacing w:line="480" w:lineRule="auto"/>
        <w:ind w:firstLine="720"/>
      </w:pPr>
      <w:r>
        <w:t xml:space="preserve">The intercept is precise but not substantively interesting on its own. It says that a record at the reference configuration carries a baseline signal score of about 3.36, which anchors the scale but tests no hypothesis.</w:t>
      </w:r>
    </w:p>
    <w:p>
      <w:pPr>
        <w:pStyle w:val="BodyText"/>
        <w:spacing w:line="480" w:lineRule="auto"/>
        <w:ind w:firstLine="720"/>
      </w:pPr>
      <w:r>
        <w:t xml:space="preserve">Recency is indistinguishable from noise. The point estimate is slightly negative at -0.0370, and its p value of 0.4736 is nowhere near significance. The maturation story from Chapter 3, that newer records should carry a stronger topic signal, finds no support here. The sign even points the wrong way for that story, though with a standard error this large the sign carries no weight. The honest reading is that this corpus shows no recency structure in the topic signal, and that a small sample of thirty cannot rule out a modest true effect either way.</w:t>
      </w:r>
    </w:p>
    <w:p>
      <w:pPr>
        <w:pStyle w:val="BodyText"/>
        <w:spacing w:line="480" w:lineRule="auto"/>
        <w:ind w:firstLine="720"/>
      </w:pPr>
      <w:r>
        <w:t xml:space="preserve">Venue family is the weakest term of all. The point estimate of 0.1159 is positive, which would be the direction predicted if the chokepoint frame concentrated in the economy-and-policy register, but the p value of 0.8126 makes the estimate statistically empty. The standard error of 0.4888 is more than four times the coefficient. Nothing in the venue term can be leaned on. The apparent tilt toward the higher venue register is exactly the kind of result the rival explanations of Chapter 3 warned about, and it does not survive its own imprecision.</w:t>
      </w:r>
    </w:p>
    <w:p>
      <w:pPr>
        <w:pStyle w:val="BodyText"/>
        <w:spacing w:line="480" w:lineRule="auto"/>
        <w:ind w:firstLine="720"/>
      </w:pPr>
      <w:r>
        <w:t xml:space="preserve">Citation attention is the one precise result in the model. The coefficient is -0.0393 with a p value of 0.0188, which clears the five percent threshold. The association is negative: records with higher citation counts carry, on average, lower topic-signal scores inside this corpus. The magnitude is small in raw terms, about four hundredths of a signal-score point per additional citation, but it is statistically distinguishable from zero, and it is the only term that is.</w:t>
      </w:r>
    </w:p>
    <w:bookmarkEnd w:id="118"/>
    <w:bookmarkStart w:id="119" w:name="Xceb2a600b34d718140e7e8c2b55b2241bbd2677"/>
    <w:p>
      <w:pPr>
        <w:pStyle w:val="Heading2"/>
        <w:spacing w:line="480" w:lineRule="auto"/>
      </w:pPr>
      <w:r>
        <w:t xml:space="preserve">6.2 Interpreting the Negative Citation Association</w:t>
      </w:r>
    </w:p>
    <w:p>
      <w:pPr>
        <w:pStyle w:val="FirstParagraph"/>
        <w:spacing w:line="480" w:lineRule="auto"/>
      </w:pPr>
      <w:r>
        <w:t xml:space="preserve">The negative citation coefficient is the most substantively revealing number in the dissertation, and it deserves careful reading because its sign runs against the naive expectation.</w:t>
      </w:r>
    </w:p>
    <w:p>
      <w:pPr>
        <w:pStyle w:val="BodyText"/>
        <w:spacing w:line="480" w:lineRule="auto"/>
        <w:ind w:firstLine="720"/>
      </w:pPr>
      <w:r>
        <w:t xml:space="preserve">The salience mechanism of Chapter 3 predicted that if the chokepoint topic were consequential, attention and signal intensity would move together, yielding a positive citation coefficient. The data return the opposite. The records that carry the strongest topic signal are, on average, the less-cited records, and the heavily cited records carry weaker topic signal. This is consistent with a specific and sobering interpretation. The high-citation records in this corpus are drawn almost entirely from the Acta Astronautica journal family, and their citations reflect their standing as mission-hardware and human-factors science, not as strategic treatments of orbital chokepoints. The records dense in chokepoint-adjacent theme terms are concentrated in the space-economy synthesis family, which carries zero recorded citations in the local index. Attention and topical signal live in different corners of this corpus.</w:t>
      </w:r>
    </w:p>
    <w:p>
      <w:pPr>
        <w:pStyle w:val="BodyText"/>
        <w:spacing w:line="480" w:lineRule="auto"/>
        <w:ind w:firstLine="720"/>
      </w:pPr>
      <w:r>
        <w:t xml:space="preserve">That reading matters for the strategic argument. It suggests the orbital-chokepoint frame currently lives at the periphery of the citation distribution, in governance and economy syntheses that have not yet accumulated scholarly attention, rather than at the cited core of the technical literature. A negative association is therefore not merely a statistical curiosity; it is a documentary sign that the frame is present but not yet integrated into the field’s most-attended work. The rival citation-age account of Chapter 3 must be held alongside this reading: the same pattern could arise because older journal records simply had more time to accrue citations while the newest economy syntheses had none. The dissertation cannot separate those two accounts from thirty records, and it says so rather than choosing the flattering one.</w:t>
      </w:r>
    </w:p>
    <w:bookmarkEnd w:id="119"/>
    <w:bookmarkStart w:id="120" w:name="a-the-weak-overall-fit-in-context"/>
    <w:p>
      <w:pPr>
        <w:pStyle w:val="Heading2"/>
        <w:spacing w:line="480" w:lineRule="auto"/>
      </w:pPr>
      <w:r>
        <w:t xml:space="preserve">6.2a The Weak Overall Fit in Context</w:t>
      </w:r>
    </w:p>
    <w:p>
      <w:pPr>
        <w:pStyle w:val="FirstParagraph"/>
        <w:spacing w:line="480" w:lineRule="auto"/>
      </w:pPr>
      <w:r>
        <w:t xml:space="preserve">The negative adjusted coefficient of determination deserves a moment of interpretation on its own, because it is easy to misread. An adjusted R2 of -0.0404 does not mean the model is broken or that something went wrong in estimation. It means that after penalizing for the three degrees of freedom the predictors consume, the model explains less variation than an intercept-only model would. In plain terms, the predictors as a group are close to worthless for forecasting the signal score, and the small unadjusted R2 of 0.0672 is inflated by the mechanical fact that adding regressors never lowers the raw figure.</w:t>
      </w:r>
    </w:p>
    <w:p>
      <w:pPr>
        <w:pStyle w:val="BodyText"/>
        <w:spacing w:line="480" w:lineRule="auto"/>
        <w:ind w:firstLine="720"/>
      </w:pPr>
      <w:r>
        <w:t xml:space="preserve">This is consistent with the picture the individual coefficients paint. Two of the three predictors are statistically empty, and the one that is significant has a small magnitude on a compressed outcome scale. A model built mostly from noise predictors will produce exactly this signature: a near-zero raw fit and a negative adjusted fit. The dissertation reports the negative adjusted figure rather than suppressing it, because it is an honest summary of how little the cross-sectional predictors collectively explain, and it disciplines any temptation to read the one significant coefficient as though it carried the whole model. The citation association is real within the sample; the model around it is not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20"/>
    <w:bookmarkStart w:id="121" w:name="X2ec5bf3e0b9b2636a5e6e72c1cbc9f1a323bb9f"/>
    <w:p>
      <w:pPr>
        <w:pStyle w:val="Heading2"/>
        <w:spacing w:line="480" w:lineRule="auto"/>
      </w:pPr>
      <w:r>
        <w:t xml:space="preserve">6.2b The F Test and the Single Significant Term</w:t>
      </w:r>
    </w:p>
    <w:p>
      <w:pPr>
        <w:pStyle w:val="FirstParagraph"/>
        <w:spacing w:line="480" w:lineRule="auto"/>
      </w:pPr>
      <w:r>
        <w:t xml:space="preserve">There is an apparent tension between the joint F test, with its p value of 0.0889 that does not clear the five percent threshold, and the citation coefficient, with its p value of 0.0188 that does. Resolving that tension correctly is part of reading the model honestly.</w:t>
      </w:r>
    </w:p>
    <w:p>
      <w:pPr>
        <w:pStyle w:val="BodyText"/>
        <w:spacing w:line="480" w:lineRule="auto"/>
        <w:ind w:firstLine="720"/>
      </w:pPr>
      <w:r>
        <w:t xml:space="preserve">The two tests ask different questions. The F test asks whether the three predictors together improve on a model with no predictors, and the answer, at the conventional level, is no, though the near-miss p value shows the joint relationship is not entirely absent. The individual t test on the citation term asks whether that single coefficient is distinguishable from zero given its own standard error, and the answer is yes. A jointly insignificant model can contain an individually significant term when the other two predictors add noise that dilutes the joint test. That is precisely what happens here: the recency and venue terms contribute nothing but consume degrees of freedom, dragging the F statistic down while the citation term stands on its own. The dissertation does not resolve this tension by picking whichever test flatters the frame. It reports both and reads them together: the model as a whole fails the joint test, and within it one term survives, which is a weaker claim than a significant model would license and a stronger claim than a fully null model would allow</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1"/>
    <w:bookmarkStart w:id="122" w:name="paper-2-the-accumulation-model"/>
    <w:p>
      <w:pPr>
        <w:pStyle w:val="Heading2"/>
        <w:spacing w:line="480" w:lineRule="auto"/>
      </w:pPr>
      <w:r>
        <w:t xml:space="preserve">6.3 Paper 2: The Accumulation Model</w:t>
      </w:r>
    </w:p>
    <w:p>
      <w:pPr>
        <w:pStyle w:val="FirstParagraph"/>
        <w:spacing w:line="480" w:lineRule="auto"/>
      </w:pPr>
      <w:r>
        <w:t xml:space="preserve">Paper 2 estimates the log-log learning-curve specification of citation-count-plus-one on the article-age index, with robust HC1 standard errors, on N = 30 records.</w:t>
      </w:r>
    </w:p>
    <w:p>
      <w:pPr>
        <w:pStyle w:val="BodyText"/>
        <w:spacing w:line="480" w:lineRule="auto"/>
        <w:ind w:firstLine="720"/>
      </w:pPr>
      <w:r>
        <w:t xml:space="preserve">The overall fit is essentially flat. The coefficient of determination is R2 = 0.007910070722814244, under one percent of the variation in log citations explained by log age. The age elasticity is elasticity_b = -0.1575698525896248, which corresponds to a progress ratio of progress_ratio_2^b = 0.8965339662252612. The term-level estimates are const coef = 1.023286080233003 with standard error 0.4953 and p = 0.038817210471068744, and _ln_x coef = -0.1575698525896248 with standard error 0.2626 and p = 0.5484252513295753.</w:t>
      </w:r>
    </w:p>
    <w:p>
      <w:pPr>
        <w:pStyle w:val="BodyText"/>
        <w:spacing w:line="480" w:lineRule="auto"/>
        <w:ind w:firstLine="720"/>
      </w:pPr>
      <w:r>
        <w:t xml:space="preserve">The intercept is distinguishable from zero at the five percent level, but as in Paper 1 it anchors the scale rather than testing the hypothesis. The parameter of interest is the age elasticity, and it is statistically empty. Its p value of 0.5484 is far above any conventional threshold, and its standard error of 0.2626 dwarfs the point estimate of -0.1576. The progress ratio of 0.8965 would, if the elasticity were real, imply that doubling a record’s age multiplies its citations-plus-one by about 0.90, a mild negative accumulation. But the elasticity is not real in any inferential sense: the data cannot distinguish it from zero.</w:t>
      </w:r>
    </w:p>
    <w:p>
      <w:pPr>
        <w:pStyle w:val="BodyText"/>
        <w:spacing w:line="480" w:lineRule="auto"/>
        <w:ind w:firstLine="720"/>
      </w:pPr>
      <w:r>
        <w:t xml:space="preserve">The accumulation hypothesis therefore fails to find support. Citation accumulation in this corpus shows no reliable age structure. The learning-curve form predicted that a maturing evidence base would display a smooth, signed relationship between age and citations, and this corpus displays none. The field, as captured by these thirty records, does not behave like an institutionalizing evidence base whose attention builds predictably with exposure time.</w:t>
      </w:r>
    </w:p>
    <w:bookmarkEnd w:id="122"/>
    <w:bookmarkStart w:id="123" w:name="the-two-screens-read-together"/>
    <w:p>
      <w:pPr>
        <w:pStyle w:val="Heading2"/>
        <w:spacing w:line="480" w:lineRule="auto"/>
      </w:pPr>
      <w:r>
        <w:t xml:space="preserve">6.4 The Two Screens Read Together</w:t>
      </w:r>
    </w:p>
    <w:p>
      <w:pPr>
        <w:pStyle w:val="FirstParagraph"/>
        <w:spacing w:line="480" w:lineRule="auto"/>
      </w:pPr>
      <w:r>
        <w:t xml:space="preserve">The two models, taken jointly, deliver a coherent and bounded verdict.</w:t>
      </w:r>
    </w:p>
    <w:p>
      <w:pPr>
        <w:pStyle w:val="BodyText"/>
        <w:spacing w:line="480" w:lineRule="auto"/>
        <w:ind w:firstLine="720"/>
      </w:pPr>
      <w:r>
        <w:t xml:space="preserve">Paper 1 finds one precise cross-sectional signal, a negative citation association, embedded in an otherwise weak model whose recency and venue terms are indistinguishable from noise and whose joint F test does not clear the conventional threshold. Paper 2 finds no reliable temporal accumulation at all. Mapping this onto the design space of Chapter 3, the corpus looks like an active but unconsolidated debate rather than a maturing field. The topic is present. It leaves a documentary trace. But the trace is faint, it sits at the periphery of citation attention rather than at its core, and it carries no age structure that would signal an institutionalizing evidence base.</w:t>
      </w:r>
    </w:p>
    <w:p>
      <w:pPr>
        <w:pStyle w:val="BodyText"/>
        <w:spacing w:line="480" w:lineRule="auto"/>
        <w:ind w:firstLine="720"/>
      </w:pPr>
      <w:r>
        <w:t xml:space="preserve">Against the single falsifiable contribution of Chapter 1, the honest scoring is mixed and leans negative. The null of no joint relationship in Paper 1 is not rejected at the conventional level, though the citation term alone is significant. The null of no accumulation in Paper 2 is not rejected. So the strong form of H1, that the topic signal is systematically related to recency, attention, and venue together, is not supported by this corpus, while a narrow slice of it, the citation association, survives. That is exactly the kind of result the screen was designed to surface: not a triumphant confirmation of the sea-power analogy, and not a clean refutation, but a precise map of where the documentary evidence currently is strong, where it is weak, and where it is silent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23"/>
    <w:bookmarkStart w:id="124" w:name="X5eae405f749495c76776f2a030335895314a80e"/>
    <w:p>
      <w:pPr>
        <w:pStyle w:val="Heading2"/>
        <w:spacing w:line="480" w:lineRule="auto"/>
      </w:pPr>
      <w:r>
        <w:t xml:space="preserve">6.4a A Sensitivity Reading Without Refitting</w:t>
      </w:r>
    </w:p>
    <w:p>
      <w:pPr>
        <w:pStyle w:val="FirstParagraph"/>
        <w:spacing w:line="480" w:lineRule="auto"/>
      </w:pPr>
      <w:r>
        <w:t xml:space="preserve">The dissertation does not refit the models on subsamples, because a subsample of a thirty-record corpus would be too small to interpret, but the reported coefficients and their standard errors permit a disciplined sensitivity reading that stops short of refitting. The citation coefficient of -0.0393 has a standard error of 0.0167, which places an approximate ninety-five percent interval running from roughly -0.072 to -0.007. The interval excludes zero, which is why the coefficient is significant, but its upper end sits very close to zero, which means the association, while real within the sample, is not far from the boundary of detectability. A modest change in the corpus, dropping or adding a few of the high-citation journal records, could plausibly move the estimate across that boundary.</w:t>
      </w:r>
    </w:p>
    <w:p>
      <w:pPr>
        <w:pStyle w:val="BodyText"/>
        <w:spacing w:line="480" w:lineRule="auto"/>
        <w:ind w:firstLine="720"/>
      </w:pPr>
      <w:r>
        <w:t xml:space="preserve">This reading matters for how much weight the one surviving result can bear. A coefficient whose interval clears zero comfortably invites confident description; a coefficient whose interval clears zero narrowly invites caution. The citation association is the latter. It is the strongest result in the dissertation and it is still fragile, resting on the leverage of a handful of records in a small, skewed sample. Stating that fragility here, from the reported numbers alone, is more honest than either ignoring it or manufacturing a refit the sample cannot support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24"/>
    <w:bookmarkStart w:id="125" w:name="b-the-consistency-of-the-two-nulls"/>
    <w:p>
      <w:pPr>
        <w:pStyle w:val="Heading2"/>
        <w:spacing w:line="480" w:lineRule="auto"/>
      </w:pPr>
      <w:r>
        <w:t xml:space="preserve">6.4b The Consistency of the Two Nulls</w:t>
      </w:r>
    </w:p>
    <w:p>
      <w:pPr>
        <w:pStyle w:val="FirstParagraph"/>
        <w:spacing w:line="480" w:lineRule="auto"/>
      </w:pPr>
      <w:r>
        <w:t xml:space="preserve">The recency null in Paper 1 and the accumulation null in Paper 2 are not independent facts; they are two views of the same underlying absence, and their agreement strengthens the reading. Both models use publication-year information, one oriented as recency and one as age, and both return the same verdict: the year a record appeared carries no reliable relationship to either its topic signal or its citation load in this corpus. If one temporal view had shown structure and the other had not, the dissertation would have to explain the discrepancy. Instead they agree, and the agreement is evidence that the absence of temporal structure is a property of the data rather than an artifact of one model’s specification.</w:t>
      </w:r>
    </w:p>
    <w:p>
      <w:pPr>
        <w:pStyle w:val="BodyText"/>
        <w:spacing w:line="480" w:lineRule="auto"/>
        <w:ind w:firstLine="720"/>
      </w:pPr>
      <w:r>
        <w:t xml:space="preserve">That consistency also constrains the interpretation of the negative citation coefficient. Because age carries no accumulation structure, the negative citation association cannot be attributed simply to older records having more time to accrue citations in a smooth, age-patterned way, since no such smooth pattern exists. The citation-age confound named in Chapter 3 remains a live rival, but the flatness of the accumulation model means the confound, if it operates, does so through the lumpy over-representation of a few well-cited journal records rather than through a general age gradient. The two nulls thus do interpretive work; they are not merely disappointments of the hypotheses but constraints on how the one positive result can be explained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5"/>
    <w:bookmarkStart w:id="126" w:name="what-the-results-do-and-do-not-license"/>
    <w:p>
      <w:pPr>
        <w:pStyle w:val="Heading2"/>
        <w:spacing w:line="480" w:lineRule="auto"/>
      </w:pPr>
      <w:r>
        <w:t xml:space="preserve">6.5 What the Results Do and Do Not License</w:t>
      </w:r>
    </w:p>
    <w:p>
      <w:pPr>
        <w:pStyle w:val="FirstParagraph"/>
        <w:spacing w:line="480" w:lineRule="auto"/>
      </w:pPr>
      <w:r>
        <w:t xml:space="preserve">The results license a small, defensible set of claims and forbid a larger set that the prose is careful not to make.</w:t>
      </w:r>
    </w:p>
    <w:p>
      <w:pPr>
        <w:pStyle w:val="BodyText"/>
        <w:spacing w:line="480" w:lineRule="auto"/>
        <w:ind w:firstLine="720"/>
      </w:pPr>
      <w:r>
        <w:t xml:space="preserve">They license the claim that inside this retained corpus, citation attention and topic-signal intensity are negatively and significantly associated, and that neither recency, venue family, nor article age carries reliable structure. They license the claim that the orbital-chokepoint frame is documented but not yet centered in the cited or age-mature portions of the record. They license a program recommendation, developed in Chapter 8, that the measurement gap sits precisely where the current corpus is thin.</w:t>
      </w:r>
    </w:p>
    <w:p>
      <w:pPr>
        <w:pStyle w:val="BodyText"/>
        <w:spacing w:line="480" w:lineRule="auto"/>
        <w:ind w:firstLine="720"/>
      </w:pPr>
      <w:r>
        <w:t xml:space="preserve">They do not license any statement that concentration theory predicts orbital contest, that a particular orbit is a chokepoint, or that the frame is validated by the data. Every coefficient here is an association among proxies, one step removed from the strategic outcome the metaphor asserts, and the weak fits make even the descriptive associations tentative for all but the citation term. The result is not a rhetorical verdict on Mahan. It is an auditable measurement step, and its principal value is that it tells the next analyst which variables have observable structure, which proxies are too weak to carry weight, and which hypotheses deserve a stronger dataset before anyone builds doctrine on them</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6"/>
    <w:bookmarkEnd w:id="127"/>
    <w:bookmarkStart w:id="138" w:name="chapter-7.-discussion-and-limitations"/>
    <w:p>
      <w:pPr>
        <w:pStyle w:val="Heading1"/>
        <w:spacing w:line="480" w:lineRule="auto"/>
      </w:pPr>
      <w:r>
        <w:t xml:space="preserve">Chapter 7. Discussion and Limitations</w:t>
      </w:r>
    </w:p>
    <w:p>
      <w:pPr>
        <w:pStyle w:val="FirstParagraph"/>
        <w:spacing w:line="480" w:lineRule="auto"/>
      </w:pPr>
      <w:r>
        <w:t xml:space="preserve">A screen that produces a mixed, leaning-negative result imposes a particular discipline on its discussion. The temptation is to rescue the metaphor with interpretation, to read the one significant coefficient as vindication and to wave away the two null results as artifacts of a small sample. This chapter resists that temptation. It reads the findings for what they are, catalogs the threats to validity in concrete terms, and states plainly the questions the data cannot answer. The aim is to leave a reader knowing exactly how much weight the orbital-chokepoint argument can now bear, which is less than its proponents assume and more than nothing.</w:t>
      </w:r>
    </w:p>
    <w:bookmarkStart w:id="128" w:name="what-the-findings-mean"/>
    <w:p>
      <w:pPr>
        <w:pStyle w:val="Heading2"/>
        <w:spacing w:line="480" w:lineRule="auto"/>
      </w:pPr>
      <w:r>
        <w:t xml:space="preserve">7.1 What the Findings Mean</w:t>
      </w:r>
    </w:p>
    <w:p>
      <w:pPr>
        <w:pStyle w:val="FirstParagraph"/>
        <w:spacing w:line="480" w:lineRule="auto"/>
      </w:pPr>
      <w:r>
        <w:t xml:space="preserve">The central substantive finding is a geography of attention. The topic signal and the citation attention in this corpus sit in different places. The records that speak most directly to orbital chokepoints, drawn from the space-economy and governance syntheses, carry no recorded citations, while the records that carry citations, drawn from the journal science, speak to mission hardware and human factors rather than to strategic concentration. The negative and significant citation coefficient is the statistical face of that split, and it is the most durable thing the dissertation found.</w:t>
      </w:r>
    </w:p>
    <w:p>
      <w:pPr>
        <w:pStyle w:val="BodyText"/>
        <w:spacing w:line="480" w:lineRule="auto"/>
        <w:ind w:firstLine="720"/>
      </w:pPr>
      <w:r>
        <w:t xml:space="preserve">Read strategically, this says the sea-power analogy is currently an argument in the policy and economics register rather than a finding in the cited technical core. That is neither an endorsement nor a refutation of the analogy. It is a diagnosis of the field’s maturity. A frame that lives in synthesis documents and has not yet drawn citation attention is a frame in an early stage: rhetorically active, institutionally noticed, but not yet integrated into the body of work that the field treats as authoritative. The absence of any age-accumulation structure in Paper 2 reinforces the diagnosis. If the frame were consolidating into an evidence base, older records would carry more attention in a patterned way, and they do not.</w:t>
      </w:r>
    </w:p>
    <w:p>
      <w:pPr>
        <w:pStyle w:val="BodyText"/>
        <w:spacing w:line="480" w:lineRule="auto"/>
        <w:ind w:firstLine="720"/>
      </w:pPr>
      <w:r>
        <w:t xml:space="preserve">For a strategist, the operational meaning is a caution. Doctrine that treats orbital chokepoints as an established organizing principle is running ahead of the documentary evidence. The evidence supports treating the frame as a hypothesis worth testing directly, not as a settled feature of the domain. That is a useful thing to know before a program office commits resources on the strength of a compelling metaphor</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8"/>
    <w:bookmarkStart w:id="129" w:name="threats-to-validity"/>
    <w:p>
      <w:pPr>
        <w:pStyle w:val="Heading2"/>
        <w:spacing w:line="480" w:lineRule="auto"/>
      </w:pPr>
      <w:r>
        <w:t xml:space="preserve">7.2 Threats to Validity</w:t>
      </w:r>
    </w:p>
    <w:p>
      <w:pPr>
        <w:pStyle w:val="FirstParagraph"/>
        <w:spacing w:line="480" w:lineRule="auto"/>
      </w:pPr>
      <w:r>
        <w:t xml:space="preserve">Four threats bear on the findings, and each is stated here in terms of what it would do to the specific results rather than as a generic caveat.</w:t>
      </w:r>
    </w:p>
    <w:p>
      <w:pPr>
        <w:pStyle w:val="BodyText"/>
        <w:spacing w:line="480" w:lineRule="auto"/>
        <w:ind w:firstLine="720"/>
      </w:pPr>
      <w:r>
        <w:t xml:space="preserve">Source selection is the first and largest threat. The corpus is thirty candidate-specific records, not a census of the space-strategy literature. If the retrieval systematically missed the cited strategic work on orbital concentration, then the negative citation coefficient could be an artifact of which records were retained rather than a fact about the field. The dissertation cannot rule this out, and it therefore confines every claim to the retained corpus and refuses population-level language. The finding is about this record, and the next study must widen the record to test whether it holds.</w:t>
      </w:r>
    </w:p>
    <w:p>
      <w:pPr>
        <w:pStyle w:val="BodyText"/>
        <w:spacing w:line="480" w:lineRule="auto"/>
        <w:ind w:firstLine="720"/>
      </w:pPr>
      <w:r>
        <w:t xml:space="preserve">Proxy measurement is the second threat. The signal score measures theme-term density in metadata, not substantive engagement with the chokepoint argument. A record could argue the analogy deeply in prose while scoring low because its metadata is sparse, and another could score high by repeating theme words without advancing the argument. This ceiling is structural: the score can only see the metadata surface. It means the cross-sectional model may be measuring the visibility of the vocabulary rather than the seriousness of the argument, and those are not the same thing.</w:t>
      </w:r>
    </w:p>
    <w:p>
      <w:pPr>
        <w:pStyle w:val="BodyText"/>
        <w:spacing w:line="480" w:lineRule="auto"/>
        <w:ind w:firstLine="720"/>
      </w:pPr>
      <w:r>
        <w:t xml:space="preserve">The citation-age confound is the third threat, and it bites hardest on the one significant result. The negative citation coefficient could reflect substantive periphery, the frame living in low-attention syntheses, or it could reflect mechanics, the fact that older journal records simply had more years to accumulate citations while the newest economy syntheses had none. These two accounts predict the same coefficient sign in this corpus, and thirty records cannot separate them. The dissertation reports both and privileges neither, which is the only honest posture given the design.</w:t>
      </w:r>
    </w:p>
    <w:p>
      <w:pPr>
        <w:pStyle w:val="BodyText"/>
        <w:spacing w:line="480" w:lineRule="auto"/>
        <w:ind w:firstLine="720"/>
      </w:pPr>
      <w:r>
        <w:t xml:space="preserve">Small-sample fragility is the fourth threat. With N equal to thirty and a skewed citation distribution in which a few journal records carry almost all the citations, the significant coefficient rests on a handful of influential observations. A robustness check dropping the most-cited records would likely move the estimate, and the dissertation does not claim the coefficient would survive every such perturbation. The HC1 standard errors guard the inference against heteroskedasticity but not against the leverage of a small, uneven sample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29"/>
    <w:bookmarkStart w:id="130" w:name="what-the-data-cannot-show"/>
    <w:p>
      <w:pPr>
        <w:pStyle w:val="Heading2"/>
        <w:spacing w:line="480" w:lineRule="auto"/>
      </w:pPr>
      <w:r>
        <w:t xml:space="preserve">7.3 What the Data Cannot Show</w:t>
      </w:r>
    </w:p>
    <w:p>
      <w:pPr>
        <w:pStyle w:val="FirstParagraph"/>
        <w:spacing w:line="480" w:lineRule="auto"/>
      </w:pPr>
      <w:r>
        <w:t xml:space="preserve">It is worth being explicit about the questions that lie outside this design entirely, because a reader who forgets them will overread the results.</w:t>
      </w:r>
    </w:p>
    <w:p>
      <w:pPr>
        <w:pStyle w:val="BodyText"/>
        <w:spacing w:line="480" w:lineRule="auto"/>
        <w:ind w:firstLine="720"/>
      </w:pPr>
      <w:r>
        <w:t xml:space="preserve">The data cannot show whether orbital chokepoints exist as physical or strategic features. That is a question about orbital geometry, traffic, and the cost of avoiding contested regions, and it requires operational data on object populations, maneuver costs, and dependency, none of which is in this metadata corpus</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data cannot show whether concentration theory predicts orbital contest. That is a causal question about state behavior, and no coefficient estimated from documentary metadata can bear on it. The models estimate structure in a literature, not the behavior of the actors the literature describes.</w:t>
      </w:r>
    </w:p>
    <w:p>
      <w:pPr>
        <w:pStyle w:val="BodyText"/>
        <w:spacing w:line="480" w:lineRule="auto"/>
        <w:ind w:firstLine="720"/>
      </w:pPr>
      <w:r>
        <w:t xml:space="preserve">The data cannot show whether the frame’s current peripheral position is a temporary early stage or a permanent marginality. A frame in synthesis documents might migrate into the cited core as the field matures, or it might fade. Distinguishing those trajectories requires a longitudinal design that tracks the same topic across successive retrievals over years, which this single cross-section cannot provide.</w:t>
      </w:r>
    </w:p>
    <w:p>
      <w:pPr>
        <w:pStyle w:val="BodyText"/>
        <w:spacing w:line="480" w:lineRule="auto"/>
        <w:ind w:firstLine="720"/>
      </w:pPr>
      <w:r>
        <w:t xml:space="preserve">The data cannot establish that a null result is a true zero. Two of the three cross-sectional terms and the entire accumulation model returned estimates indistinguishable from zero, but a small sample can fail to detect real structure. The dissertation treats those nulls as boundary markers, statements that the present evidence does not sustain the claim, not as proof that the claim is false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30"/>
    <w:bookmarkStart w:id="131" w:name="a-implications-for-deterrence-framing"/>
    <w:p>
      <w:pPr>
        <w:pStyle w:val="Heading2"/>
        <w:spacing w:line="480" w:lineRule="auto"/>
      </w:pPr>
      <w:r>
        <w:t xml:space="preserve">7.3a Implications for Deterrence Framing</w:t>
      </w:r>
    </w:p>
    <w:p>
      <w:pPr>
        <w:pStyle w:val="FirstParagraph"/>
        <w:spacing w:line="480" w:lineRule="auto"/>
      </w:pPr>
      <w:r>
        <w:t xml:space="preserve">The security-studies motivation of Chapter 1 deserves a direct return here, because the findings speak to it even though they cannot resolve it. A deterrence posture built on the premise that orbit has chokepoints treats certain regions as decisive points to be denied or held. The dissertation’s result does not tell a strategist whether such points exist, but it does tell a strategist something about the intellectual state of the claim they might build on: it lives in the uncited synthesis literature, it has not consolidated into a cited evidence base, and it shows no age-accumulation structure. A premise in that condition is not yet load-bearing.</w:t>
      </w:r>
    </w:p>
    <w:p>
      <w:pPr>
        <w:pStyle w:val="BodyText"/>
        <w:spacing w:line="480" w:lineRule="auto"/>
        <w:ind w:firstLine="720"/>
      </w:pPr>
      <w:r>
        <w:t xml:space="preserve">For deterrence framing specifically, this argues for holding the chokepoint concept as a candidate hypothesis rather than a planning assumption. A planner who treats the concept as established risks two errors the dissertation cannot rule out. The concept could be right but unmeasured, in which case acting on it early might be prudent but rests on faith rather than evidence. Or the concept could be an attractive metaphor that the documentary record does not support, in which case acting on it wastes resources and may signal resolve over regions a rival does not value. The honest posture, given a faint and peripheral signal, is to fund the measurement that would resolve the question before committing doctrine to either error. That is a deterrence-relevant conclusion drawn strictly from what the screen can support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31"/>
    <w:bookmarkStart w:id="132" w:name="X5e1fe24df16d6ac594fac15982cca4a3c4fc490"/>
    <w:p>
      <w:pPr>
        <w:pStyle w:val="Heading2"/>
        <w:spacing w:line="480" w:lineRule="auto"/>
      </w:pPr>
      <w:r>
        <w:t xml:space="preserve">7.3b The Asymmetry Between Confirmation and Refutation Revisited</w:t>
      </w:r>
    </w:p>
    <w:p>
      <w:pPr>
        <w:pStyle w:val="FirstParagraph"/>
        <w:spacing w:line="480" w:lineRule="auto"/>
      </w:pPr>
      <w:r>
        <w:t xml:space="preserve">Chapter 3 argued that the design is better at falsifying overclaim than at confirming importance, and the results bear that out in a way worth making explicit. The two null results, on recency and on accumulation, are genuinely informative because a consequential, consolidating frame should have been hard to hide across thirty records and two decades, and it largely stayed hidden. The one positive result, the negative citation coefficient, is informative in the opposite direction: it is significant but points the wrong way for the frame’s proponents, so it functions as a constraint on overclaim rather than as support.</w:t>
      </w:r>
    </w:p>
    <w:p>
      <w:pPr>
        <w:pStyle w:val="BodyText"/>
        <w:spacing w:line="480" w:lineRule="auto"/>
        <w:ind w:firstLine="720"/>
      </w:pPr>
      <w:r>
        <w:t xml:space="preserve">The upshot is that every result in the dissertation cuts against inflation of the chokepoint frame, none inflates it, and yet the study stops well short of refutation. This is the characteristic output of an honest screen applied to an early-stage idea. It cannot say the idea is wrong, because the evidence is too thin to convict. It can say the idea is not yet earned, because the evidence that would establish it is absent from the record. A reader who wanted the dissertation to either crown or bury the sea-power analogy will be dissatisfied, and that dissatisfaction is the correct response to a topic whose evidence base is genuinely immature</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132"/>
    <w:bookmarkStart w:id="133" w:name="the-value-of-a-bounded-result"/>
    <w:p>
      <w:pPr>
        <w:pStyle w:val="Heading2"/>
        <w:spacing w:line="480" w:lineRule="auto"/>
      </w:pPr>
      <w:r>
        <w:t xml:space="preserve">7.4 The Value of a Bounded Result</w:t>
      </w:r>
    </w:p>
    <w:p>
      <w:pPr>
        <w:pStyle w:val="FirstParagraph"/>
        <w:spacing w:line="480" w:lineRule="auto"/>
      </w:pPr>
      <w:r>
        <w:t xml:space="preserve">None of these limits erase the contribution, and it is important to say why. A bounded result that is honestly reported is more useful to a decision maker than an overreaching result dressed in confident prose, because it tells the decision maker exactly where to look next.</w:t>
      </w:r>
    </w:p>
    <w:p>
      <w:pPr>
        <w:pStyle w:val="BodyText"/>
        <w:spacing w:line="480" w:lineRule="auto"/>
        <w:ind w:firstLine="720"/>
      </w:pPr>
      <w:r>
        <w:t xml:space="preserve">The specific value here is a map of the measurement gap. The findings locate the orbital-chokepoint frame in the uncited synthesis periphery of the record, show it lacks age-accumulation structure, and identify citation attention as the only variable with reliable cross-sectional signal. That map tells a program office three concrete things. It tells them the frame is real enough to appear in the literature. It tells them the frame is not yet validated by the field’s cited core. And it tells them that the next evidence to gather is the operational and strategic data that would let the frame be tested directly rather than inferred from metadata.</w:t>
      </w:r>
    </w:p>
    <w:p>
      <w:pPr>
        <w:pStyle w:val="BodyText"/>
        <w:spacing w:line="480" w:lineRule="auto"/>
        <w:ind w:firstLine="720"/>
      </w:pPr>
      <w:r>
        <w:t xml:space="preserve">This is the disciplined form of governance evidence the dissertation set out to produce. A claim that survives source tracing, variable construction, and estimator review is stronger than an impressionistic claim, and a claim that fails those tests is also valuable, because it prevents premature confidence. The orbital-chokepoint frame failed the strong form of the test and passed only a narrow slice of it, and reporting that split accurately is the contribution</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33"/>
    <w:bookmarkStart w:id="134" w:name="X3674d491e1930398954795b30622a732373392c"/>
    <w:p>
      <w:pPr>
        <w:pStyle w:val="Heading2"/>
        <w:spacing w:line="480" w:lineRule="auto"/>
      </w:pPr>
      <w:r>
        <w:t xml:space="preserve">7.5 Comparison With How the Field Usually Argues</w:t>
      </w:r>
    </w:p>
    <w:p>
      <w:pPr>
        <w:pStyle w:val="FirstParagraph"/>
        <w:spacing w:line="480" w:lineRule="auto"/>
      </w:pPr>
      <w:r>
        <w:t xml:space="preserve">It helps to contrast this dissertation’s posture with the prevailing style of argument in the space-strategy literature, because the contrast clarifies what the contribution is. The prevailing style reasons by analogy and illustration. It establishes that orbit is crowded, that access is rivalrous, and that history offers a maritime precedent, and it concludes that the precedent applies. The chain is intuitive and often persuasive, and it is almost never falsifiable, because no step in it specifies what evidence would count against the conclusion.</w:t>
      </w:r>
    </w:p>
    <w:p>
      <w:pPr>
        <w:pStyle w:val="BodyText"/>
        <w:spacing w:line="480" w:lineRule="auto"/>
        <w:ind w:firstLine="720"/>
      </w:pPr>
      <w:r>
        <w:t xml:space="preserve">This study reasons differently. It fixes in advance what evidence would support and what would undermine the proposition, it constructs that evidence mechanically from a frozen record, and it reports the outcome regardless of whether the outcome is flattering. The two styles are not competitors so much as complements at different stages of a field’s maturity. The analogical style is how a field generates hypotheses; the falsifiable style is how a field tests them. The space-strategy literature has generated the chokepoint hypothesis abundantly and tested it almost not at all, and this dissertation supplies one instance of the missing testing stage. Its weak result is not a rebuke to the analogical work that produced the hypothesis; it is the beginning of the accountability that any hypothesis eventually has to face, and it models a method the field can apply to its many other borrowed metaphors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4"/>
    <w:bookmarkStart w:id="135" w:name="X6d39fdc0d3f2caaa2bc7f925a408c1e47321bbd"/>
    <w:p>
      <w:pPr>
        <w:pStyle w:val="Heading2"/>
        <w:spacing w:line="480" w:lineRule="auto"/>
      </w:pPr>
      <w:r>
        <w:t xml:space="preserve">7.6 Why the Limitations Do Not Undermine the Design</w:t>
      </w:r>
    </w:p>
    <w:p>
      <w:pPr>
        <w:pStyle w:val="FirstParagraph"/>
        <w:spacing w:line="480" w:lineRule="auto"/>
      </w:pPr>
      <w:r>
        <w:t xml:space="preserve">A skeptic could read the accumulated limitations, the small sample, the metadata proxies, the venue-citation entanglement, the unresolved confound, and conclude that the study proves nothing. That conclusion mistakes a screen for a verdict. The design never promised a verdict; it promised a reproducible measurement of documentary structure with honestly reported limits, and it delivered exactly that. Each limitation constrains the strength of the claims, and the claims were scaled to the limitations from the first chapter forward.</w:t>
      </w:r>
    </w:p>
    <w:p>
      <w:pPr>
        <w:pStyle w:val="BodyText"/>
        <w:spacing w:line="480" w:lineRule="auto"/>
        <w:ind w:firstLine="720"/>
      </w:pPr>
      <w:r>
        <w:t xml:space="preserve">What the limitations do is define the next study rather than negate this one. A larger corpus answers the sample-size limit. Document coding answers the proxy limit. A design that stratifies by venue answers the entanglement. A longitudinal retrieval answers the confound. None of these fixes was available within the scope of a screen built on thirty retained records, and none was promised. The dissertation’s integrity rests on the match between what it claimed and what it delivered, and that match holds. A study that overclaimed on this evidence would be undermined by these limitations; a study that scaled its claims to the evidence, as this one did, is defined by them instead</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35"/>
    <w:bookmarkStart w:id="136" w:name="the-interpretive-discipline-in-practice"/>
    <w:p>
      <w:pPr>
        <w:pStyle w:val="Heading2"/>
        <w:spacing w:line="480" w:lineRule="auto"/>
      </w:pPr>
      <w:r>
        <w:t xml:space="preserve">7.7 The Interpretive Discipline in Practice</w:t>
      </w:r>
    </w:p>
    <w:p>
      <w:pPr>
        <w:pStyle w:val="FirstParagraph"/>
        <w:spacing w:line="480" w:lineRule="auto"/>
      </w:pPr>
      <w:r>
        <w:t xml:space="preserve">It is worth showing the interpretive discipline at work on a concrete temptation, because that is where a discussion chapter usually fails. The most available overreach here would be to take the significant negative citation coefficient and narrate it as a discovery: that the field systematically undervalues the strategic frame, keeping it in low-citation obscurity. That narrative is seductive, it flatters the frame’s proponents, and it is not supported.</w:t>
      </w:r>
    </w:p>
    <w:p>
      <w:pPr>
        <w:pStyle w:val="BodyText"/>
        <w:spacing w:line="480" w:lineRule="auto"/>
        <w:ind w:firstLine="720"/>
      </w:pPr>
      <w:r>
        <w:t xml:space="preserve">The discipline that blocks it is the requirement to hold the coefficient against the rival explanations named in advance. The negative sign is equally consistent with the mundane fact that the theme-dense records happen to be recent, uncited economy syntheses while the cited records happen to be older, off-theme journal science. The coefficient cannot distinguish neglect of the frame from the ordinary mechanics of citation accrual across venue families, and the flat accumulation model removes the smooth age gradient that one version of the mechanical story would need. So the honest reading is a description, attention and theme signal sit in different corners of this corpus, not a discovery about the field’s judgment. Refusing the seductive narrative and reporting the plain description is what the interpretive discipline looks like when it actually costs something, and it costs something here</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same discipline governs the null results. A study eager to preserve the frame could describe the recency and accumulation nulls as evidence that the topic is too new to have structured yet, converting absence into a promise of future significance. The evidence does not support that spin either. A null in a small sample is compatible with a topic that is too new, with a topic that is genuinely diffuse, and with an instrument that cannot see the relevant activity. The dissertation reports the nulls as boundary markers on the present evidence and declines to guess which of these accounts is true, because guessing would substitute hope for measurement. Reading both the positive and the null results this way, stripped of narrative that the numbers cannot carry, is the practical form the study’s honesty takes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36"/>
    <w:bookmarkStart w:id="137" w:name="the-governance-value-of-a-documented-no"/>
    <w:p>
      <w:pPr>
        <w:pStyle w:val="Heading2"/>
        <w:spacing w:line="480" w:lineRule="auto"/>
      </w:pPr>
      <w:r>
        <w:t xml:space="preserve">7.8 The Governance Value of a Documented No</w:t>
      </w:r>
    </w:p>
    <w:p>
      <w:pPr>
        <w:pStyle w:val="FirstParagraph"/>
        <w:spacing w:line="480" w:lineRule="auto"/>
      </w:pPr>
      <w:r>
        <w:t xml:space="preserve">A governance community rarely rewards a study for finding little, yet a documented no has a specific value that a confident yes cannot supply. When a body deliberating over orbital access or deterrence posture is offered a strategic frame, it needs to know how much weight the frame can bear. A study that reports faint and unconsolidated evidence, and shows its work, hands the body a reason to slow down and gather better data before committing. That restraint is cheap to exercise now and expensive to recover later, once doctrine and procurement have hardened around an untested premise. The dissertation’s bounded finding is precisely the kind of input that lets a deliberating body exercise restraint deliberately rather than by accident, and that is a governance contribution even though it recommends waiting rather than acting</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37"/>
    <w:bookmarkEnd w:id="138"/>
    <w:bookmarkStart w:id="17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compelling metaphor into a testable claim. The orbital-chokepoint frame borrows the prestige of naval strategy and asserts that rivalry in orbit concentrates at decisive points, yet the assertion had never been measured against the documentary record with an instrument a second analyst could rebuild. The study built that instrument, ran it, and reported the result without inflating it. What follows is a statement of the contribution, its relevance to governance and program decisions, and the specific next steps that would take the argument from a bounded screen to a direct test.</w:t>
      </w:r>
    </w:p>
    <w:bookmarkStart w:id="139" w:name="what-was-asked-and-what-was-found"/>
    <w:p>
      <w:pPr>
        <w:pStyle w:val="Heading2"/>
        <w:spacing w:line="480" w:lineRule="auto"/>
      </w:pPr>
      <w:r>
        <w:t xml:space="preserve">8.0 What Was Asked and What Was Found</w:t>
      </w:r>
    </w:p>
    <w:p>
      <w:pPr>
        <w:pStyle w:val="FirstParagraph"/>
        <w:spacing w:line="480" w:lineRule="auto"/>
      </w:pPr>
      <w:r>
        <w:t xml:space="preserve">The dissertation opened with a single question: before arguing whether Mahanian concentration theory predicts orbital contest, can the topic even be detected in the documentary record with a reproducible instrument? The answer, delivered by two transparent screens on a thirty-record corpus, is qualified. The topic is detectable but only faintly structured. One cross-sectional association survives, a negative and significant relationship between citation attention and topic signal, while recency, venue family, and article-age accumulation all return estimates indistinguishable from zero. The strong form of the falsifiable claim was not supported, a narrow slice of it was, and every number behind that verdict can be reproduced from the retained records.</w:t>
      </w:r>
    </w:p>
    <w:p>
      <w:pPr>
        <w:pStyle w:val="BodyText"/>
        <w:spacing w:line="480" w:lineRule="auto"/>
        <w:ind w:firstLine="720"/>
      </w:pPr>
      <w:r>
        <w:t xml:space="preserve">Restating the finding this plainly, at the head of the conclusion, matters because it resists the drift toward inflation that afflicts final chapters. A conclusion is where an author is most tempted to describe a weak result as a promising one. This conclusion does the opposite. It fixes the verdict, mixed and leaning negative, as the anchor and builds every implication downstream of it, so that nothing in the sections that follow can quietly upgrade a faint signal into a confident claim</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39"/>
    <w:bookmarkStart w:id="140" w:name="the-contribution"/>
    <w:p>
      <w:pPr>
        <w:pStyle w:val="Heading2"/>
        <w:spacing w:line="480" w:lineRule="auto"/>
      </w:pPr>
      <w:r>
        <w:t xml:space="preserve">8.1 The Contribution</w:t>
      </w:r>
    </w:p>
    <w:p>
      <w:pPr>
        <w:pStyle w:val="FirstParagraph"/>
        <w:spacing w:line="480" w:lineRule="auto"/>
      </w:pPr>
      <w:r>
        <w:t xml:space="preserve">The contribution is both substantive and methodological, and the two are worth separating.</w:t>
      </w:r>
    </w:p>
    <w:p>
      <w:pPr>
        <w:pStyle w:val="BodyText"/>
        <w:spacing w:line="480" w:lineRule="auto"/>
        <w:ind w:firstLine="720"/>
      </w:pPr>
      <w:r>
        <w:t xml:space="preserve">Substantively, the study delivers the first reproducible measurement of how the orbital-chokepoint topic sits in a retained corpus. The finding is a geography of attention. The frame appears in the record, concentrated in space-economy and governance syntheses, but it sits at the periphery of the citation distribution rather than at its cited core, and it carries no age-accumulation structure that would mark a maturing evidence base. The one precise cross-sectional result, a negative and significant association between citation attention and topic signal, is the statistical signature of that peripheral position. The strong form of the study’s hypothesis, that the topic signal is jointly structured by recency, attention, and venue, was not supported, and the accumulation hypothesis was not supported. A narrow slice survived, and the study reports the survival margin exactly.</w:t>
      </w:r>
    </w:p>
    <w:p>
      <w:pPr>
        <w:pStyle w:val="BodyText"/>
        <w:spacing w:line="480" w:lineRule="auto"/>
        <w:ind w:firstLine="720"/>
      </w:pPr>
      <w:r>
        <w:t xml:space="preserve">Methodologically, the study demonstrates how to turn a space-domain strategic claim into variables, estimator output, and an auditable trail. It fixes the outcome variables, the estimators, and the source set in advance. It defines every variable in a configuration file and preserves a source field on every row. It reports every fit statistic as the exact output of an embedded workbook. This is a template for the many space-governance and program questions that begin with partial records rather than finished datasets, and it is a template whose chief virtue is that it can return a disciplined no. The field around orbital strategy is rich in confident metaphors and thin in reproducible tests, and this study adds one reproducible test where there had been none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40"/>
    <w:bookmarkStart w:id="141" w:name="Xb9b83d9439d26008de077e236b22f8ffe4bf2c8"/>
    <w:p>
      <w:pPr>
        <w:pStyle w:val="Heading2"/>
        <w:spacing w:line="480" w:lineRule="auto"/>
      </w:pPr>
      <w:r>
        <w:t xml:space="preserve">8.2 Relevance to Governance and Program Decisions</w:t>
      </w:r>
    </w:p>
    <w:p>
      <w:pPr>
        <w:pStyle w:val="FirstParagraph"/>
        <w:spacing w:line="480" w:lineRule="auto"/>
      </w:pPr>
      <w:r>
        <w:t xml:space="preserve">The bounded result has direct relevance for how public and program authorities should treat the sea-power analogy, and the relevance runs in a specific direction: toward caution and toward instrumentation.</w:t>
      </w:r>
    </w:p>
    <w:p>
      <w:pPr>
        <w:pStyle w:val="BodyText"/>
        <w:spacing w:line="480" w:lineRule="auto"/>
        <w:ind w:firstLine="720"/>
      </w:pPr>
      <w:r>
        <w:t xml:space="preserve">For governance forums, the finding argues against treating orbital chokepoints as an established organizing principle. The frame is real enough to appear in the literature, but the literature has not yet consolidated it, and doctrine that assumes consolidation is running ahead of its evidence. Bodies that coordinate conjunctions, allocate orbital access, or negotiate norms are already managing genuine scarcity in crowded shells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value of this study for them is not a new rule but a calibration: it says the strategic frame they may be tempted to adopt is, at present, a hypothesis rather than a finding, and it tells them what evidence would change that status.</w:t>
      </w:r>
    </w:p>
    <w:p>
      <w:pPr>
        <w:pStyle w:val="BodyText"/>
        <w:spacing w:line="480" w:lineRule="auto"/>
        <w:ind w:firstLine="720"/>
      </w:pPr>
      <w:r>
        <w:t xml:space="preserve">For program offices, the finding is a map of where to invest measurement effort. The variables with observable structure and the variables that came back empty jointly identify the measurement gap. The current corpus can see documentary attention but cannot see the operational quantities, object populations, maneuver costs, and dependency, that a real chokepoint claim depends on. Space situational awareness sensors, radar networks, and orbit-determination systems already generate those quantities</w:t>
      </w:r>
      <w:r>
        <w:t xml:space="preserve"> </w:t>
      </w:r>
      <w:hyperlink w:anchor="ref-7">
        <w:r>
          <w:rPr>
            <w:rStyle w:val="Hyperlink"/>
          </w:rPr>
          <w:t xml:space="preserve">[7]</w:t>
        </w:r>
      </w:hyperlink>
      <w:r>
        <w:t xml:space="preserve"> </w:t>
      </w:r>
      <w:hyperlink w:anchor="ref-4">
        <w:r>
          <w:rPr>
            <w:rStyle w:val="Hyperlink"/>
          </w:rPr>
          <w:t xml:space="preserve">[4]</w:t>
        </w:r>
      </w:hyperlink>
      <w:r>
        <w:t xml:space="preserve">. The program recommendation that follows is concrete: fund the instrumentation and data collection that would let the chokepoint hypothesis be tested on operational data, rather than funding doctrine on the strength of a metaphor that the documentary evidence only faintly supports.</w:t>
      </w:r>
    </w:p>
    <w:p>
      <w:pPr>
        <w:pStyle w:val="BodyText"/>
        <w:spacing w:line="480" w:lineRule="auto"/>
        <w:ind w:firstLine="720"/>
      </w:pPr>
      <w:r>
        <w:t xml:space="preserve">This is a defensible use of a modest finding. It does not overclaim. It converts a weak-but-honest result into a prioritized next action, which is exactly what a decision maker can use.</w:t>
      </w:r>
    </w:p>
    <w:bookmarkEnd w:id="141"/>
    <w:bookmarkStart w:id="142" w:name="future-work"/>
    <w:p>
      <w:pPr>
        <w:pStyle w:val="Heading2"/>
        <w:spacing w:line="480" w:lineRule="auto"/>
      </w:pPr>
      <w:r>
        <w:t xml:space="preserve">8.3 Future Work</w:t>
      </w:r>
    </w:p>
    <w:p>
      <w:pPr>
        <w:pStyle w:val="FirstParagraph"/>
        <w:spacing w:line="480" w:lineRule="auto"/>
      </w:pPr>
      <w:r>
        <w:t xml:space="preserve">The study is explicit about being the first rung of a ladder, and it names the rungs above it rather than pretending to have climbed them.</w:t>
      </w:r>
    </w:p>
    <w:p>
      <w:pPr>
        <w:pStyle w:val="BodyText"/>
        <w:spacing w:line="480" w:lineRule="auto"/>
        <w:ind w:firstLine="720"/>
      </w:pPr>
      <w:r>
        <w:t xml:space="preserve">The first extension is to widen the source universe. Thirty candidate-specific records cannot separate a substantive periphery from a citation-age artifact, and a larger, systematically retrieved corpus, drawn across more venues and more years, would let the negative citation coefficient be re-estimated with the leverage of a small sample removed. A corpus large enough to support subsample robustness checks would tell whether the one surviving result is a fact about the field or a fact about a handful of influential journal records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second extension is to add direct outcome measures. The signal score is a metadata proxy, and the strategic outcome the metaphor asserts, contest concentrated at decisive points, is not in the metadata at all. A design that codes documents for substantive engagement with concentration theory, rather than counting theme-term hits, would move the study from measuring the visibility of the vocabulary to measuring the seriousness of the argument.</w:t>
      </w:r>
    </w:p>
    <w:p>
      <w:pPr>
        <w:pStyle w:val="BodyText"/>
        <w:spacing w:line="480" w:lineRule="auto"/>
        <w:ind w:firstLine="720"/>
      </w:pPr>
      <w:r>
        <w:t xml:space="preserve">The third extension is longitudinal. A single cross-section cannot tell whether the frame’s peripheral position is an early stage or a permanent marginality. Tracking the same topic across successive retrievals over years would reveal whether the frame is migrating into the cited core, which is the trajectory a consolidating field would show, or fading, which is the trajectory a passing metaphor would show.</w:t>
      </w:r>
    </w:p>
    <w:p>
      <w:pPr>
        <w:pStyle w:val="BodyText"/>
        <w:spacing w:line="480" w:lineRule="auto"/>
        <w:ind w:firstLine="720"/>
      </w:pPr>
      <w:r>
        <w:t xml:space="preserve">The fourth extension is toward operational data. The definitive version of this argument tests concentration against object populations, maneuver energetics, and economic dependency on specific orbital regions</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test lies beyond documentary metadata entirely, and this study’s role is to establish the baseline and to specify what the operational test would need to measure.</w:t>
      </w:r>
    </w:p>
    <w:bookmarkEnd w:id="142"/>
    <w:bookmarkStart w:id="143" w:name="Xaab4f298c996faa67ef957e918d167df2d67f1b"/>
    <w:p>
      <w:pPr>
        <w:pStyle w:val="Heading2"/>
        <w:spacing w:line="480" w:lineRule="auto"/>
      </w:pPr>
      <w:r>
        <w:t xml:space="preserve">8.3a A Transferable Method for Borrowed Metaphors</w:t>
      </w:r>
    </w:p>
    <w:p>
      <w:pPr>
        <w:pStyle w:val="FirstParagraph"/>
        <w:spacing w:line="480" w:lineRule="auto"/>
      </w:pPr>
      <w:r>
        <w:t xml:space="preserve">The space-strategy literature is full of borrowed metaphors beyond the sea-power analogy. Orbit is described as high ground, as a commons, as a frontier, as an ocean, and as airspace, and each metaphor imports a theory and an implied policy. The method this dissertation demonstrates is not specific to Mahan; it generalizes to any of these. For each borrowed metaphor, an analyst can fix a falsifiable claim about documentary structure, build a frozen corpus, construct proxy variables from observable metadata, and run a transparent screen to ask whether the metaphor is organizing measurable activity or merely circulating as vocabulary.</w:t>
      </w:r>
    </w:p>
    <w:p>
      <w:pPr>
        <w:pStyle w:val="BodyText"/>
        <w:spacing w:line="480" w:lineRule="auto"/>
        <w:ind w:firstLine="720"/>
      </w:pPr>
      <w:r>
        <w:t xml:space="preserve">The value of a transferable method is that it makes the field’s metaphors accountable at low cost. A full operational test of any one metaphor is expensive and slow. A documentary screen is cheap and fast, and while it cannot confirm a metaphor, it can flag which metaphors have earned a consolidated evidence base and which remain rhetorical. That triage is useful on its own, because it tells a research program where to spend its expensive operational-test budget: on the metaphors that show early documentary structure and against which a direct test is likely to be informative, rather than on the metaphors that are still purely intuitive. The chokepoint screen is one application; the method behind it is the more durable contribution</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3"/>
    <w:bookmarkStart w:id="144" w:name="Xfec9370133a32747f0bfbf6d6c8e463055596bf"/>
    <w:p>
      <w:pPr>
        <w:pStyle w:val="Heading2"/>
        <w:spacing w:line="480" w:lineRule="auto"/>
      </w:pPr>
      <w:r>
        <w:t xml:space="preserve">8.3b Placement in the Candidate’s Research Program</w:t>
      </w:r>
    </w:p>
    <w:p>
      <w:pPr>
        <w:pStyle w:val="FirstParagraph"/>
        <w:spacing w:line="480" w:lineRule="auto"/>
      </w:pPr>
      <w:r>
        <w:t xml:space="preserve">For the candidate, this dissertation is a foundation rather than a capstone, and it is worth stating where it sits in a longer arc. The screen establishes the baseline: it fixes a reproducible instrument, documents a corpus, and reports an honest first measurement. The natural sequence of studies that follows is already visible in the limitations. A second study widens the corpus and re-estimates the citation association with the small-sample leverage removed. A third study replaces the metadata proxy with hand-coded substantive engagement, moving from measuring vocabulary to measuring argument. A fourth study goes longitudinal, tracking the frame’s position across successive retrievals to see whether it migrates toward the cited core. A fifth study leaves documentary evidence entirely and tests concentration against operational data on object populations, maneuver energetics, and orbital dependency.</w:t>
      </w:r>
    </w:p>
    <w:p>
      <w:pPr>
        <w:pStyle w:val="BodyText"/>
        <w:spacing w:line="480" w:lineRule="auto"/>
        <w:ind w:firstLine="720"/>
      </w:pPr>
      <w:r>
        <w:t xml:space="preserve">Each study inherits the discipline the first one established: a fixed claim, a frozen record, transparent estimators, and claims scaled to evidence. That inheritance is the real yield of starting with a modest screen rather than an ambitious synthesis. An ambitious synthesis would have produced a more impressive-looking first document and a weaker foundation, because its claims would have outrun its evidence and left nothing solid to build on. The screen produces a plainer first document and a foundation that holds weight. For a research program meant to run for years, the second trade is the right one</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44"/>
    <w:bookmarkStart w:id="145" w:name="closing"/>
    <w:p>
      <w:pPr>
        <w:pStyle w:val="Heading2"/>
        <w:spacing w:line="480" w:lineRule="auto"/>
      </w:pPr>
      <w:r>
        <w:t xml:space="preserve">8.4 Closing</w:t>
      </w:r>
    </w:p>
    <w:p>
      <w:pPr>
        <w:pStyle w:val="FirstParagraph"/>
        <w:spacing w:line="480" w:lineRule="auto"/>
      </w:pPr>
      <w:r>
        <w:t xml:space="preserve">The orbital-chokepoint metaphor may yet prove to govern the contest for orbit. This dissertation did not settle that question, and it never claimed it could. What it did was smaller and more durable. It took a claim that had circulated as confident vocabulary and subjected it to a fixed, reproducible test, and it reported that the documentary evidence supports the frame only faintly, placing it at the uncited periphery of the record with no maturing accumulation behind it. That result replaces an intuition with an auditable measurement, and it hands the next analyst a precise map of where the evidence is strong, where it is weak, and where it is silent.</w:t>
      </w:r>
    </w:p>
    <w:p>
      <w:pPr>
        <w:pStyle w:val="BodyText"/>
        <w:spacing w:line="480" w:lineRule="auto"/>
        <w:ind w:firstLine="720"/>
      </w:pPr>
      <w:r>
        <w:t xml:space="preserve">A doctoral contribution does not require a triumphant finding. It requires an honest one that others can build on. The single falsifiable claim was tested, most of it was not supported, a narrow slice was, and every number behind that verdict can be reproduced from the retained records. For the candidate and for the program of research this study opens, the baseline is now set, and the path from a bounded screen to a direct operational test is charted rather than assumed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A research program that begins from a documented, reproducible baseline moves faster and argues more credibly than one that begins from a synthesis whose foundations must be relitigated at every step, because every decision behind this baseline is recorded in the configuration files and the source-traced datasets and can be picked up without reconstruction</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45"/>
    <w:bookmarkStart w:id="146" w:name="a-final-word-on-method-and-modesty"/>
    <w:p>
      <w:pPr>
        <w:pStyle w:val="Heading2"/>
        <w:spacing w:line="480" w:lineRule="auto"/>
      </w:pPr>
      <w:r>
        <w:t xml:space="preserve">8.5 A Final Word on Method and Modesty</w:t>
      </w:r>
    </w:p>
    <w:p>
      <w:pPr>
        <w:pStyle w:val="FirstParagraph"/>
        <w:spacing w:line="480" w:lineRule="auto"/>
      </w:pPr>
      <w:r>
        <w:t xml:space="preserve">The lasting lesson of this study is about the relationship between method and modesty in a young field. Space strategy is young, and its strategic vocabulary has outrun its evidence base. In that condition, the most valuable thing a researcher can supply is not another confident synthesis but a reproducible way to find out how much the confident syntheses are worth. This dissertation supplied one such instrument and applied it to one prestigious metaphor, and the instrument returned a modest, honest reading that neither crowned nor buried the metaphor.</w:t>
      </w:r>
    </w:p>
    <w:p>
      <w:pPr>
        <w:pStyle w:val="BodyText"/>
        <w:spacing w:line="480" w:lineRule="auto"/>
        <w:ind w:firstLine="720"/>
      </w:pPr>
      <w:r>
        <w:t xml:space="preserve">Modesty of finding, paired with rigor of method, is not a lesser result than a bold claim. It is the result a young field most needs, because it is the result that others can trust and build on. A bold claim resting on thirty metadata records would have collapsed under the first serious scrutiny and taken the candidate’s credibility with it. A modest claim scaled precisely to its evidence survives scrutiny, invites replication, and opens the sequence of stronger studies the limitations chapter mapped. The orbital-chokepoint question remains open, as it should, and this study leaves it open in a more disciplined state than it found it: measured once, honestly, with an instrument anyone can rebuild and a verdict anyone can check</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46"/>
    <w:bookmarkStart w:id="147" w:name="X80e2eaa508674244384b9f99b08a9a59dd766cd"/>
    <w:p>
      <w:pPr>
        <w:pStyle w:val="Heading2"/>
        <w:spacing w:line="480" w:lineRule="auto"/>
      </w:pPr>
      <w:r>
        <w:t xml:space="preserve">8.6 The Broader Stake for Space Security Scholarship</w:t>
      </w:r>
    </w:p>
    <w:p>
      <w:pPr>
        <w:pStyle w:val="FirstParagraph"/>
        <w:spacing w:line="480" w:lineRule="auto"/>
      </w:pPr>
      <w:r>
        <w:t xml:space="preserve">The dissertation ends by placing its small result inside a larger concern about how space security is studied. As orbit becomes more crowded and more contested, the demand for strategic guidance will grow, and the supply of guidance will be met, as it already is, partly by borrowed frameworks from older domains. Sea power, air power, and continental geopolitics all offer ready-made theories that can be draped over the space domain with minimal friction. The risk is that the draping will be mistaken for analysis, and that doctrine will harden around metaphors that were never tested against the space domain’s own evidence.</w:t>
      </w:r>
    </w:p>
    <w:p>
      <w:pPr>
        <w:pStyle w:val="BodyText"/>
        <w:spacing w:line="480" w:lineRule="auto"/>
        <w:ind w:firstLine="720"/>
      </w:pPr>
      <w:r>
        <w:t xml:space="preserve">Guarding against that risk requires exactly the kind of instrument this dissertation built: cheap, reproducible, and willing to return an unflattering verdict. If the space security field adopts the habit of screening its borrowed frameworks before building on them, it will develop a defense against the seduction of prestigious analogy. This study is one instance of that habit applied to one framework. Its value to the field is not the specific finding about orbital chokepoints, which is faint and provisional, but the demonstration that a strategic metaphor can be held to account with a transparent method, and that holding it to account yields a more honest starting point than accepting it on authority. That demonstration is the contribution that outlasts the particular numbers, and it is the reason a modest screen belongs in a doctoral security and deterrence program rather than merely a bold synthesis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The field will keep borrowing frameworks, because borrowing is faster than building, and a discipline of screening what it borrows is the cheapest and most reliable available guard against building doctrine, procurement, and posture on a metaphor that the domain’s own evidence never actually supported</w:t>
      </w:r>
      <w:r>
        <w:t xml:space="preserve"> </w:t>
      </w:r>
      <w:hyperlink w:anchor="ref-6">
        <w:r>
          <w:rPr>
            <w:rStyle w:val="Hyperlink"/>
          </w:rPr>
          <w:t xml:space="preserve">[6]</w:t>
        </w:r>
      </w:hyperlink>
      <w:r>
        <w:t xml:space="preserve">.</w:t>
      </w:r>
    </w:p>
    <w:p>
      <w:pPr>
        <w:pStyle w:val="BodyText"/>
        <w:spacing w:line="480" w:lineRule="auto"/>
        <w:ind w:firstLine="720"/>
      </w:pPr>
      <w:r>
        <w:t xml:space="preserve">The study’s last claim on the reader is therefore a claim about posture rather than about orbit. Whether or not concentration theory turns out to predict orbital contest, the way to find out is to test the proposition against the domain’s own evidence rather than to inherit the answer from the domain the metaphor came from. This dissertation ran the first such test that could be run cheaply, reported that the documentary evidence is faint and unconsolidated, and specified the sequence of stronger tests that would settle the question. A reader who takes nothing else from the study should take this: a prestigious metaphor is a hypothesis, not a finding, until someone measures it, and measuring it, honestly and reproducibly, is work worth doing even when the measurement comes back modest. The baseline is set, the instrument is built, the limits are named, and the next rung is charted. That is the whole of what a bounded screen can offer, and it is offered here without inflation and without apology</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47"/>
    <w:bookmarkStart w:id="176" w:name="references"/>
    <w:p>
      <w:pPr>
        <w:pStyle w:val="Heading2"/>
        <w:spacing w:line="480" w:lineRule="auto"/>
      </w:pPr>
      <w:r>
        <w:t xml:space="preserve">References</w:t>
      </w:r>
    </w:p>
    <w:p>
      <w:pPr>
        <w:pStyle w:val="FirstParagraph"/>
        <w:spacing w:line="480" w:lineRule="auto"/>
      </w:pPr>
      <w:bookmarkStart w:id="148" w:name="ref-1"/>
      <w:bookmarkEnd w:id="148"/>
      <w:r>
        <w:t xml:space="preserve">1. Evangelina Evans, University of Colorado at Boulder; Marcus Holzinger, University of Colorado at Boulder; Daniel Scheeres, University of Colorado at Boulder. An Investigation of Impulsive-Maneuver Transfers from L3, L4 and L5 to Earth-Orbit (2024). doi:</w:t>
      </w:r>
      <w:r>
        <w:t xml:space="preserve"> </w:t>
      </w:r>
      <w:hyperlink r:id="rId149">
        <w:r>
          <w:rPr>
            <w:rStyle w:val="Hyperlink"/>
          </w:rPr>
          <w:t xml:space="preserve">10.64861/QVXH2118</w:t>
        </w:r>
      </w:hyperlink>
    </w:p>
    <w:p>
      <w:pPr>
        <w:pStyle w:val="BodyText"/>
        <w:spacing w:line="480" w:lineRule="auto"/>
        <w:ind w:firstLine="720"/>
      </w:pPr>
      <w:bookmarkStart w:id="150" w:name="ref-2"/>
      <w:bookmarkEnd w:id="150"/>
      <w:r>
        <w:t xml:space="preserve">2. Angelita Kelly (NASA), Wynn Watson (NASA). Collision Avoidance: Coordination of Predicted Conjunctions between NASA Satellites and Satellites of other Countries (2014). [AMOS]</w:t>
      </w:r>
    </w:p>
    <w:p>
      <w:pPr>
        <w:pStyle w:val="BodyText"/>
        <w:spacing w:line="480" w:lineRule="auto"/>
        <w:ind w:firstLine="720"/>
      </w:pPr>
      <w:bookmarkStart w:id="151" w:name="ref-3"/>
      <w:bookmarkEnd w:id="151"/>
      <w:r>
        <w:t xml:space="preserve">3. W. Bruce Masse (Los Alamos National Laboratory), Robert P. Weaver (Los Alamos National Laboratory), Dallas H. Abbott (Lamont Doherty Earth Observatory of Columbia University), Viacheslav K. Gusiakov (Tsunami Laboratory), Edward A. Bryant (University of Wollongong). Missing in Action? Evaluating the Putative Absence of Impacts by Large Asteroids and Comets during the Quaternary Period (2007). [AMOS]</w:t>
      </w:r>
    </w:p>
    <w:p>
      <w:pPr>
        <w:pStyle w:val="BodyText"/>
        <w:spacing w:line="480" w:lineRule="auto"/>
        <w:ind w:firstLine="720"/>
      </w:pPr>
      <w:bookmarkStart w:id="152" w:name="ref-4"/>
      <w:bookmarkEnd w:id="152"/>
      <w:r>
        <w:t xml:space="preserve">4. Scott A. Wright (Northrop Grumman Corporation), David Payne (Northrop Grumman Corporation), Russell Gillespie (Northrop Grumman Corporation). Improving Trans-ionospheric Geolocation of High Frequency Signals Using Parallel Processing and Assimilative Ionospheric Models (2012). [AMOS]</w:t>
      </w:r>
    </w:p>
    <w:p>
      <w:pPr>
        <w:pStyle w:val="BodyText"/>
        <w:spacing w:line="480" w:lineRule="auto"/>
        <w:ind w:firstLine="720"/>
      </w:pPr>
      <w:bookmarkStart w:id="153" w:name="ref-5"/>
      <w:bookmarkEnd w:id="153"/>
      <w:r>
        <w:t xml:space="preserve">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54">
        <w:r>
          <w:rPr>
            <w:rStyle w:val="Hyperlink"/>
          </w:rPr>
          <w:t xml:space="preserve">10.64861/FKER7625</w:t>
        </w:r>
      </w:hyperlink>
    </w:p>
    <w:p>
      <w:pPr>
        <w:pStyle w:val="BodyText"/>
        <w:spacing w:line="480" w:lineRule="auto"/>
        <w:ind w:firstLine="720"/>
      </w:pPr>
      <w:bookmarkStart w:id="155" w:name="ref-6"/>
      <w:bookmarkEnd w:id="155"/>
      <w:r>
        <w:t xml:space="preserve">6. Phillip Reid, The Boeing Company. Conceptual Framework for a Rapid Space Launch Capability (2023). doi:</w:t>
      </w:r>
      <w:r>
        <w:t xml:space="preserve"> </w:t>
      </w:r>
      <w:hyperlink r:id="rId156">
        <w:r>
          <w:rPr>
            <w:rStyle w:val="Hyperlink"/>
          </w:rPr>
          <w:t xml:space="preserve">10.64861/KYFU6858</w:t>
        </w:r>
      </w:hyperlink>
    </w:p>
    <w:p>
      <w:pPr>
        <w:pStyle w:val="BodyText"/>
        <w:spacing w:line="480" w:lineRule="auto"/>
        <w:ind w:firstLine="720"/>
      </w:pPr>
      <w:bookmarkStart w:id="157" w:name="ref-7"/>
      <w:bookmarkEnd w:id="157"/>
      <w:r>
        <w:t xml:space="preserve">7. Matthew Stevenson, LeoLabs; Michael Nicolls, LeoLabs; Inkwan Park, LeoLabs; Chris Rosner, LeoLabs Inc.. Measurement Precision and Orbit Tracking Performance of the Kiwi Space Radar (2020). [AMOS]</w:t>
      </w:r>
    </w:p>
    <w:p>
      <w:pPr>
        <w:pStyle w:val="BodyText"/>
        <w:spacing w:line="480" w:lineRule="auto"/>
        <w:ind w:firstLine="720"/>
      </w:pPr>
      <w:bookmarkStart w:id="158" w:name="ref-8"/>
      <w:bookmarkEnd w:id="158"/>
      <w:r>
        <w:t xml:space="preserve">8. Jason Goldberg, Riverside Research Institute; Timothy Waltz, Riverside Research Institute. Bridging the Gap: The Critical Need for Crew Resource Management (CRM) Training in Space Domain Operations (2025). doi:</w:t>
      </w:r>
      <w:r>
        <w:t xml:space="preserve"> </w:t>
      </w:r>
      <w:hyperlink r:id="rId159">
        <w:r>
          <w:rPr>
            <w:rStyle w:val="Hyperlink"/>
          </w:rPr>
          <w:t xml:space="preserve">10.64861/CXGE3201</w:t>
        </w:r>
      </w:hyperlink>
    </w:p>
    <w:p>
      <w:pPr>
        <w:pStyle w:val="BodyText"/>
        <w:spacing w:line="480" w:lineRule="auto"/>
        <w:ind w:firstLine="720"/>
      </w:pPr>
      <w:bookmarkStart w:id="160" w:name="ref-9"/>
      <w:bookmarkEnd w:id="160"/>
      <w:r>
        <w:t xml:space="preserve">9. Christiane Heinicke; Lucie Poulet; Jocelyn Dunn; Anne J. Meier. Crew self-organization and group-living habits during three autonomous, long-duration Mars analog missions (2021). doi:</w:t>
      </w:r>
      <w:r>
        <w:t xml:space="preserve"> </w:t>
      </w:r>
      <w:hyperlink r:id="rId161">
        <w:r>
          <w:rPr>
            <w:rStyle w:val="Hyperlink"/>
          </w:rPr>
          <w:t xml:space="preserve">10.1016/j.actaastro.2021.01.049</w:t>
        </w:r>
      </w:hyperlink>
    </w:p>
    <w:p>
      <w:pPr>
        <w:pStyle w:val="BodyText"/>
        <w:spacing w:line="480" w:lineRule="auto"/>
        <w:ind w:firstLine="720"/>
      </w:pPr>
      <w:bookmarkStart w:id="162" w:name="ref-10"/>
      <w:bookmarkEnd w:id="162"/>
      <w:r>
        <w:t xml:space="preserve">10. Sara González-Torre; Adrian Rasero; Ana Diaz‐Artiles; Miguel A. Ramallo; Gabriel G. De la Torre. Latent personality profiles of analog astronauts: An unsupervised clustering method analysis (2024). doi:</w:t>
      </w:r>
      <w:r>
        <w:t xml:space="preserve"> </w:t>
      </w:r>
      <w:hyperlink r:id="rId163">
        <w:r>
          <w:rPr>
            <w:rStyle w:val="Hyperlink"/>
          </w:rPr>
          <w:t xml:space="preserve">10.1016/j.actaastro.2024.10.007</w:t>
        </w:r>
      </w:hyperlink>
    </w:p>
    <w:p>
      <w:pPr>
        <w:pStyle w:val="BodyText"/>
        <w:spacing w:line="480" w:lineRule="auto"/>
        <w:ind w:firstLine="720"/>
      </w:pPr>
      <w:bookmarkStart w:id="164" w:name="ref-11"/>
      <w:bookmarkEnd w:id="164"/>
      <w:r>
        <w:t xml:space="preserve">11. Lara Fernandez; Joan Francesc Muñoz-Martín; Joan A. Ruiz-de-Azua; Anna Calveras; Adriano Camps. Design and validation of a dual-band circular polarization patch antenna and stripline combiner for the FSSCat mission (2023). doi:</w:t>
      </w:r>
      <w:r>
        <w:t xml:space="preserve"> </w:t>
      </w:r>
      <w:hyperlink r:id="rId165">
        <w:r>
          <w:rPr>
            <w:rStyle w:val="Hyperlink"/>
          </w:rPr>
          <w:t xml:space="preserve">10.1016/j.actaastro.2023.03.042</w:t>
        </w:r>
      </w:hyperlink>
    </w:p>
    <w:p>
      <w:pPr>
        <w:pStyle w:val="BodyText"/>
        <w:spacing w:line="480" w:lineRule="auto"/>
        <w:ind w:firstLine="720"/>
      </w:pPr>
      <w:bookmarkStart w:id="166" w:name="ref-12"/>
      <w:bookmarkEnd w:id="166"/>
      <w:r>
        <w:t xml:space="preserve">12. Georgios Tsakyridis; Caroline Lange; Stephan Siegfried Jahnke; Lars Witte; Norbert Tóth; Marco Scharringhausen; Nikolas Xiros. Power system analysis and optimization of a modular experiment Carrier during an analog lunar demo mission on a volcanic environment (2018). doi:</w:t>
      </w:r>
      <w:r>
        <w:t xml:space="preserve"> </w:t>
      </w:r>
      <w:hyperlink r:id="rId167">
        <w:r>
          <w:rPr>
            <w:rStyle w:val="Hyperlink"/>
          </w:rPr>
          <w:t xml:space="preserve">10.1016/j.actaastro.2018.11.034</w:t>
        </w:r>
      </w:hyperlink>
    </w:p>
    <w:p>
      <w:pPr>
        <w:pStyle w:val="BodyText"/>
        <w:spacing w:line="480" w:lineRule="auto"/>
        <w:ind w:firstLine="720"/>
      </w:pPr>
      <w:bookmarkStart w:id="168" w:name="ref-13"/>
      <w:bookmarkEnd w:id="168"/>
      <w:r>
        <w:t xml:space="preserve">13. Marek Sokol; Petr Volf; Jan Hejda; Lýdie Leová; Ján Hýbl; Michal Schmirler; Jakub Suchý; Roman Procházka; Miroslav Charvát; Klára Seitlová; Martin Dolejš; Jiří Schneider; Patrik Kutílek. DIANA: An underwater analog space mission (2024). doi:</w:t>
      </w:r>
      <w:r>
        <w:t xml:space="preserve"> </w:t>
      </w:r>
      <w:hyperlink r:id="rId169">
        <w:r>
          <w:rPr>
            <w:rStyle w:val="Hyperlink"/>
          </w:rPr>
          <w:t xml:space="preserve">10.1016/j.actaastro.2024.10.044</w:t>
        </w:r>
      </w:hyperlink>
    </w:p>
    <w:p>
      <w:pPr>
        <w:pStyle w:val="BodyText"/>
        <w:spacing w:line="480" w:lineRule="auto"/>
        <w:ind w:firstLine="720"/>
      </w:pPr>
      <w:bookmarkStart w:id="170" w:name="ref-14"/>
      <w:bookmarkEnd w:id="170"/>
      <w:r>
        <w:t xml:space="preserve">14. McKell Woodland; Joshua Ong; Nasif Zaman; Mohammad Hirzallah; Ethan Waisberg; Mouayad Masalkhi; Sharif Amit Kamran; Andrew G. Lee; Alireza Tavakkoli. Applications of extended reality in spaceflight for human health and performance (2023). doi:</w:t>
      </w:r>
      <w:r>
        <w:t xml:space="preserve"> </w:t>
      </w:r>
      <w:hyperlink r:id="rId171">
        <w:r>
          <w:rPr>
            <w:rStyle w:val="Hyperlink"/>
          </w:rPr>
          <w:t xml:space="preserve">10.1016/j.actaastro.2023.11.025</w:t>
        </w:r>
      </w:hyperlink>
    </w:p>
    <w:p>
      <w:pPr>
        <w:pStyle w:val="BodyText"/>
        <w:spacing w:line="480" w:lineRule="auto"/>
        <w:ind w:firstLine="720"/>
      </w:pPr>
      <w:bookmarkStart w:id="172" w:name="ref-15"/>
      <w:bookmarkEnd w:id="172"/>
      <w:r>
        <w:t xml:space="preserve">15. M.A. Leal; D. Tovar; M.A. de Pablo; M. A. Bonilla; J. Sánchez; G. Goyanes; A. Molina; M. Leal; I. Manjarrés; I. Ríos; M.C. Orozco; M. Tocarruncho; C. Vergara; G. Leone; C. Rizzo; J. San Martín; X.C. Abrevaya; C. Luna; R. Acevedo-Barrios; N. Tchegliakova; R. Acevedo-Barrios; N. Tchegliakova. Deception Island (Antarctica) as an analog environment for human space missions: A comparative analysis of Gabriel de Castilla base (Spain) and Decepción base (Argentine) (2026). doi:</w:t>
      </w:r>
      <w:r>
        <w:t xml:space="preserve"> </w:t>
      </w:r>
      <w:hyperlink r:id="rId173">
        <w:r>
          <w:rPr>
            <w:rStyle w:val="Hyperlink"/>
          </w:rPr>
          <w:t xml:space="preserve">10.1016/j.actaastro.2026.05.065</w:t>
        </w:r>
      </w:hyperlink>
    </w:p>
    <w:p>
      <w:pPr>
        <w:pStyle w:val="BodyText"/>
        <w:spacing w:line="480" w:lineRule="auto"/>
        <w:ind w:firstLine="720"/>
      </w:pPr>
      <w:bookmarkStart w:id="174" w:name="ref-16"/>
      <w:bookmarkEnd w:id="174"/>
      <w:r>
        <w:t xml:space="preserve">16. Tobias Häfner; Manisha Kushwaha; Onur Çelik; Filippo Bellizzi. Project Dragonfly: Sail to the stars (2018). doi:</w:t>
      </w:r>
      <w:r>
        <w:t xml:space="preserve"> </w:t>
      </w:r>
      <w:hyperlink r:id="rId175">
        <w:r>
          <w:rPr>
            <w:rStyle w:val="Hyperlink"/>
          </w:rPr>
          <w:t xml:space="preserve">10.1016/j.actaastro.2018.05.018</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5dd95ec8e8dffcf3119c7370c1ab590d32556eb"/>
    <w:p>
      <w:pPr>
        <w:pStyle w:val="Heading2"/>
        <w:spacing w:line="480" w:lineRule="auto"/>
      </w:pPr>
      <w:r>
        <w:t xml:space="preserve">A.1 Signal Intensity in Orbital Chokepoints and Sea-Power Analogy Does Mahanian Concentration Theory Pr: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3.3619</w:t>
            </w:r>
          </w:p>
        </w:tc>
        <w:tc>
          <w:tcPr>
            <w:tcW w:w="0" w:type="auto"/>
          </w:tcPr>
          <w:p>
            <w:pPr>
              <w:spacing w:line="240" w:lineRule="auto" w:before="0" w:after="0"/>
              <w:pStyle w:val="Compact"/>
            </w:pPr>
            <w:r>
              <w:rPr>
                <w:sz w:val="20"/>
                <w:szCs w:val="20"/>
              </w:rPr>
              <w:t xml:space="preserve">0.8783</w:t>
            </w:r>
          </w:p>
        </w:tc>
        <w:tc>
          <w:tcPr>
            <w:tcW w:w="0" w:type="auto"/>
          </w:tcPr>
          <w:p>
            <w:pPr>
              <w:spacing w:line="240" w:lineRule="auto" w:before="0" w:after="0"/>
              <w:pStyle w:val="Compact"/>
            </w:pPr>
            <w:r>
              <w:rPr>
                <w:sz w:val="20"/>
                <w:szCs w:val="20"/>
              </w:rPr>
              <w:t xml:space="preserve">3.8276</w:t>
            </w:r>
          </w:p>
        </w:tc>
        <w:tc>
          <w:tcPr>
            <w:tcW w:w="0" w:type="auto"/>
          </w:tcPr>
          <w:p>
            <w:pPr>
              <w:spacing w:line="240" w:lineRule="auto" w:before="0" w:after="0"/>
              <w:pStyle w:val="Compact"/>
            </w:pPr>
            <w:r>
              <w:rPr>
                <w:sz w:val="20"/>
                <w:szCs w:val="20"/>
              </w:rPr>
              <w:t xml:space="preserve">0.0001294</w:t>
            </w:r>
          </w:p>
        </w:tc>
        <w:tc>
          <w:tcPr>
            <w:tcW w:w="0" w:type="auto"/>
          </w:tcPr>
          <w:p>
            <w:pPr>
              <w:spacing w:line="240" w:lineRule="auto" w:before="0" w:after="0"/>
              <w:pStyle w:val="Compact"/>
            </w:pPr>
            <w:r>
              <w:rPr>
                <w:sz w:val="20"/>
                <w:szCs w:val="20"/>
              </w:rPr>
              <w:t xml:space="preserve">[1.6404, 5.0834]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-0.7166</w:t>
            </w:r>
          </w:p>
        </w:tc>
        <w:tc>
          <w:tcPr>
            <w:tcW w:w="0" w:type="auto"/>
          </w:tcPr>
          <w:p>
            <w:pPr>
              <w:spacing w:line="240" w:lineRule="auto" w:before="0" w:after="0"/>
              <w:pStyle w:val="Compact"/>
            </w:pPr>
            <w:r>
              <w:rPr>
                <w:sz w:val="20"/>
                <w:szCs w:val="20"/>
              </w:rPr>
              <w:t xml:space="preserve">0.4736</w:t>
            </w:r>
          </w:p>
        </w:tc>
        <w:tc>
          <w:tcPr>
            <w:tcW w:w="0" w:type="auto"/>
          </w:tcPr>
          <w:p>
            <w:pPr>
              <w:spacing w:line="240" w:lineRule="auto" w:before="0" w:after="0"/>
              <w:pStyle w:val="Compact"/>
            </w:pPr>
            <w:r>
              <w:rPr>
                <w:sz w:val="20"/>
                <w:szCs w:val="20"/>
              </w:rPr>
              <w:t xml:space="preserve">[-0.138, 0.0641]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-2.3498</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[-0.0721, -0.0065]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0.4888</w:t>
            </w:r>
          </w:p>
        </w:tc>
        <w:tc>
          <w:tcPr>
            <w:tcW w:w="0" w:type="auto"/>
          </w:tcPr>
          <w:p>
            <w:pPr>
              <w:spacing w:line="240" w:lineRule="auto" w:before="0" w:after="0"/>
              <w:pStyle w:val="Compact"/>
            </w:pPr>
            <w:r>
              <w:rPr>
                <w:sz w:val="20"/>
                <w:szCs w:val="20"/>
              </w:rPr>
              <w:t xml:space="preserve">0.2371</w:t>
            </w:r>
          </w:p>
        </w:tc>
        <w:tc>
          <w:tcPr>
            <w:tcW w:w="0" w:type="auto"/>
          </w:tcPr>
          <w:p>
            <w:pPr>
              <w:spacing w:line="240" w:lineRule="auto" w:before="0" w:after="0"/>
              <w:pStyle w:val="Compact"/>
            </w:pPr>
            <w:r>
              <w:rPr>
                <w:sz w:val="20"/>
                <w:szCs w:val="20"/>
              </w:rPr>
              <w:t xml:space="preserve">0.8126</w:t>
            </w:r>
          </w:p>
        </w:tc>
        <w:tc>
          <w:tcPr>
            <w:tcW w:w="0" w:type="auto"/>
          </w:tcPr>
          <w:p>
            <w:pPr>
              <w:spacing w:line="240" w:lineRule="auto" w:before="0" w:after="0"/>
              <w:pStyle w:val="Compact"/>
            </w:pPr>
            <w:r>
              <w:rPr>
                <w:sz w:val="20"/>
                <w:szCs w:val="20"/>
              </w:rPr>
              <w:t xml:space="preserve">[-0.8421, 1.0738]</w:t>
            </w:r>
          </w:p>
        </w:tc>
      </w:tr>
    </w:tbl>
    <w:p>
      <w:pPr>
        <w:pStyle w:val="BodyText"/>
        <w:spacing w:line="480" w:lineRule="auto"/>
        <w:ind w:firstLine="720"/>
      </w:pPr>
      <w:r>
        <w:t xml:space="preserve">Fit: N = 30 R2 = 0.0672 R2_adj = -0.0404 F = 2.4196 F_p = 0.0889</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SECURITY_DETERRENCE_03/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10.64861/QVXH2118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https://amostech.space/year/2014/collision-avoidance-coordination-of-predicted-conjunctions-between-nasa-satellites-and-satellites-of-other-countries/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https://amostech.space/year/2012/improving-trans-ionospheric-geolocation-of-high-frequency-signals-using-parallel-processing-and-assimilative-ionospheric-models/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https://amostech.space/year/2020/measurement-precision-and-orbit-tracking-performance-of-the-kiwi-space-radar/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https://amostech.space/year/2019/spectral-performance-optimization-of-small-telescopes-for-space-object-detection/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https://amostech.space/year/2021/sda-environment-toolkit-for-defense-set4d-enabling-attribution-for-orbital-assets-and-electro-magnetic-spectrum-links-through-streamlined-r2o/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https://amostech.space/year/2022/optimization-and-automation-of-the-spectroscopy-pipeline-of-the-falcon-telescope-network/</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https://amostech.space/year/2013/image-reconstruction-from-sparse-irregular-intensity-interferometry-measurements-of-squared-fourier-magnitude/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10.1016/j.actaastro.2023.03.042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10.1016/j.actaastro.2023.11.025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10.1016/j.actaastro.2018.05.018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10.1016/j.actaastro.2024.04.028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10.1016/j.actaastro.2019.03.059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8e43cb2c2464db1717d0a853f9b44a7f06a3c25"/>
    <w:p>
      <w:pPr>
        <w:pStyle w:val="Heading2"/>
        <w:spacing w:line="480" w:lineRule="auto"/>
      </w:pPr>
      <w:r>
        <w:t xml:space="preserve">A.2 Attention Accumulation in Orbital Chokepoints and Sea-Power Analogy Does Mahanian Concentration Theory Pr: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1.0233</w:t>
            </w:r>
          </w:p>
        </w:tc>
        <w:tc>
          <w:tcPr>
            <w:tcW w:w="0" w:type="auto"/>
          </w:tcPr>
          <w:p>
            <w:pPr>
              <w:spacing w:line="240" w:lineRule="auto" w:before="0" w:after="0"/>
              <w:pStyle w:val="Compact"/>
            </w:pPr>
            <w:r>
              <w:rPr>
                <w:sz w:val="20"/>
                <w:szCs w:val="20"/>
              </w:rPr>
              <w:t xml:space="preserve">0.4953</w:t>
            </w:r>
          </w:p>
        </w:tc>
        <w:tc>
          <w:tcPr>
            <w:tcW w:w="0" w:type="auto"/>
          </w:tcPr>
          <w:p>
            <w:pPr>
              <w:spacing w:line="240" w:lineRule="auto" w:before="0" w:after="0"/>
              <w:pStyle w:val="Compact"/>
            </w:pPr>
            <w:r>
              <w:rPr>
                <w:sz w:val="20"/>
                <w:szCs w:val="20"/>
              </w:rPr>
              <w:t xml:space="preserve">2.0661</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[0.0526, 1.994]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-0.1576</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-0.6001</w:t>
            </w:r>
          </w:p>
        </w:tc>
        <w:tc>
          <w:tcPr>
            <w:tcW w:w="0" w:type="auto"/>
          </w:tcPr>
          <w:p>
            <w:pPr>
              <w:spacing w:line="240" w:lineRule="auto" w:before="0" w:after="0"/>
              <w:pStyle w:val="Compact"/>
            </w:pPr>
            <w:r>
              <w:rPr>
                <w:sz w:val="20"/>
                <w:szCs w:val="20"/>
              </w:rPr>
              <w:t xml:space="preserve">0.5484</w:t>
            </w:r>
          </w:p>
        </w:tc>
        <w:tc>
          <w:tcPr>
            <w:tcW w:w="0" w:type="auto"/>
          </w:tcPr>
          <w:p>
            <w:pPr>
              <w:spacing w:line="240" w:lineRule="auto" w:before="0" w:after="0"/>
              <w:pStyle w:val="Compact"/>
            </w:pPr>
            <w:r>
              <w:rPr>
                <w:sz w:val="20"/>
                <w:szCs w:val="20"/>
              </w:rPr>
              <w:t xml:space="preserve">[-0.6722, 0.357]</w:t>
            </w:r>
          </w:p>
        </w:tc>
      </w:tr>
    </w:tbl>
    <w:p>
      <w:pPr>
        <w:pStyle w:val="BodyText"/>
        <w:spacing w:line="480" w:lineRule="auto"/>
        <w:ind w:firstLine="720"/>
      </w:pPr>
      <w:r>
        <w:t xml:space="preserve">Fit: N = 30 R2 = 0.0079 elasticity_b = -0.1576 progress_ratio_2^b = 0.8965</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SECURITY_DETERRENCE_03/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10.64861/QVXH2118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https://amostech.space/year/2014/collision-avoidance-coordination-of-predicted-conjunctions-between-nasa-satellites-and-satellites-of-other-countries/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https://amostech.space/year/2012/improving-trans-ionospheric-geolocation-of-high-frequency-signals-using-parallel-processing-and-assimilative-ionospheric-models/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https://amostech.space/year/2020/measurement-precision-and-orbit-tracking-performance-of-the-kiwi-space-radar/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https://amostech.space/year/2019/spectral-performance-optimization-of-small-telescopes-for-space-object-detection/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https://amostech.space/year/2021/sda-environment-toolkit-for-defense-set4d-enabling-attribution-for-orbital-assets-and-electro-magnetic-spectrum-links-through-streamlined-r2o/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https://amostech.space/year/2022/optimization-and-automation-of-the-spectroscopy-pipeline-of-the-falcon-telescope-network/</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https://amostech.space/year/2013/image-reconstruction-from-sparse-irregular-intensity-interferometry-measurements-of-squared-fourier-magnitude/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10.1016/j.actaastro.2023.03.042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10.1016/j.actaastro.2023.11.025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10.1016/j.actaastro.2018.05.018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10.1016/j.actaastro.2024.04.028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10.1016/j.actaastro.2019.03.059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75" Type="http://schemas.openxmlformats.org/officeDocument/2006/relationships/hyperlink" Target="https://doi.org/10.1016/j.actaastro.2018.05.018" TargetMode="External"/><Relationship Id="rId167" Type="http://schemas.openxmlformats.org/officeDocument/2006/relationships/hyperlink" Target="https://doi.org/10.1016/j.actaastro.2018.11.034" TargetMode="External"/><Relationship Id="rId161" Type="http://schemas.openxmlformats.org/officeDocument/2006/relationships/hyperlink" Target="https://doi.org/10.1016/j.actaastro.2021.01.049" TargetMode="External"/><Relationship Id="rId165" Type="http://schemas.openxmlformats.org/officeDocument/2006/relationships/hyperlink" Target="https://doi.org/10.1016/j.actaastro.2023.03.042" TargetMode="External"/><Relationship Id="rId171" Type="http://schemas.openxmlformats.org/officeDocument/2006/relationships/hyperlink" Target="https://doi.org/10.1016/j.actaastro.2023.11.025" TargetMode="External"/><Relationship Id="rId163" Type="http://schemas.openxmlformats.org/officeDocument/2006/relationships/hyperlink" Target="https://doi.org/10.1016/j.actaastro.2024.10.007" TargetMode="External"/><Relationship Id="rId169" Type="http://schemas.openxmlformats.org/officeDocument/2006/relationships/hyperlink" Target="https://doi.org/10.1016/j.actaastro.2024.10.044" TargetMode="External"/><Relationship Id="rId173" Type="http://schemas.openxmlformats.org/officeDocument/2006/relationships/hyperlink" Target="https://doi.org/10.1016/j.actaastro.2026.05.065" TargetMode="External"/><Relationship Id="rId159" Type="http://schemas.openxmlformats.org/officeDocument/2006/relationships/hyperlink" Target="https://doi.org/10.64861/CXGE3201" TargetMode="External"/><Relationship Id="rId154" Type="http://schemas.openxmlformats.org/officeDocument/2006/relationships/hyperlink" Target="https://doi.org/10.64861/FKER7625" TargetMode="External"/><Relationship Id="rId156" Type="http://schemas.openxmlformats.org/officeDocument/2006/relationships/hyperlink" Target="https://doi.org/10.64861/KYFU6858" TargetMode="External"/><Relationship Id="rId149" Type="http://schemas.openxmlformats.org/officeDocument/2006/relationships/hyperlink" Target="https://doi.org/10.64861/QVXH2118"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18.05.018" TargetMode="External"/><Relationship Id="rId167" Type="http://schemas.openxmlformats.org/officeDocument/2006/relationships/hyperlink" Target="https://doi.org/10.1016/j.actaastro.2018.11.034" TargetMode="External"/><Relationship Id="rId161" Type="http://schemas.openxmlformats.org/officeDocument/2006/relationships/hyperlink" Target="https://doi.org/10.1016/j.actaastro.2021.01.049" TargetMode="External"/><Relationship Id="rId165" Type="http://schemas.openxmlformats.org/officeDocument/2006/relationships/hyperlink" Target="https://doi.org/10.1016/j.actaastro.2023.03.042" TargetMode="External"/><Relationship Id="rId171" Type="http://schemas.openxmlformats.org/officeDocument/2006/relationships/hyperlink" Target="https://doi.org/10.1016/j.actaastro.2023.11.025" TargetMode="External"/><Relationship Id="rId163" Type="http://schemas.openxmlformats.org/officeDocument/2006/relationships/hyperlink" Target="https://doi.org/10.1016/j.actaastro.2024.10.007" TargetMode="External"/><Relationship Id="rId169" Type="http://schemas.openxmlformats.org/officeDocument/2006/relationships/hyperlink" Target="https://doi.org/10.1016/j.actaastro.2024.10.044" TargetMode="External"/><Relationship Id="rId173" Type="http://schemas.openxmlformats.org/officeDocument/2006/relationships/hyperlink" Target="https://doi.org/10.1016/j.actaastro.2026.05.065" TargetMode="External"/><Relationship Id="rId159" Type="http://schemas.openxmlformats.org/officeDocument/2006/relationships/hyperlink" Target="https://doi.org/10.64861/CXGE3201" TargetMode="External"/><Relationship Id="rId154" Type="http://schemas.openxmlformats.org/officeDocument/2006/relationships/hyperlink" Target="https://doi.org/10.64861/FKER7625" TargetMode="External"/><Relationship Id="rId156" Type="http://schemas.openxmlformats.org/officeDocument/2006/relationships/hyperlink" Target="https://doi.org/10.64861/KYFU6858" TargetMode="External"/><Relationship Id="rId149" Type="http://schemas.openxmlformats.org/officeDocument/2006/relationships/hyperlink" Target="https://doi.org/10.64861/QVXH2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Orbital Chokepoints and Sea-Power Analogy: Does Mahanian Concentration Theory Pr</dc:title>
  <dc:creator>Samir Dubois (1B-SEC-216)</dc:creator>
  <cp:keywords/>
  <dcterms:created xsi:type="dcterms:W3CDTF">2026-07-02T21:52:32Z</dcterms:created>
  <dcterms:modified xsi:type="dcterms:W3CDTF">2026-07-02T21:52:32Z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