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51b1c5f66e0f4e7666a0c3449976d00baad350f"/>
    <w:p>
      <w:pPr>
        <w:pStyle w:val="Heading1"/>
      </w:pPr>
      <w:r>
        <w:t xml:space="preserve">Signal Intensity in The Debris Taboo as an Emergent Norm Has Kinetic ASAT Testing Crossed a Measura: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Omar Ortiz (1B-SEC-210) and the dissertation project</w:t>
      </w:r>
      <w:r>
        <w:t xml:space="preserve"> </w:t>
      </w:r>
      <w:r>
        <w:rPr>
          <w:i/>
          <w:iCs/>
        </w:rPr>
        <w:t xml:space="preserve">The Debris Taboo as an Emergent Norm: Has Kinetic ASAT Testing Crossed a Measura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R2=0.1686933453174727, R2_adj=0.07277334670025803, F=2.923172655381721, F_p=0.05272389412397983. The exact term summary is: const coef=2.5325558039150606 p=0.04570299018464071; recency_index coef=0.18100271288038078 p=0.023166451119345944; cites_num coef=-0.03208747587380294 p=0.1949940787809915; venue_score coef=-0.5788932463821329 p=0.21234964252389077.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Todd Harrison, Center for Strategic and International Studies. International Perspectives on Space Weapons (2020). [AMOS]</w:t>
      </w:r>
      <w:r>
        <w:t xml:space="preserve"> </w:t>
      </w:r>
      <w:bookmarkStart w:id="70" w:name="ref-3"/>
      <w:bookmarkEnd w:id="70"/>
      <w:r>
        <w:t xml:space="preserve">3. Sarah Thiele, The University of British Columbia; Aaron C. Boley, The University of British Columbia. Investigating the Risks of Debris-generating ASAT Tests in the Presence of Megaconstellations (2021). [AMOS]</w:t>
      </w:r>
      <w:r>
        <w:t xml:space="preserve"> </w:t>
      </w:r>
      <w:bookmarkStart w:id="71" w:name="ref-4"/>
      <w:bookmarkEnd w:id="71"/>
      <w:r>
        <w:t xml:space="preserve">4. Andrew C. Nicholas, Naval Research Laboratory; Joshua M. Wolf, Naval Research Laboratory; Lee J. Kordella, U.S. Naval Research Laboratory; Charles M. Brown, Naval Research Laboratory; Ted T. Finne, Naval Research Laboratory; Kenneth Marr, Naval Research Laboratory; Scott A. Budzien, Naval Research Laboratory; Ivan J. Galysh, Naval Research Laboratory; Christoph R. Englert, Naval Research Laboratory. LARADO: A Sensor for On-orbit Detection of Lethal Non-Trackable Debris (2022). [AMOS]</w:t>
      </w:r>
      <w:r>
        <w:t xml:space="preserve"> </w:t>
      </w:r>
      <w:bookmarkStart w:id="72" w:name="ref-5"/>
      <w:bookmarkEnd w:id="72"/>
      <w:r>
        <w:t xml:space="preserve">5. Daiki Mori, NEC Aerospace Systems, Ltd.; Masatoshi Ebara, NEC Corporation; Takahiro Okada, NEC Corporation; Hideki Kimura, NEC Corporation. Commercial SSA capability in Japan (2019). [AMOS]</w:t>
      </w:r>
      <w:r>
        <w:t xml:space="preserve"> </w:t>
      </w:r>
      <w:bookmarkStart w:id="73" w:name="ref-6"/>
      <w:bookmarkEnd w:id="73"/>
      <w:r>
        <w:t xml:space="preserve">6. David Talent (Oceanit Laboratories, Inc.). An Assessment of the January 2007 Chinese ASAT Test on the LEO Environment (2007). [AMOS]</w:t>
      </w:r>
      <w:r>
        <w:t xml:space="preserve"> </w:t>
      </w:r>
      <w:bookmarkStart w:id="74" w:name="ref-7"/>
      <w:bookmarkEnd w:id="74"/>
      <w:r>
        <w:t xml:space="preserve">7. Ryo Kato, NEC Aerospace Systems, Ltd.; Takahito Sakaue, NEC Aerospace Systems,Ltd.; Daiki Mori, NEC Corporation; Makoto Tanaka, NEC Aerospace Systems, Ltd.; Taichiro Sano, NEC; Katsuaki Taya, NEC Corporation; Masatoshi Ebara, NEC Corporation; Ryosuke Nakazawa, NEC; Jun Yoshida, NEC; Ryosuke Togawa, NEC Corporation. Validity Evaluation of Anomaly Detection Using LSTM Autoencoder for Maneuver Detection (2023). doi:</w:t>
      </w:r>
      <w:r>
        <w:t xml:space="preserve"> </w:t>
      </w:r>
      <w:hyperlink r:id="rId75">
        <w:r>
          <w:rPr>
            <w:rStyle w:val="Hyperlink"/>
          </w:rPr>
          <w:t xml:space="preserve">10.64861/LQWT7494</w:t>
        </w:r>
      </w:hyperlink>
      <w:r>
        <w:t xml:space="preserve"> </w:t>
      </w:r>
      <w:bookmarkStart w:id="76" w:name="ref-8"/>
      <w:bookmarkEnd w:id="76"/>
      <w:r>
        <w:t xml:space="preserve">8. David Buehler, AFRL/RV; Dane Fuller, AFIT/CSRA; John Colombi, AFIT/ENV; William Wiesel, AFIT/ENY; Dave Meyer, AFIT/ENY; Richard Cobb, AFIT/ENY. Utilizing Supercomputing to Analyze Risks of an Emergent Large-scale Debris Field in Low Earth Orbit (2018).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2.5326</w:t>
            </w:r>
          </w:p>
        </w:tc>
        <w:tc>
          <w:tcPr>
            <w:tcW w:w="0" w:type="auto"/>
          </w:tcPr>
          <w:p>
            <w:pPr>
              <w:spacing w:line="240" w:lineRule="auto" w:before="0" w:after="0"/>
              <w:pStyle w:val="Compact"/>
            </w:pPr>
            <w:r>
              <w:rPr>
                <w:sz w:val="20"/>
                <w:szCs w:val="20"/>
              </w:rPr>
              <w:t xml:space="preserve">1.2675</w:t>
            </w:r>
          </w:p>
        </w:tc>
        <w:tc>
          <w:tcPr>
            <w:tcW w:w="0" w:type="auto"/>
          </w:tcPr>
          <w:p>
            <w:pPr>
              <w:spacing w:line="240" w:lineRule="auto" w:before="0" w:after="0"/>
              <w:pStyle w:val="Compact"/>
            </w:pPr>
            <w:r>
              <w:rPr>
                <w:sz w:val="20"/>
                <w:szCs w:val="20"/>
              </w:rPr>
              <w:t xml:space="preserve">1.9981</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[0.0484, 5.0167]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0.181</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2.2707</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[0.0248, 0.3372]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-1.2959</w:t>
            </w:r>
          </w:p>
        </w:tc>
        <w:tc>
          <w:tcPr>
            <w:tcW w:w="0" w:type="auto"/>
          </w:tcPr>
          <w:p>
            <w:pPr>
              <w:spacing w:line="240" w:lineRule="auto" w:before="0" w:after="0"/>
              <w:pStyle w:val="Compact"/>
            </w:pPr>
            <w:r>
              <w:rPr>
                <w:sz w:val="20"/>
                <w:szCs w:val="20"/>
              </w:rPr>
              <w:t xml:space="preserve">0.195</w:t>
            </w:r>
          </w:p>
        </w:tc>
        <w:tc>
          <w:tcPr>
            <w:tcW w:w="0" w:type="auto"/>
          </w:tcPr>
          <w:p>
            <w:pPr>
              <w:spacing w:line="240" w:lineRule="auto" w:before="0" w:after="0"/>
              <w:pStyle w:val="Compact"/>
            </w:pPr>
            <w:r>
              <w:rPr>
                <w:sz w:val="20"/>
                <w:szCs w:val="20"/>
              </w:rPr>
              <w:t xml:space="preserve">[-0.0806, 0.0164]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-0.5789</w:t>
            </w:r>
          </w:p>
        </w:tc>
        <w:tc>
          <w:tcPr>
            <w:tcW w:w="0" w:type="auto"/>
          </w:tcPr>
          <w:p>
            <w:pPr>
              <w:spacing w:line="240" w:lineRule="auto" w:before="0" w:after="0"/>
              <w:pStyle w:val="Compact"/>
            </w:pPr>
            <w:r>
              <w:rPr>
                <w:sz w:val="20"/>
                <w:szCs w:val="20"/>
              </w:rPr>
              <w:t xml:space="preserve">0.4642</w:t>
            </w:r>
          </w:p>
        </w:tc>
        <w:tc>
          <w:tcPr>
            <w:tcW w:w="0" w:type="auto"/>
          </w:tcPr>
          <w:p>
            <w:pPr>
              <w:spacing w:line="240" w:lineRule="auto" w:before="0" w:after="0"/>
              <w:pStyle w:val="Compact"/>
            </w:pPr>
            <w:r>
              <w:rPr>
                <w:sz w:val="20"/>
                <w:szCs w:val="20"/>
              </w:rPr>
              <w:t xml:space="preserve">-1.2471</w:t>
            </w:r>
          </w:p>
        </w:tc>
        <w:tc>
          <w:tcPr>
            <w:tcW w:w="0" w:type="auto"/>
          </w:tcPr>
          <w:p>
            <w:pPr>
              <w:spacing w:line="240" w:lineRule="auto" w:before="0" w:after="0"/>
              <w:pStyle w:val="Compact"/>
            </w:pPr>
            <w:r>
              <w:rPr>
                <w:sz w:val="20"/>
                <w:szCs w:val="20"/>
              </w:rPr>
              <w:t xml:space="preserve">0.2123</w:t>
            </w:r>
          </w:p>
        </w:tc>
        <w:tc>
          <w:tcPr>
            <w:tcW w:w="0" w:type="auto"/>
          </w:tcPr>
          <w:p>
            <w:pPr>
              <w:spacing w:line="240" w:lineRule="auto" w:before="0" w:after="0"/>
              <w:pStyle w:val="Compact"/>
            </w:pPr>
            <w:r>
              <w:rPr>
                <w:sz w:val="20"/>
                <w:szCs w:val="20"/>
              </w:rPr>
              <w:t xml:space="preserve">[-1.4887, 0.3309]</w:t>
            </w:r>
          </w:p>
        </w:tc>
      </w:tr>
    </w:tbl>
    <w:p>
      <w:pPr>
        <w:pStyle w:val="BodyText"/>
      </w:pPr>
      <w:r>
        <w:t xml:space="preserve">Fit: N = 30 R2 = 0.1687 R2_adj = 0.0728 F = 2.9232 F_p = 0.0527</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ECURITY_DETERRENCE_02\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https://amostech.space/year/2022/larado-a-sensor-for-on-orbit-detection-of-lethal-non-trackable-debris/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https://amostech.space/year/2019/commercial-ssa-capability-in-japan/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10.64861/LQWT7494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https://amostech.space/year/2018/utilizing-supercomputing-to-analyze-risks-of-an-emergent-large-scale-debris-field-in-low-earth-orbit/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https://amostech.space/year/2018/fengyun-1c-debris-cloud-evolution-over-one-decade/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10.1016/j.actaastro.2016.05.009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2.5326</w:t>
            </w:r>
          </w:p>
        </w:tc>
        <w:tc>
          <w:tcPr>
            <w:tcW w:w="0" w:type="auto"/>
          </w:tcPr>
          <w:p>
            <w:pPr>
              <w:spacing w:line="240" w:lineRule="auto" w:before="0" w:after="0"/>
              <w:pStyle w:val="Compact"/>
            </w:pPr>
            <w:r>
              <w:rPr>
                <w:sz w:val="20"/>
                <w:szCs w:val="20"/>
              </w:rPr>
              <w:t xml:space="preserve">1.2675</w:t>
            </w:r>
          </w:p>
        </w:tc>
        <w:tc>
          <w:tcPr>
            <w:tcW w:w="0" w:type="auto"/>
          </w:tcPr>
          <w:p>
            <w:pPr>
              <w:spacing w:line="240" w:lineRule="auto" w:before="0" w:after="0"/>
              <w:pStyle w:val="Compact"/>
            </w:pPr>
            <w:r>
              <w:rPr>
                <w:sz w:val="20"/>
                <w:szCs w:val="20"/>
              </w:rPr>
              <w:t xml:space="preserve">1.9981</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[0.0484, 5.0167]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0.181</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2.2707</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[0.0248, 0.3372]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-1.2959</w:t>
            </w:r>
          </w:p>
        </w:tc>
        <w:tc>
          <w:tcPr>
            <w:tcW w:w="0" w:type="auto"/>
          </w:tcPr>
          <w:p>
            <w:pPr>
              <w:spacing w:line="240" w:lineRule="auto" w:before="0" w:after="0"/>
              <w:pStyle w:val="Compact"/>
            </w:pPr>
            <w:r>
              <w:rPr>
                <w:sz w:val="20"/>
                <w:szCs w:val="20"/>
              </w:rPr>
              <w:t xml:space="preserve">0.195</w:t>
            </w:r>
          </w:p>
        </w:tc>
        <w:tc>
          <w:tcPr>
            <w:tcW w:w="0" w:type="auto"/>
          </w:tcPr>
          <w:p>
            <w:pPr>
              <w:spacing w:line="240" w:lineRule="auto" w:before="0" w:after="0"/>
              <w:pStyle w:val="Compact"/>
            </w:pPr>
            <w:r>
              <w:rPr>
                <w:sz w:val="20"/>
                <w:szCs w:val="20"/>
              </w:rPr>
              <w:t xml:space="preserve">[-0.0806, 0.0164]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-0.5789</w:t>
            </w:r>
          </w:p>
        </w:tc>
        <w:tc>
          <w:tcPr>
            <w:tcW w:w="0" w:type="auto"/>
          </w:tcPr>
          <w:p>
            <w:pPr>
              <w:spacing w:line="240" w:lineRule="auto" w:before="0" w:after="0"/>
              <w:pStyle w:val="Compact"/>
            </w:pPr>
            <w:r>
              <w:rPr>
                <w:sz w:val="20"/>
                <w:szCs w:val="20"/>
              </w:rPr>
              <w:t xml:space="preserve">0.4642</w:t>
            </w:r>
          </w:p>
        </w:tc>
        <w:tc>
          <w:tcPr>
            <w:tcW w:w="0" w:type="auto"/>
          </w:tcPr>
          <w:p>
            <w:pPr>
              <w:spacing w:line="240" w:lineRule="auto" w:before="0" w:after="0"/>
              <w:pStyle w:val="Compact"/>
            </w:pPr>
            <w:r>
              <w:rPr>
                <w:sz w:val="20"/>
                <w:szCs w:val="20"/>
              </w:rPr>
              <w:t xml:space="preserve">-1.2471</w:t>
            </w:r>
          </w:p>
        </w:tc>
        <w:tc>
          <w:tcPr>
            <w:tcW w:w="0" w:type="auto"/>
          </w:tcPr>
          <w:p>
            <w:pPr>
              <w:spacing w:line="240" w:lineRule="auto" w:before="0" w:after="0"/>
              <w:pStyle w:val="Compact"/>
            </w:pPr>
            <w:r>
              <w:rPr>
                <w:sz w:val="20"/>
                <w:szCs w:val="20"/>
              </w:rPr>
              <w:t xml:space="preserve">0.2123</w:t>
            </w:r>
          </w:p>
        </w:tc>
        <w:tc>
          <w:tcPr>
            <w:tcW w:w="0" w:type="auto"/>
          </w:tcPr>
          <w:p>
            <w:pPr>
              <w:spacing w:line="240" w:lineRule="auto" w:before="0" w:after="0"/>
              <w:pStyle w:val="Compact"/>
            </w:pPr>
            <w:r>
              <w:rPr>
                <w:sz w:val="20"/>
                <w:szCs w:val="20"/>
              </w:rPr>
              <w:t xml:space="preserve">[-1.4887, 0.3309]</w:t>
            </w:r>
          </w:p>
        </w:tc>
      </w:tr>
    </w:tbl>
    <w:p>
      <w:pPr>
        <w:pStyle w:val="BodyText"/>
      </w:pPr>
      <w:r>
        <w:t xml:space="preserve">Fit: N = 30 R2 = 0.1687 R2_adj = 0.0728 F = 2.9232 F_p = 0.0527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8" Target="https://doi.org/10.64861/EIBC5616" TargetMode="External" /><Relationship Type="http://schemas.openxmlformats.org/officeDocument/2006/relationships/hyperlink" Id="rId75" Target="https://doi.org/10.64861/LQWT7494"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 Type="http://schemas.openxmlformats.org/officeDocument/2006/relationships/hyperlink" Id="rId75" Target="https://doi.org/10.64861/LQWT74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2026-06-29T09:41:29Z</dcterms:created>
  <dcterms:modified xsi:type="dcterms:W3CDTF">2026-06-29T09:41:29Z</dcterms:modified>
</cp:coreProperties>
</file>

<file path=docProps/custom.xml><?xml version="1.0" encoding="utf-8"?>
<Properties xmlns="http://schemas.openxmlformats.org/officeDocument/2006/custom-properties" xmlns:vt="http://schemas.openxmlformats.org/officeDocument/2006/docPropsVTypes"/>
</file>