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DEBRIS TABOO AS AN EMERGENT NORM: HAS KINETIC ASAT TESTING CROSSED A MEASURA</w:t>
      </w:r>
    </w:p>
    <w:p>
      <w:pPr>
        <w:jc w:val="center"/>
      </w:pPr>
    </w:p>
    <w:p>
      <w:pPr>
        <w:jc w:val="center"/>
      </w:pPr>
      <w:r>
        <w:rPr>
          <w:rFonts w:ascii="Times New Roman" w:hAnsi="Times New Roman"/>
          <w:sz w:val="24"/>
        </w:rPr>
        <w:t>by</w:t>
      </w:r>
    </w:p>
    <w:p>
      <w:pPr>
        <w:jc w:val="center"/>
      </w:pPr>
      <w:r>
        <w:rPr>
          <w:rFonts w:ascii="Times New Roman" w:hAnsi="Times New Roman"/>
          <w:b/>
          <w:sz w:val="28"/>
        </w:rPr>
        <w:t>Omar Ortiz</w:t>
      </w:r>
    </w:p>
    <w:p>
      <w:pPr>
        <w:jc w:val="center"/>
      </w:pPr>
      <w:r>
        <w:rPr>
          <w:rFonts w:ascii="Times New Roman" w:hAnsi="Times New Roman"/>
          <w:sz w:val="24"/>
        </w:rPr>
        <w:t>1B-SEC-210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Kinetic anti-satellite testing leaves a physical record that outlives the political moment that produced it. When a missile shatters a satellite, the fragments do not disperse and vanish. They spread into a debris cloud that crosses orbital shells used by every spacefaring actor, and they persist for years or decades, threatening crewed platforms and commercial constellations alike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This dissertation,</w:t>
      </w:r>
      <w:r>
        <w:t xml:space="preserve"> </w:t>
      </w:r>
      <w:r>
        <w:rPr>
          <w:i/>
          <w:iCs/>
        </w:rPr>
        <w:t xml:space="preserve">The Debris Taboo as an Emergent Norm: Has Kinetic ASAT Testing Crossed a Measurable Threshold</w:t>
      </w:r>
      <w:r>
        <w:t xml:space="preserve">, asks whether the discomfort that now surrounds such tests has begun to leave a trace in the written record of the field. That is a narrower question than it first appears, and the narrowing is deliberate.</w:t>
      </w:r>
    </w:p>
    <w:p>
      <w:pPr>
        <w:pStyle w:val="BodyText"/>
        <w:spacing w:line="480" w:lineRule="auto"/>
        <w:ind w:firstLine="720"/>
      </w:pPr>
      <w:r>
        <w:t xml:space="preserve">The broad version of the question belongs to political theory. It asks whether a taboo, meaning a norm strong enough that violation carries reputational and material cost, has crystallized around debris-generating weapons tests. The answer to that broad question would require polling states, coding diplomatic statements, and tracing the moratoria that several governments announced after 2022. This project does not attempt that. It attempts something a doctoral committee can check line by line: whether the candidate topic is legible in the timing, the citation attention, and the venue structure of the source records a researcher can actually assemble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contribution is one falsifiable document-level test, and the results reported here are only the deterministic outputs of two empirical workbooks built from a fixed corpus.</w:t>
      </w:r>
    </w:p>
    <w:p>
      <w:pPr>
        <w:pStyle w:val="BodyText"/>
        <w:spacing w:line="480" w:lineRule="auto"/>
        <w:ind w:firstLine="720"/>
      </w:pPr>
      <w:r>
        <w:t xml:space="preserve">That framing decision carries a cost and a benefit. The cost is scope. A reader who wants a verdict on whether Russia, China, India, and the United States have internalized a debris taboo will not find that verdict proven here. The benefit is auditability. Every number in the chapters that follow traces to a row in a data file, every row traces to a retrieved source, and every interpretive claim stays inside the estimator output that the row-level data generate. A dissertation can either clarify the evidentiary chain or hide weak inference behind confident prose. This one chooses the first path and accepts the smaller claim that comes with it.</w:t>
      </w:r>
    </w:p>
    <w:bookmarkStart w:id="61" w:name="the-stakes"/>
    <w:p>
      <w:pPr>
        <w:pStyle w:val="Heading2"/>
        <w:spacing w:line="480" w:lineRule="auto"/>
      </w:pPr>
      <w:r>
        <w:t xml:space="preserve">The stakes</w:t>
      </w:r>
    </w:p>
    <w:p>
      <w:pPr>
        <w:pStyle w:val="FirstParagraph"/>
        <w:spacing w:line="480" w:lineRule="auto"/>
      </w:pPr>
      <w:r>
        <w:t xml:space="preserve">Consider what the physical record already shows. The 2007 Chinese test against the Fengyun-1C weather satellite created the single largest tracked debris cloud in the history of spaceflight, and a decade later that cloud had still not fully decayed</w:t>
      </w:r>
      <w:r>
        <w:t xml:space="preserve"> </w:t>
      </w:r>
      <w:hyperlink w:anchor="ref-6">
        <w:r>
          <w:rPr>
            <w:rStyle w:val="Hyperlink"/>
          </w:rPr>
          <w:t xml:space="preserve">[6]</w:t>
        </w:r>
      </w:hyperlink>
      <w:r>
        <w:t xml:space="preserve">. The 2021 Russian test against Kosmos 1408 forced the crew of the International Space Station to shelter in their return vehicles, and it seeded fragments through orbital altitudes crowded with new megaconstellation satellites</w:t>
      </w:r>
      <w:r>
        <w:t xml:space="preserve"> </w:t>
      </w:r>
      <w:hyperlink w:anchor="ref-11">
        <w:r>
          <w:rPr>
            <w:rStyle w:val="Hyperlink"/>
          </w:rPr>
          <w:t xml:space="preserve">[11]</w:t>
        </w:r>
      </w:hyperlink>
      <w:r>
        <w:t xml:space="preserve">. These events are not abstractions. They are the empirical anchors of a governance problem that has moved faster than the institutions meant to manage it.</w:t>
      </w:r>
    </w:p>
    <w:p>
      <w:pPr>
        <w:pStyle w:val="BodyText"/>
        <w:spacing w:line="480" w:lineRule="auto"/>
        <w:ind w:firstLine="720"/>
      </w:pPr>
      <w:r>
        <w:t xml:space="preserve">Space governance problems tend to become visible before institutions agree on the operating rule. This project treats that early visibility as evidence worth measuring rather than a mood worth describing. The debris taboo, if it exists, is the kind of norm that constructivist scholars call emergent: it is forming in real time, it has partisans and skeptics, and its strength is contested. Debris-generating tests intersect nuclear strategic stability through attribution and escalation dynamics, which means the norm question is not confined to orbital housekeeping but reaches into the logic of deterrence itself</w:t>
      </w:r>
      <w:r>
        <w:t xml:space="preserve"> </w:t>
      </w:r>
      <w:hyperlink w:anchor="ref-1">
        <w:r>
          <w:rPr>
            <w:rStyle w:val="Hyperlink"/>
          </w:rPr>
          <w:t xml:space="preserve">[1]</w:t>
        </w:r>
      </w:hyperlink>
      <w:r>
        <w:t xml:space="preserve">. A test that blinds an early-warning satellite, or that is mistaken for a first move against one, sits uncomfortably close to the nuclear threshold.</w:t>
      </w:r>
    </w:p>
    <w:p>
      <w:pPr>
        <w:pStyle w:val="BodyText"/>
        <w:spacing w:line="480" w:lineRule="auto"/>
        <w:ind w:firstLine="720"/>
      </w:pPr>
      <w:r>
        <w:t xml:space="preserve">Practical stakes for a research program are equally concrete. If the topic has genuinely hardened into a measurable field, then bibliometric structure should be visible: recent work should cluster, citation attention should accumulate, and specific venues should carry the load. If the topic remains diffuse policy intuition, the structure should be weak or unstable. The dissertation is built to tell those two worlds apart, at least partially, using data a committee can inspect</w:t>
      </w:r>
      <w:r>
        <w:t xml:space="preserve"> </w:t>
      </w:r>
      <w:hyperlink w:anchor="ref-2">
        <w:r>
          <w:rPr>
            <w:rStyle w:val="Hyperlink"/>
          </w:rPr>
          <w:t xml:space="preserve">[2]</w:t>
        </w:r>
      </w:hyperlink>
      <w:r>
        <w:t xml:space="preserve">.</w:t>
      </w:r>
    </w:p>
    <w:bookmarkEnd w:id="61"/>
    <w:bookmarkStart w:id="62" w:name="the-gap"/>
    <w:p>
      <w:pPr>
        <w:pStyle w:val="Heading2"/>
        <w:spacing w:line="480" w:lineRule="auto"/>
      </w:pPr>
      <w:r>
        <w:t xml:space="preserve">The gap</w:t>
      </w:r>
    </w:p>
    <w:p>
      <w:pPr>
        <w:pStyle w:val="FirstParagraph"/>
        <w:spacing w:line="480" w:lineRule="auto"/>
      </w:pPr>
      <w:r>
        <w:t xml:space="preserve">Two literatures rarely meet in this field. The first is technical and operational. It measures debris populations, models fragmentation, designs sensors for lethal non-trackable objects, and assesses collision risk</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This work identifies operational danger with precision, but it does not usually explain why governance language hardens in one decade and stays loose in another. The second literature is institutional. It studies norms, discourse coalitions, and the socio-technical regime forming around debris mitigation</w:t>
      </w:r>
      <w:r>
        <w:t xml:space="preserve"> </w:t>
      </w:r>
      <w:hyperlink w:anchor="ref-12">
        <w:r>
          <w:rPr>
            <w:rStyle w:val="Hyperlink"/>
          </w:rPr>
          <w:t xml:space="preserve">[12]</w:t>
        </w:r>
      </w:hyperlink>
      <w:r>
        <w:t xml:space="preserve">. This work explains institutional dynamics, but it does not always connect those dynamics to observable, codeable measurement.</w:t>
      </w:r>
    </w:p>
    <w:p>
      <w:pPr>
        <w:pStyle w:val="BodyText"/>
        <w:spacing w:line="480" w:lineRule="auto"/>
        <w:ind w:firstLine="720"/>
      </w:pPr>
      <w:r>
        <w:t xml:space="preserve">The distance between them is the gap. Source records identify risk without explaining norm formation, and norm scholarship explains formation without pinning it to reproducible indicators</w:t>
      </w:r>
      <w:r>
        <w:t xml:space="preserve"> </w:t>
      </w:r>
      <w:hyperlink w:anchor="ref-1">
        <w:r>
          <w:rPr>
            <w:rStyle w:val="Hyperlink"/>
          </w:rPr>
          <w:t xml:space="preserve">[1]</w:t>
        </w:r>
      </w:hyperlink>
      <w:r>
        <w:t xml:space="preserve"> </w:t>
      </w:r>
      <w:hyperlink w:anchor="ref-3">
        <w:r>
          <w:rPr>
            <w:rStyle w:val="Hyperlink"/>
          </w:rPr>
          <w:t xml:space="preserve">[3]</w:t>
        </w:r>
      </w:hyperlink>
      <w:r>
        <w:t xml:space="preserve">. Citation attention, publication recency, and venue family can reveal how a topic distributes across a retrieved corpus, yet those signals still demand careful interpretation before anyone reads a policy verdict into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prospectus names this gap and then does the responsible thing: it shrinks the contribution to a test that can be reproduced from retained records rather than one that requires trusting the author’s judgment about diplomatic intent.</w:t>
      </w:r>
    </w:p>
    <w:bookmarkEnd w:id="62"/>
    <w:bookmarkStart w:id="63" w:name="the-falsifiable-contribution"/>
    <w:p>
      <w:pPr>
        <w:pStyle w:val="Heading2"/>
        <w:spacing w:line="480" w:lineRule="auto"/>
      </w:pPr>
      <w:r>
        <w:t xml:space="preserve">The falsifiable contribution</w:t>
      </w:r>
    </w:p>
    <w:p>
      <w:pPr>
        <w:pStyle w:val="FirstParagraph"/>
        <w:spacing w:line="480" w:lineRule="auto"/>
      </w:pPr>
      <w:r>
        <w:t xml:space="preserve">The dissertation stands or falls on a single pair of hypotheses. Stated at the level of the corpus, the null is that the candidate topic signal is unrelated to publication recency, citation attention, and venue family in the retrieved source corpus. The alternative is that the topic signal is systematically related to those three properties. This is a document-level claim, not a claim about state behavior, and that is the point. The claim is falsifiable because the data can return weak, imprecise, or wrong-signed coefficients, and if they do, the alternative fails.</w:t>
      </w:r>
    </w:p>
    <w:p>
      <w:pPr>
        <w:pStyle w:val="BodyText"/>
        <w:spacing w:line="480" w:lineRule="auto"/>
        <w:ind w:firstLine="720"/>
      </w:pPr>
      <w:r>
        <w:t xml:space="preserve">Two empirical papers carry the test. Paper 1 estimates an ordinary least squares model of topic-signal intensity as a function of recency, citation count, and venue family, using robust HC1 standard errors across thirty retrieved records. Paper 2 estimates a log-log learning-curve model of citation accumulation against article age across the same thirty records. The papers are complementary, not interchangeable. One studies cross-sectional structure, asking whether the topic is more legible in recent, well-cited, or particular-venue records. The other studies accumulation over time, asking whether citation attention follows an age-based curve. Neither settles the full policy question, and neither pretends to. Together they discipline the evidence and show how the retrieved corpus is actually structured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Previewed briefly so the reader knows the terrain, the results are mixed in an informative way. Paper 1 finds a precise, positive association between recency and topic signal, with the overall model sitting just at the conventional edge of significance. Paper 2 finds no reliable age-based citation curve. That combination is not a failure. It is exactly the kind of split result that tells a future researcher which variables have observable structure and which proxies are too weak to bear weight.</w:t>
      </w:r>
    </w:p>
    <w:bookmarkEnd w:id="63"/>
    <w:bookmarkStart w:id="64" w:name="roadmap"/>
    <w:p>
      <w:pPr>
        <w:pStyle w:val="Heading2"/>
        <w:spacing w:line="480" w:lineRule="auto"/>
      </w:pPr>
      <w:r>
        <w:t xml:space="preserve">Roadmap</w:t>
      </w:r>
    </w:p>
    <w:p>
      <w:pPr>
        <w:pStyle w:val="FirstParagraph"/>
        <w:spacing w:line="480" w:lineRule="auto"/>
      </w:pPr>
      <w:r>
        <w:t xml:space="preserve">The chapters follow the logic of the argument rather than the convenience of a template. Chapter 2 situates the project against the domain and measurement literatures, drawing on the debris, ASAT, and norm-formation sources in the reference pool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 Chapter 3 states the mechanism and derives the testable predictions, explaining why recency, attention, and venue should carry signal if the taboo is emergent. Chapter 4 sets out the two estimators and argues what each can and cannot identify. Chapter 5 describes the dataset, the variable construction rules, the sources, and the sample of thirty. Chapter 6 reports the exact estimator output for both papers, coefficient by coefficient, and interprets the signs and magnitudes without inflating them. Chapter 7 turns to discussion, threats to validity, and the honest boundary of what a thirty-record corpus screen can and cannot show. Chapter 8 states the contribution, draws the governance and program relevance, and names the next empirical step a stronger design would take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64"/>
    <w:bookmarkStart w:id="65" w:name="why-bibliometrics-rather-than-diplomacy"/>
    <w:p>
      <w:pPr>
        <w:pStyle w:val="Heading2"/>
        <w:spacing w:line="480" w:lineRule="auto"/>
      </w:pPr>
      <w:r>
        <w:t xml:space="preserve">Why bibliometrics rather than diplomacy</w:t>
      </w:r>
    </w:p>
    <w:p>
      <w:pPr>
        <w:pStyle w:val="FirstParagraph"/>
        <w:spacing w:line="480" w:lineRule="auto"/>
      </w:pPr>
      <w:r>
        <w:t xml:space="preserve">A skeptic will ask why a study of a security norm looks at citation counts and publication years rather than at treaties and statements. The answer runs through the structure of the problem. Diplomatic evidence about the debris taboo is thin, contested, and easy to read selectively. A handful of states announced testing moratoria after 2021, but announcements are cheap, reversible, and motivated by mixed interests, so counting them tells a reader little about whether a norm has genuinely taken hold. Treaty language on debris-generating tests barely exists, because the governance instruments that do address debris tend to speak in mitigation guidelines rather than prohibitions. A researcher who builds an argument on that scattered diplomatic record risks reading their own conclusion into a small number of ambiguous acts.</w:t>
      </w:r>
    </w:p>
    <w:p>
      <w:pPr>
        <w:pStyle w:val="BodyText"/>
        <w:spacing w:line="480" w:lineRule="auto"/>
        <w:ind w:firstLine="720"/>
      </w:pPr>
      <w:r>
        <w:t xml:space="preserve">The literature, by contrast, is abundant and datable. Every paper on debris-generating tests carries a year, a venue, and a citation trajectory, and those properties are recorded rather than interpreted. If a norm is emerging, the communities that study the underlying behavior should reorganize around it in ways that leave a bibliometric residue, and Yap, Heiberg, and Truffer have already shown that debris governance emergence is visible in discourse structure</w:t>
      </w:r>
      <w:r>
        <w:t xml:space="preserve"> </w:t>
      </w:r>
      <w:hyperlink w:anchor="ref-12">
        <w:r>
          <w:rPr>
            <w:rStyle w:val="Hyperlink"/>
          </w:rPr>
          <w:t xml:space="preserve">[12]</w:t>
        </w:r>
      </w:hyperlink>
      <w:r>
        <w:t xml:space="preserve">. The choice to measure the literature is therefore not a retreat from the hard question but a decision to attack it where the evidence is dense and recomputable rather than where it is sparse and rhetorical</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is a familiar move in the study of emerging norms. Before a norm is codified in behavior, it is argued into existence in text, and the shape of that argument, who writes it, when, and where, is observable. The dissertation treats the literature as the leading indicator and leaves the behavioral question, the one that would require coding state practice, to the future work it names in the final chapter</w:t>
      </w:r>
      <w:r>
        <w:t xml:space="preserve"> </w:t>
      </w:r>
      <w:hyperlink w:anchor="ref-1">
        <w:r>
          <w:rPr>
            <w:rStyle w:val="Hyperlink"/>
          </w:rPr>
          <w:t xml:space="preserve">[1]</w:t>
        </w:r>
      </w:hyperlink>
      <w:r>
        <w:t xml:space="preserve">.</w:t>
      </w:r>
    </w:p>
    <w:bookmarkEnd w:id="65"/>
    <w:bookmarkStart w:id="66" w:name="Xa44f639dfd707b054216aeca5920b5b2c2e51aa"/>
    <w:p>
      <w:pPr>
        <w:pStyle w:val="Heading2"/>
        <w:spacing w:line="480" w:lineRule="auto"/>
      </w:pPr>
      <w:r>
        <w:t xml:space="preserve">The unit of analysis and the meaning of a null</w:t>
      </w:r>
    </w:p>
    <w:p>
      <w:pPr>
        <w:pStyle w:val="FirstParagraph"/>
        <w:spacing w:line="480" w:lineRule="auto"/>
      </w:pPr>
      <w:r>
        <w:t xml:space="preserve">Two clarifications keep the rest of the dissertation honest. The first concerns the unit of analysis. The observations are documents, not states, not tests, and not years. Each row in the data is a retrieved source record, and every coefficient describes how a document property varies with other document properties. This is why the hypotheses in this chapter are stated at the level of the corpus rather than at the level of behavior. A reader who forgets this will overread the results; a reader who holds it firmly will read them exactly as far as they go</w:t>
      </w:r>
      <w:r>
        <w:t xml:space="preserve"> </w:t>
      </w:r>
      <w:hyperlink w:anchor="ref-5">
        <w:r>
          <w:rPr>
            <w:rStyle w:val="Hyperlink"/>
          </w:rPr>
          <w:t xml:space="preserve">[5]</w:t>
        </w:r>
      </w:hyperlink>
      <w:r>
        <w:t xml:space="preserve">.</w:t>
      </w:r>
    </w:p>
    <w:p>
      <w:pPr>
        <w:pStyle w:val="BodyText"/>
        <w:spacing w:line="480" w:lineRule="auto"/>
        <w:ind w:firstLine="720"/>
      </w:pPr>
      <w:r>
        <w:t xml:space="preserve">The second clarification concerns what a null result means here. In much applied work a null is a disappointment, a failure to find the effect the author hoped for. In this design a null is a finding. If citation attention turns out not to carry topic signal, that tells a future researcher the proxy is too weak in a young field, which is genuine methodological knowledge. If age turns out not to organize citations, that redirects attention toward event time. The design is built so that both a signal and its absence are informative, and the results chapter will report one of each without treating either as a defeat</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66"/>
    <w:bookmarkStart w:id="67" w:name="the-threshold-question"/>
    <w:p>
      <w:pPr>
        <w:pStyle w:val="Heading2"/>
        <w:spacing w:line="480" w:lineRule="auto"/>
      </w:pPr>
      <w:r>
        <w:t xml:space="preserve">The threshold question</w:t>
      </w:r>
    </w:p>
    <w:p>
      <w:pPr>
        <w:pStyle w:val="FirstParagraph"/>
        <w:spacing w:line="480" w:lineRule="auto"/>
      </w:pPr>
      <w:r>
        <w:t xml:space="preserve">The dissertation’s title asks whether kinetic ASAT testing has crossed a measurable threshold, and the word threshold carries a precise meaning worth fixing. A threshold, in the study of norms, is the point at which a diffuse discomfort becomes a shared expectation strong enough to shape behavior. Below the threshold, states may dislike debris-generating tests but treat them as a normal, if regrettable, instrument of statecraft. Above it, a test becomes an act that requires justification, that draws condemnation, and that a state undertakes only at reputational cost. Locating that threshold in state behavior is beyond this project. Locating its bibliometric antecedent, the reorganization of the studying literature that typically precedes and accompanies a behavioral threshold, is within reach</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framing explains why a measurable answer is possible even when the behavioral answer is not. Thresholds in behavior are hard to observe because behavior is sparse and strategic; a state tests rarely, and when it does the decision is shaped by many factors beyond any norm. Thresholds in literature are easier to observe because literature is dense and datable; every paper leaves a record, and a reorganization of attention shows up as a shift in the timing, framing, and venue of that record. The dissertation measures the literature’s threshold as a leading, checkable indicator of the behavioral threshold it cannot yet reach</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2021 Kosmos 1408 event is the natural candidate for a threshold-crossing moment, because it combined maximal operational harm, endangering a crewed station, with maximal strategic salience, arriving as the strategic-stability framing consolidated</w:t>
      </w:r>
      <w:r>
        <w:t xml:space="preserve"> </w:t>
      </w:r>
      <w:hyperlink w:anchor="ref-11">
        <w:r>
          <w:rPr>
            <w:rStyle w:val="Hyperlink"/>
          </w:rPr>
          <w:t xml:space="preserve">[11]</w:t>
        </w:r>
      </w:hyperlink>
      <w:r>
        <w:t xml:space="preserve"> </w:t>
      </w:r>
      <w:hyperlink w:anchor="ref-1">
        <w:r>
          <w:rPr>
            <w:rStyle w:val="Hyperlink"/>
          </w:rPr>
          <w:t xml:space="preserve">[1]</w:t>
        </w:r>
      </w:hyperlink>
      <w:r>
        <w:t xml:space="preserve">. If any single event pushed the literature across a reorganization threshold, this one is the leading suspect, and the recency structure the results chapter reports is consistent with a literature that reorganized around it. Whether that literary threshold corresponds to a behavioral one remains the open question the final chapter carries forward.</w:t>
      </w:r>
    </w:p>
    <w:bookmarkEnd w:id="67"/>
    <w:bookmarkStart w:id="68" w:name="Xf124e937809c8746df7314c62bbeb48ece8bcad"/>
    <w:p>
      <w:pPr>
        <w:pStyle w:val="Heading2"/>
        <w:spacing w:line="480" w:lineRule="auto"/>
      </w:pPr>
      <w:r>
        <w:t xml:space="preserve">Situating the project in the debris-taboo debate</w:t>
      </w:r>
    </w:p>
    <w:p>
      <w:pPr>
        <w:pStyle w:val="FirstParagraph"/>
        <w:spacing w:line="480" w:lineRule="auto"/>
      </w:pPr>
      <w:r>
        <w:t xml:space="preserve">The phrase debris taboo carries a specific analytic weight that deserves unpacking at the outset. A taboo is not merely a preference against a behavior. It is a norm whose violation is treated as illegitimate, so that a state which breaches it pays a reputational price beyond the material cost of the act. The nuclear non-use tradition is the canonical example: states refrain from using nuclear weapons not only because of retaliation but because use has become unthinkable, which ordinary military restraint never was. The question this dissertation orbits is whether debris-generating tests are acquiring that quality, moving from a merely inadvisable act to an illegitimate one.</w:t>
      </w:r>
    </w:p>
    <w:p>
      <w:pPr>
        <w:pStyle w:val="BodyText"/>
        <w:spacing w:line="480" w:lineRule="auto"/>
        <w:ind w:firstLine="720"/>
      </w:pPr>
      <w:r>
        <w:t xml:space="preserve">Several developments make the question live rather than academic. After the 2021 Kosmos 1408 test, the United States declared a unilateral moratorium on destructive direct-ascent testing and campaigned for other states to follow, and a number did. That campaign is the clearest recent instance of norm entrepreneurship in the space-security domain, and whether it succeeds is precisely the kind of question a norm-emergence study should illuminate</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counterpressure is equally real: states that view counterspace capability as central to their deterrent have little incentive to bind themselves, and the ambiguity between a test and an operational strike keeps the strategic stakes high</w:t>
      </w:r>
      <w:r>
        <w:t xml:space="preserve"> </w:t>
      </w:r>
      <w:hyperlink w:anchor="ref-2">
        <w:r>
          <w:rPr>
            <w:rStyle w:val="Hyperlink"/>
          </w:rPr>
          <w:t xml:space="preserve">[2]</w:t>
        </w:r>
      </w:hyperlink>
      <w:r>
        <w:t xml:space="preserve">.</w:t>
      </w:r>
    </w:p>
    <w:p>
      <w:pPr>
        <w:pStyle w:val="BodyText"/>
        <w:spacing w:line="480" w:lineRule="auto"/>
        <w:ind w:firstLine="720"/>
      </w:pPr>
      <w:r>
        <w:t xml:space="preserve">The dissertation does not adjudicate that contest of interests. It asks a prior, evidentiary question: has the contest left enough of a mark on the studying literature that a reproducible screen can detect it? If the answer is yes even in part, then the debris-taboo debate has passed from pure speculation into a phase where its bibliometric footprint can be tracked, which is itself a modest but real contribution to how the debate is conducted</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If the answer is no, the project will have shown that the literature has not yet reorganized, which would be an equally useful correction to premature claims of consolidation.</w:t>
      </w:r>
    </w:p>
    <w:p>
      <w:pPr>
        <w:pStyle w:val="BodyText"/>
        <w:spacing w:line="480" w:lineRule="auto"/>
        <w:ind w:firstLine="720"/>
      </w:pPr>
      <w:r>
        <w:t xml:space="preserve">A closing word on tone is in order. The chapters ahead resist the temptation to overclaim that afflicts much writing on emerging norms, where a few salient events are read as a settled trend. The recency signal reported here is real and it is bounded, and the dissertation says both things with equal emphasis. A finding that respects its own limits is more useful to a governance community than a confident verdict that outruns its evidence, because the community can build on the former and will eventually be embarrassed by the latter</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A reader should leave this introduction with a clear sense of the bargain. The dissertation trades breadth for verifiability. It will not tell you whether the debris taboo has won. It will tell you, with a chain of evidence you can check, whether the topic has begun to leave a measurable mark on the literature that studies it, and it will be candid about the places where the answer is no. The remaining chapters honor that bargain by keeping every claim tethered to a record, a variable, and an estimator, so that a skeptical reader can retrace the path from a retrieved document to a reported coefficient and judge the inference for themselves</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Two bodies of work bear on the question of whether kinetic anti-satellite testing has crossed into taboo. They developed on separate tracks, they answer different questions, and they rarely cite one another. The first is the technical and operational literature on orbital debris and space weapons. The second is the institutional literature on norm formation, discourse, and governance regimes. This chapter reads both against the reference pool assembled for the project, and it locates the dissertation’s contribution in the seam where the two tracks fail to connect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Start w:id="70" w:name="X156090053463f322605022411ea0928b2da6d63"/>
    <w:p>
      <w:pPr>
        <w:pStyle w:val="Heading2"/>
        <w:spacing w:line="480" w:lineRule="auto"/>
      </w:pPr>
      <w:r>
        <w:t xml:space="preserve">The operational record of debris-generating tests</w:t>
      </w:r>
    </w:p>
    <w:p>
      <w:pPr>
        <w:pStyle w:val="FirstParagraph"/>
        <w:spacing w:line="480" w:lineRule="auto"/>
      </w:pPr>
      <w:r>
        <w:t xml:space="preserve">The empirical case for treating ASAT tests as a distinct governance problem rests on the physics of fragmentation. Talent’s assessment of the January 2007 Chinese test remains the reference point: the Fengyun-1C intercept generated a debris field so large, and at such an altitude, that it reshaped the collision-risk environment of low Earth orbit for years afterward</w:t>
      </w:r>
      <w:r>
        <w:t xml:space="preserve"> </w:t>
      </w:r>
      <w:hyperlink w:anchor="ref-6">
        <w:r>
          <w:rPr>
            <w:rStyle w:val="Hyperlink"/>
          </w:rPr>
          <w:t xml:space="preserve">[6]</w:t>
        </w:r>
      </w:hyperlink>
      <w:r>
        <w:t xml:space="preserve">. The event is the empirical origin of the modern debris-taboo conversation because it demonstrated, at scale, that a single test could impose costs on every operator in a shared orbital shell. It converted an abstract externality into a tracked catalog of hazardous objects.</w:t>
      </w:r>
    </w:p>
    <w:p>
      <w:pPr>
        <w:pStyle w:val="BodyText"/>
        <w:spacing w:line="480" w:lineRule="auto"/>
        <w:ind w:firstLine="720"/>
      </w:pPr>
      <w:r>
        <w:t xml:space="preserve">The 2021 Kosmos 1408 event extended the lesson into the megaconstellation era. Pardini and Anselmo modeled the short-term effects of that fragmentation on neighboring crewed stations and large constellations, and their analysis makes the escalation of stakes concrete: the same kilogram of debris that was merely dangerous in 2007 is far more dangerous in an orbit now populated by thousands of active satellites</w:t>
      </w:r>
      <w:r>
        <w:t xml:space="preserve"> </w:t>
      </w:r>
      <w:hyperlink w:anchor="ref-11">
        <w:r>
          <w:rPr>
            <w:rStyle w:val="Hyperlink"/>
          </w:rPr>
          <w:t xml:space="preserve">[11]</w:t>
        </w:r>
      </w:hyperlink>
      <w:r>
        <w:t xml:space="preserve">. Kastinen and colleagues used radar beam-parks to characterize the Kosmos 1408 fragmentation directly, adding an observational layer to the modeling and showing that the debris cloud could be measured, not merely inferred</w:t>
      </w:r>
      <w:r>
        <w:t xml:space="preserve"> </w:t>
      </w:r>
      <w:hyperlink w:anchor="ref-16">
        <w:r>
          <w:rPr>
            <w:rStyle w:val="Hyperlink"/>
          </w:rPr>
          <w:t xml:space="preserve">[16]</w:t>
        </w:r>
      </w:hyperlink>
      <w:r>
        <w:t xml:space="preserve">. Together these studies establish that the operational danger is real, quantifiable, and growing with orbital density.</w:t>
      </w:r>
    </w:p>
    <w:p>
      <w:pPr>
        <w:pStyle w:val="BodyText"/>
        <w:spacing w:line="480" w:lineRule="auto"/>
        <w:ind w:firstLine="720"/>
      </w:pPr>
      <w:r>
        <w:t xml:space="preserve">Thiele and Boley pushed the argument forward by asking what debris-generating tests mean specifically in the presence of megaconstellations, and their finding sharpens the governance problem: the marginal harm of a test rises as orbital population rises, so the window in which such tests are even arguably tolerable is closing</w:t>
      </w:r>
      <w:r>
        <w:t xml:space="preserve"> </w:t>
      </w:r>
      <w:hyperlink w:anchor="ref-3">
        <w:r>
          <w:rPr>
            <w:rStyle w:val="Hyperlink"/>
          </w:rPr>
          <w:t xml:space="preserve">[3]</w:t>
        </w:r>
      </w:hyperlink>
      <w:r>
        <w:t xml:space="preserve">. On the sensing side, the operational literature has invested heavily in detecting the lethal non-trackable fragments that conventional catalogs miss. Nicholas and colleagues designed the LARADO sensor for on-orbit detection of such debris and later reported optical detection results, work that matters because the objects most likely to kill a satellite are precisely the ones too small to track from the ground</w:t>
      </w:r>
      <w:r>
        <w:t xml:space="preserve"> </w:t>
      </w:r>
      <w:hyperlink w:anchor="ref-4">
        <w:r>
          <w:rPr>
            <w:rStyle w:val="Hyperlink"/>
          </w:rPr>
          <w:t xml:space="preserve">[4]</w:t>
        </w:r>
      </w:hyperlink>
      <w:r>
        <w:t xml:space="preserve"> </w:t>
      </w:r>
      <w:hyperlink w:anchor="ref-9">
        <w:r>
          <w:rPr>
            <w:rStyle w:val="Hyperlink"/>
          </w:rPr>
          <w:t xml:space="preserve">[9]</w:t>
        </w:r>
      </w:hyperlink>
      <w:r>
        <w:t xml:space="preserve">. Buehler and colleagues used supercomputing to analyze the risk of an emergent large-scale debris field, quantifying the tail risk that a cascade could render orbital regions unusable</w:t>
      </w:r>
      <w:r>
        <w:t xml:space="preserve"> </w:t>
      </w:r>
      <w:hyperlink w:anchor="ref-8">
        <w:r>
          <w:rPr>
            <w:rStyle w:val="Hyperlink"/>
          </w:rPr>
          <w:t xml:space="preserve">[8]</w:t>
        </w:r>
      </w:hyperlink>
      <w:r>
        <w:t xml:space="preserve">.</w:t>
      </w:r>
    </w:p>
    <w:p>
      <w:pPr>
        <w:pStyle w:val="BodyText"/>
        <w:spacing w:line="480" w:lineRule="auto"/>
        <w:ind w:firstLine="720"/>
      </w:pPr>
      <w:r>
        <w:t xml:space="preserve">What this literature does not do is explain norm formation. It tells us that debris is dangerous, that the danger scales with orbital use, and that detection is hard. It does not tell us why the diplomatic language around testing hardened after 2021 rather than after 2007, or why some states announced moratoria while others did not. The mechanism connecting physical harm to institutional response is left implicit</w:t>
      </w:r>
      <w:r>
        <w:t xml:space="preserve"> </w:t>
      </w:r>
      <w:hyperlink w:anchor="ref-1">
        <w:r>
          <w:rPr>
            <w:rStyle w:val="Hyperlink"/>
          </w:rPr>
          <w:t xml:space="preserve">[1]</w:t>
        </w:r>
      </w:hyperlink>
      <w:r>
        <w:t xml:space="preserve">.</w:t>
      </w:r>
    </w:p>
    <w:bookmarkEnd w:id="70"/>
    <w:bookmarkStart w:id="71" w:name="the-strategic-and-deterrence-framing"/>
    <w:p>
      <w:pPr>
        <w:pStyle w:val="Heading2"/>
        <w:spacing w:line="480" w:lineRule="auto"/>
      </w:pPr>
      <w:r>
        <w:t xml:space="preserve">The strategic and deterrence framing</w:t>
      </w:r>
    </w:p>
    <w:p>
      <w:pPr>
        <w:pStyle w:val="FirstParagraph"/>
        <w:spacing w:line="480" w:lineRule="auto"/>
      </w:pPr>
      <w:r>
        <w:t xml:space="preserve">A second cluster of sources treats ASAT capability as a weapons problem rather than a debris problem. Harrison’s survey of international perspectives on space weapons maps how different states frame counterspace capability, and it is useful precisely because it shows that the same physical act carries different strategic meanings in different capitals</w:t>
      </w:r>
      <w:r>
        <w:t xml:space="preserve"> </w:t>
      </w:r>
      <w:hyperlink w:anchor="ref-2">
        <w:r>
          <w:rPr>
            <w:rStyle w:val="Hyperlink"/>
          </w:rPr>
          <w:t xml:space="preserve">[2]</w:t>
        </w:r>
      </w:hyperlink>
      <w:r>
        <w:t xml:space="preserve">. Reis analyzes European defense and security strategy for space and ground systems against hybrid threats, situating counterspace within a broader threat picture in which kinetic tests are one instrument among many</w:t>
      </w:r>
      <w:r>
        <w:t xml:space="preserve"> </w:t>
      </w:r>
      <w:hyperlink w:anchor="ref-10">
        <w:r>
          <w:rPr>
            <w:rStyle w:val="Hyperlink"/>
          </w:rPr>
          <w:t xml:space="preserve">[10]</w:t>
        </w:r>
      </w:hyperlink>
      <w:r>
        <w:t xml:space="preserve">.</w:t>
      </w:r>
    </w:p>
    <w:p>
      <w:pPr>
        <w:pStyle w:val="BodyText"/>
        <w:spacing w:line="480" w:lineRule="auto"/>
        <w:ind w:firstLine="720"/>
      </w:pPr>
      <w:r>
        <w:t xml:space="preserve">Dalal, Boley, and Byers supply the most consequential strategic framing, who connect space debris directly to nuclear strategic stability by examining collision risks and attribution potential in geostationary orbit</w:t>
      </w:r>
      <w:r>
        <w:t xml:space="preserve"> </w:t>
      </w:r>
      <w:hyperlink w:anchor="ref-1">
        <w:r>
          <w:rPr>
            <w:rStyle w:val="Hyperlink"/>
          </w:rPr>
          <w:t xml:space="preserve">[1]</w:t>
        </w:r>
      </w:hyperlink>
      <w:r>
        <w:t xml:space="preserve">. Their argument matters for this dissertation because it explains why the taboo, if it is forming, is not merely an environmental courtesy. A debris event that damages or is mistaken for an attack on a strategic asset couples the debris problem to the escalation problem. Attribution is the hinge. If a state cannot tell whether a satellite failure was debris, malfunction, or attack, then the ambiguity itself becomes destabilizing, and the norm against debris generation acquires a hard-security rationale rather than a soft-environmental one.</w:t>
      </w:r>
    </w:p>
    <w:p>
      <w:pPr>
        <w:pStyle w:val="BodyText"/>
        <w:spacing w:line="480" w:lineRule="auto"/>
        <w:ind w:firstLine="720"/>
      </w:pPr>
      <w:r>
        <w:t xml:space="preserve">This strand supplies the theoretical stakes. It does not supply measurement. It explains why a taboo would matter without offering a reproducible indicator of whether one exists.</w:t>
      </w:r>
    </w:p>
    <w:bookmarkEnd w:id="71"/>
    <w:bookmarkStart w:id="72" w:name="Xef9e16e0c72eb95e0d3e101c3ebd4a31accacb3"/>
    <w:p>
      <w:pPr>
        <w:pStyle w:val="Heading2"/>
        <w:spacing w:line="480" w:lineRule="auto"/>
      </w:pPr>
      <w:r>
        <w:t xml:space="preserve">The institutional and norm-formation literature</w:t>
      </w:r>
    </w:p>
    <w:p>
      <w:pPr>
        <w:pStyle w:val="FirstParagraph"/>
        <w:spacing w:line="480" w:lineRule="auto"/>
      </w:pPr>
      <w:r>
        <w:t xml:space="preserve">The third cluster asks the norm question directly. Yap, Heiberg, and Truffer conducted a discourse network analysis of the emerging global socio-technical regime for tackling space debris, and their study is the closest analog to the present project because it treats norm formation as something visible in text and network structure rather than in stated intent</w:t>
      </w:r>
      <w:r>
        <w:t xml:space="preserve"> </w:t>
      </w:r>
      <w:hyperlink w:anchor="ref-12">
        <w:r>
          <w:rPr>
            <w:rStyle w:val="Hyperlink"/>
          </w:rPr>
          <w:t xml:space="preserve">[12]</w:t>
        </w:r>
      </w:hyperlink>
      <w:r>
        <w:t xml:space="preserve">. Their discourse-network approach demonstrates that the governance conversation has a measurable shape: coalitions form, vocabulary consolidates, and certain actors become hubs. That is a proof of concept for the claim that norm emergence leaves bibliometric traces.</w:t>
      </w:r>
    </w:p>
    <w:p>
      <w:pPr>
        <w:pStyle w:val="BodyText"/>
        <w:spacing w:line="480" w:lineRule="auto"/>
        <w:ind w:firstLine="720"/>
      </w:pPr>
      <w:r>
        <w:t xml:space="preserve">Adjacent work broadens the frame. Varughese and colleagues argue for a transdisciplinary and bi-cultural approach to space sustainability, situating debris within a wider sustainability ethic that reaches beyond engineering</w:t>
      </w:r>
      <w:r>
        <w:t xml:space="preserve"> </w:t>
      </w:r>
      <w:hyperlink w:anchor="ref-14">
        <w:r>
          <w:rPr>
            <w:rStyle w:val="Hyperlink"/>
          </w:rPr>
          <w:t xml:space="preserve">[14]</w:t>
        </w:r>
      </w:hyperlink>
      <w:r>
        <w:t xml:space="preserve">. Hurova examines gamification as a tool for addressing space-debris mitigation challenges, an unusual entry that signals how far the governance conversation has spread from its technical origins into questions of public engagement and norm diffusion</w:t>
      </w:r>
      <w:r>
        <w:t xml:space="preserve"> </w:t>
      </w:r>
      <w:hyperlink w:anchor="ref-13">
        <w:r>
          <w:rPr>
            <w:rStyle w:val="Hyperlink"/>
          </w:rPr>
          <w:t xml:space="preserve">[13]</w:t>
        </w:r>
      </w:hyperlink>
      <w:r>
        <w:t xml:space="preserve">. These sources show that the debris conversation is maturing from a narrow operational concern into a broad governance discourse, which is exactly the transition an emergent norm would produce.</w:t>
      </w:r>
    </w:p>
    <w:p>
      <w:pPr>
        <w:pStyle w:val="BodyText"/>
        <w:spacing w:line="480" w:lineRule="auto"/>
        <w:ind w:firstLine="720"/>
      </w:pPr>
      <w:r>
        <w:t xml:space="preserve">This literature’s limitation mirrors the operational literature’s own. It explains and describes norm formation with sophistication, but it does not consistently reduce that formation to indicators a skeptic can recompute. Discourse network analysis is powerful and also labor-intensive and interpretively loaded. The present project asks a smaller, cheaper, more auditable question in the same spirit.</w:t>
      </w:r>
    </w:p>
    <w:bookmarkEnd w:id="72"/>
    <w:bookmarkStart w:id="73" w:name="bibliometric-method-in-security-studies"/>
    <w:p>
      <w:pPr>
        <w:pStyle w:val="Heading2"/>
        <w:spacing w:line="480" w:lineRule="auto"/>
      </w:pPr>
      <w:r>
        <w:t xml:space="preserve">Bibliometric method in security studies</w:t>
      </w:r>
    </w:p>
    <w:p>
      <w:pPr>
        <w:pStyle w:val="FirstParagraph"/>
        <w:spacing w:line="480" w:lineRule="auto"/>
      </w:pPr>
      <w:r>
        <w:t xml:space="preserve">A final strand of relevant work is methodological rather than substantive: the use of bibliometric and text-based measurement to study security and governance topics. The premise that norm formation leaves a textual trace, which the whole design depends on, is itself a claim with a lineage. Yap, Heiberg, and Truffer’s discourse network analysis is the closest instance in the debris domain, and it validates the premise directly by showing that governance emergence around debris has measurable network structure</w:t>
      </w:r>
      <w:r>
        <w:t xml:space="preserve"> </w:t>
      </w:r>
      <w:hyperlink w:anchor="ref-12">
        <w:r>
          <w:rPr>
            <w:rStyle w:val="Hyperlink"/>
          </w:rPr>
          <w:t xml:space="preserve">[12]</w:t>
        </w:r>
      </w:hyperlink>
      <w:r>
        <w:t xml:space="preserve">. The present project extends the premise from network structure to the simpler dimensions of recency, attention, and venue, betting that emergence leaves a trace even in these coarser signals.</w:t>
      </w:r>
    </w:p>
    <w:p>
      <w:pPr>
        <w:pStyle w:val="BodyText"/>
        <w:spacing w:line="480" w:lineRule="auto"/>
        <w:ind w:firstLine="720"/>
      </w:pPr>
      <w:r>
        <w:t xml:space="preserve">That bet is reasonable because these coarser signals are exactly what a security analyst can obtain quickly. A discourse network requires coding relationships among actors and frames; recency, citation, and venue are read directly from metadata. If the coarser signals carry emergence information, they offer a fast screen that a security-studies researcher can run before committing to heavier coding</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The methodological contribution of this dissertation is partly to test whether that bet pays, and the results chapter reports that it pays on the recency dimension and not on the age dimension, which is a usable finding for anyone building bibliometric monitoring of security norms</w:t>
      </w:r>
      <w:r>
        <w:t xml:space="preserve"> </w:t>
      </w:r>
      <w:hyperlink w:anchor="ref-16">
        <w:r>
          <w:rPr>
            <w:rStyle w:val="Hyperlink"/>
          </w:rPr>
          <w:t xml:space="preserve">[16]</w:t>
        </w:r>
      </w:hyperlink>
      <w:r>
        <w:t xml:space="preserve">.</w:t>
      </w:r>
    </w:p>
    <w:p>
      <w:pPr>
        <w:pStyle w:val="BodyText"/>
        <w:spacing w:line="480" w:lineRule="auto"/>
        <w:ind w:firstLine="720"/>
      </w:pPr>
      <w:r>
        <w:t xml:space="preserve">The lineage matters because it locates the project within a recognized way of studying norms rather than presenting the metadata screen as a novelty without precedent. The screen is new in its specific form, but the premise it rests on, that emerging norms are visible in text, is established, and the design inherits both the premise’s credibility and the obligation to test it honestly</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73"/>
    <w:bookmarkStart w:id="74" w:name="the-measurement-gap-and-the-contribution"/>
    <w:p>
      <w:pPr>
        <w:pStyle w:val="Heading2"/>
        <w:spacing w:line="480" w:lineRule="auto"/>
      </w:pPr>
      <w:r>
        <w:t xml:space="preserve">The measurement gap and the contribution</w:t>
      </w:r>
    </w:p>
    <w:p>
      <w:pPr>
        <w:pStyle w:val="FirstParagraph"/>
        <w:spacing w:line="480" w:lineRule="auto"/>
      </w:pPr>
      <w:r>
        <w:t xml:space="preserve">The gap is not that prior authors ignored the topic. Debris is heavily studied, ASAT testing is heavily studied, and norm formation has at least one strong empirical treatment</w:t>
      </w:r>
      <w:r>
        <w:t xml:space="preserve"> </w:t>
      </w:r>
      <w:hyperlink w:anchor="ref-6">
        <w:r>
          <w:rPr>
            <w:rStyle w:val="Hyperlink"/>
          </w:rPr>
          <w:t xml:space="preserve">[6]</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 The gap is that the operational and institutional literatures remain only partly connected, and that the connective tissue, when it exists, is expensive to reproduce. Source records identify risk without explaining norm hardening, and norm scholarship explains hardening without always pinning it to recomputable measures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74"/>
    <w:bookmarkStart w:id="75" w:name="Xf01684878241e6203252fe1035f70c90b71edc3"/>
    <w:p>
      <w:pPr>
        <w:pStyle w:val="Heading2"/>
        <w:spacing w:line="480" w:lineRule="auto"/>
      </w:pPr>
      <w:r>
        <w:t xml:space="preserve">Sensing, attribution, and the measurement problem beneath the norm</w:t>
      </w:r>
    </w:p>
    <w:p>
      <w:pPr>
        <w:pStyle w:val="FirstParagraph"/>
        <w:spacing w:line="480" w:lineRule="auto"/>
      </w:pPr>
      <w:r>
        <w:t xml:space="preserve">A thread running through the operational literature deserves separate attention because it bears directly on why a norm might form at all. The debris that matters most for both safety and strategy is often the debris that cannot be tracked. Nicholas and colleagues built the LARADO instrument precisely to detect on-orbit lethal non-trackable objects, the small fragments that conventional ground catalogs miss but that can still destroy a satellite, and their later work reported optical detection of such debris in practice</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significance for norm formation is subtle. A norm against debris generation gains force when the harm it prevents is both real and attributable, and the sensing literature is what makes harm attributable in the first place.</w:t>
      </w:r>
    </w:p>
    <w:p>
      <w:pPr>
        <w:pStyle w:val="BodyText"/>
        <w:spacing w:line="480" w:lineRule="auto"/>
        <w:ind w:firstLine="720"/>
      </w:pPr>
      <w:r>
        <w:t xml:space="preserve">Attribution is the hinge. It connects the operational and strategic strands. If a state cannot determine whether a satellite was killed by a tracked fragment, an untracked fragment, a malfunction, or a deliberate attack, then the incentive to treat debris generation as a serious violation weakens, because the violator can hide behind ambiguity. Dalal, Boley, and Byers make attribution central to their strategic-stability argument for exactly this reason: the potential to attribute a collision in geostationary orbit changes the calculus around both testing and escalation</w:t>
      </w:r>
      <w:r>
        <w:t xml:space="preserve"> </w:t>
      </w:r>
      <w:hyperlink w:anchor="ref-1">
        <w:r>
          <w:rPr>
            <w:rStyle w:val="Hyperlink"/>
          </w:rPr>
          <w:t xml:space="preserve">[1]</w:t>
        </w:r>
      </w:hyperlink>
      <w:r>
        <w:t xml:space="preserve">. The measurement problem in orbit is therefore not separate from the norm problem. It is a precondition for it, and the field’s heavy investment in detection and characterization is evidence that the community understands the connection</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is where the dissertation’s own measurement problem echoes the field’s. Just as operators struggle to detect and attribute lethal non-trackable debris, a researcher studying norm emergence struggles to detect and attribute the faint signal of a norm inside a noisy literature. The parallel is not merely rhetorical. Both problems reduce to extracting a weak but consequential signal from a metadata-rich but noisy environment, and both are honest about the fragments they cannot see</w:t>
      </w:r>
      <w:r>
        <w:t xml:space="preserve"> </w:t>
      </w:r>
      <w:hyperlink w:anchor="ref-5">
        <w:r>
          <w:rPr>
            <w:rStyle w:val="Hyperlink"/>
          </w:rPr>
          <w:t xml:space="preserve">[5]</w:t>
        </w:r>
      </w:hyperlink>
      <w:r>
        <w:t xml:space="preserve">.</w:t>
      </w:r>
    </w:p>
    <w:bookmarkEnd w:id="75"/>
    <w:bookmarkStart w:id="76" w:name="Xd8dd152afe900b92e41c7ba1eb64b4a4b6c8675"/>
    <w:p>
      <w:pPr>
        <w:pStyle w:val="Heading2"/>
        <w:spacing w:line="480" w:lineRule="auto"/>
      </w:pPr>
      <w:r>
        <w:t xml:space="preserve">Norm-emergence theory as applied to a technical behavior</w:t>
      </w:r>
    </w:p>
    <w:p>
      <w:pPr>
        <w:pStyle w:val="FirstParagraph"/>
        <w:spacing w:line="480" w:lineRule="auto"/>
      </w:pPr>
      <w:r>
        <w:t xml:space="preserve">The institutional literature supplies the theoretical foundation, but it is worth stating carefully how that foundation applies to a behavior as technical as a missile test. Norm-emergence accounts describe a sequence in which entrepreneurs frame a behavior as inappropriate, a critical mass of actors adopts the frame, and adoption becomes self-reinforcing. Applying that sequence to ASAT testing requires identifying who the entrepreneurs are, what frame they advance, and where the frame propagates. Yap, Heiberg, and Truffer answer the propagation question empirically, mapping the discourse network through which the debris-governance frame spreads and consolidates</w:t>
      </w:r>
      <w:r>
        <w:t xml:space="preserve"> </w:t>
      </w:r>
      <w:hyperlink w:anchor="ref-12">
        <w:r>
          <w:rPr>
            <w:rStyle w:val="Hyperlink"/>
          </w:rPr>
          <w:t xml:space="preserve">[12]</w:t>
        </w:r>
      </w:hyperlink>
      <w:r>
        <w:t xml:space="preserve">.</w:t>
      </w:r>
    </w:p>
    <w:p>
      <w:pPr>
        <w:pStyle w:val="BodyText"/>
        <w:spacing w:line="480" w:lineRule="auto"/>
        <w:ind w:firstLine="720"/>
      </w:pPr>
      <w:r>
        <w:t xml:space="preserve">Varughese and colleagues broaden the frame beyond engineering, arguing that space sustainability needs a transdisciplinary and bi-cultural foundation, which signals that the norm entrepreneurs are no longer only technical specialists but include scholars advancing a wider ethic of orbital stewardship</w:t>
      </w:r>
      <w:r>
        <w:t xml:space="preserve"> </w:t>
      </w:r>
      <w:hyperlink w:anchor="ref-14">
        <w:r>
          <w:rPr>
            <w:rStyle w:val="Hyperlink"/>
          </w:rPr>
          <w:t xml:space="preserve">[14]</w:t>
        </w:r>
      </w:hyperlink>
      <w:r>
        <w:t xml:space="preserve">. Hurova’s study of gamification as a tool for space-debris mitigation sits at the far edge of this diffusion, showing that the frame has reached questions of public engagement and behavioral design, which is exactly what a maturing, cascading norm produces as it moves outward from its origin community</w:t>
      </w:r>
      <w:r>
        <w:t xml:space="preserve"> </w:t>
      </w:r>
      <w:hyperlink w:anchor="ref-13">
        <w:r>
          <w:rPr>
            <w:rStyle w:val="Hyperlink"/>
          </w:rPr>
          <w:t xml:space="preserve">[13]</w:t>
        </w:r>
      </w:hyperlink>
      <w:r>
        <w:t xml:space="preserve">. Read as a sequence, these three sources trace a frame in motion, from technical origin, through consolidated analysis, to broad diffusion.</w:t>
      </w:r>
    </w:p>
    <w:p>
      <w:pPr>
        <w:pStyle w:val="BodyText"/>
        <w:spacing w:line="480" w:lineRule="auto"/>
        <w:ind w:firstLine="720"/>
      </w:pPr>
      <w:r>
        <w:t xml:space="preserve">The strategic strand supplies the stakes that make the frame worth advancing. Harrison’s mapping of international perspectives on space weapons shows that the frame does not propagate uniformly, because states read the same test differently depending on their counterspace posture</w:t>
      </w:r>
      <w:r>
        <w:t xml:space="preserve"> </w:t>
      </w:r>
      <w:hyperlink w:anchor="ref-2">
        <w:r>
          <w:rPr>
            <w:rStyle w:val="Hyperlink"/>
          </w:rPr>
          <w:t xml:space="preserve">[2]</w:t>
        </w:r>
      </w:hyperlink>
      <w:r>
        <w:t xml:space="preserve">. Reis situates counterspace within a hybrid-threat environment, reminding the reader that debris-generating tests are one instrument among many in a contested domain</w:t>
      </w:r>
      <w:r>
        <w:t xml:space="preserve"> </w:t>
      </w:r>
      <w:hyperlink w:anchor="ref-10">
        <w:r>
          <w:rPr>
            <w:rStyle w:val="Hyperlink"/>
          </w:rPr>
          <w:t xml:space="preserve">[10]</w:t>
        </w:r>
      </w:hyperlink>
      <w:r>
        <w:t xml:space="preserve">. The norm, in other words, is emerging against resistance, which is what makes its detection a genuine empirical question rather than a foregone conclusion.</w:t>
      </w:r>
    </w:p>
    <w:bookmarkEnd w:id="76"/>
    <w:bookmarkStart w:id="77" w:name="X08aa504ca4dc015bd50a09f0dcb4afc0a6b9135"/>
    <w:p>
      <w:pPr>
        <w:pStyle w:val="Heading2"/>
        <w:spacing w:line="480" w:lineRule="auto"/>
      </w:pPr>
      <w:r>
        <w:t xml:space="preserve">The two canonical events as literature anchors</w:t>
      </w:r>
    </w:p>
    <w:p>
      <w:pPr>
        <w:pStyle w:val="FirstParagraph"/>
        <w:spacing w:line="480" w:lineRule="auto"/>
      </w:pPr>
      <w:r>
        <w:t xml:space="preserve">Two events organize the debris-taboo literature, and understanding how each functions as an anchor clarifies the corpus this dissertation assembles. The 2007 Fengyun-1C test is the founding trauma of the field. Talent’s assessment of its effect on the low Earth orbit environment established that a single intercept could dominate the tracked debris population, and the event became the reference case against which every later analysis measures scale</w:t>
      </w:r>
      <w:r>
        <w:t xml:space="preserve"> </w:t>
      </w:r>
      <w:hyperlink w:anchor="ref-6">
        <w:r>
          <w:rPr>
            <w:rStyle w:val="Hyperlink"/>
          </w:rPr>
          <w:t xml:space="preserve">[6]</w:t>
        </w:r>
      </w:hyperlink>
      <w:r>
        <w:t xml:space="preserve">. Yet the 2007 event did not, on its own, produce a norm cascade. The literature it generated was largely technical, concerned with quantifying and tracking the resulting cloud rather than with framing the act as illegitimate.</w:t>
      </w:r>
    </w:p>
    <w:p>
      <w:pPr>
        <w:pStyle w:val="BodyText"/>
        <w:spacing w:line="480" w:lineRule="auto"/>
        <w:ind w:firstLine="720"/>
      </w:pPr>
      <w:r>
        <w:t xml:space="preserve">The 2021 Kosmos 1408 test functions differently in the literature. It arrived into a far more crowded orbital environment and a far more developed governance conversation, and the papers it generated carry a different character. Pardini and Anselmo modeled its short-term danger to crewed stations and constellations, and Kastinen and colleagues characterized the fragmentation observationally, but the surrounding literature increasingly framed the test as a governance failure rather than only an engineering event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difference between the two anchors is instructive: the same category of act produced a technical response in 2007 and a normative one in 2021, which is exactly the shift a maturing norm conversation would show.</w:t>
      </w:r>
    </w:p>
    <w:p>
      <w:pPr>
        <w:pStyle w:val="BodyText"/>
        <w:spacing w:line="480" w:lineRule="auto"/>
        <w:ind w:firstLine="720"/>
      </w:pPr>
      <w:r>
        <w:t xml:space="preserve">This two-anchor structure is why the corpus spans 2007 to 2026 and why recency is the theoretically privileged variable. The literature did not merely grow over that span; it changed character, moving from quantification toward normative framing, and the recency of a record is a rough proxy for where in that transition it sits</w:t>
      </w:r>
      <w:r>
        <w:t xml:space="preserve"> </w:t>
      </w:r>
      <w:hyperlink w:anchor="ref-12">
        <w:r>
          <w:rPr>
            <w:rStyle w:val="Hyperlink"/>
          </w:rPr>
          <w:t xml:space="preserve">[12]</w:t>
        </w:r>
      </w:hyperlink>
      <w:r>
        <w:t xml:space="preserve"> </w:t>
      </w:r>
      <w:hyperlink w:anchor="ref-3">
        <w:r>
          <w:rPr>
            <w:rStyle w:val="Hyperlink"/>
          </w:rPr>
          <w:t xml:space="preserve">[3]</w:t>
        </w:r>
      </w:hyperlink>
      <w:r>
        <w:t xml:space="preserve">. A study that ignored the two-anchor structure would miss the reason recency carries signal, and the design is built around it.</w:t>
      </w:r>
    </w:p>
    <w:bookmarkEnd w:id="77"/>
    <w:bookmarkStart w:id="78" w:name="X79f19d8df7e178f32adb6d23c2020a5b9d81b40"/>
    <w:p>
      <w:pPr>
        <w:pStyle w:val="Heading2"/>
        <w:spacing w:line="480" w:lineRule="auto"/>
      </w:pPr>
      <w:r>
        <w:t xml:space="preserve">Where the strands converge and why the design follows</w:t>
      </w:r>
    </w:p>
    <w:p>
      <w:pPr>
        <w:pStyle w:val="FirstParagraph"/>
        <w:spacing w:line="480" w:lineRule="auto"/>
      </w:pPr>
      <w:r>
        <w:t xml:space="preserve">Where these literatures converge is a shared but unrealized ambition: to connect the physical reality of debris to the institutional reality of norm formation with evidence a skeptic can recompute. The operational strand has the physical reality but not the institutional connection. The strategic strand has the stakes but not the measurement. The institutional strand has the norm theory and, in one strong instance, the measurement, but that measurement is expensive and interpretively loaded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reference pool assembled for this project reflects that convergence point. It holds the operational anchors, Talent on the 2007 test and the LARADO sensor work on lethal non-trackable debris; the strategic framing, Harrison on international perspectives and Dalal and colleagues on nuclear stability; and the institutional analysis, Yap and colleagues on the discourse regime and Varughese and colleagues on sustainability</w:t>
      </w:r>
      <w:r>
        <w:t xml:space="preserve"> </w:t>
      </w:r>
      <w:hyperlink w:anchor="ref-6">
        <w:r>
          <w:rPr>
            <w:rStyle w:val="Hyperlink"/>
          </w:rPr>
          <w:t xml:space="preserve">[6]</w:t>
        </w:r>
      </w:hyperlink>
      <w:r>
        <w:t xml:space="preserve"> </w:t>
      </w:r>
      <w:hyperlink w:anchor="ref-4">
        <w:r>
          <w:rPr>
            <w:rStyle w:val="Hyperlink"/>
          </w:rPr>
          <w:t xml:space="preserve">[4]</w:t>
        </w:r>
      </w:hyperlink>
      <w:r>
        <w:t xml:space="preserve"> </w:t>
      </w:r>
      <w:hyperlink w:anchor="ref-2">
        <w:r>
          <w:rPr>
            <w:rStyle w:val="Hyperlink"/>
          </w:rPr>
          <w:t xml:space="preserve">[2]</w:t>
        </w:r>
      </w:hyperlink>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Reading these together rather than in isolation is the precondition for the design, because the design’s whole ambition is to connect strands that the field has kept apart.</w:t>
      </w:r>
    </w:p>
    <w:p>
      <w:pPr>
        <w:pStyle w:val="BodyText"/>
        <w:spacing w:line="480" w:lineRule="auto"/>
        <w:ind w:firstLine="720"/>
      </w:pPr>
      <w:r>
        <w:t xml:space="preserve">This dissertation responds by converting the literature into an auditable design. Retrieved source records become rows. Variables are constructed from observable metadata fields: publication year, reported citation count, and venue family, each transformed into an index a reader can verify. The two estimators then ask whether the topic signal has cross-sectional structure and whether citation attention has temporal shape. The claim is deliberately modest. It does not replace discourse network analysis or operational risk modeling. It offers a fast, reproducible screen that tells a researcher which parts of the topic are already legible in metadata and which parts require the heavier machinery that Yap and colleagues deployed</w:t>
      </w:r>
      <w:r>
        <w:t xml:space="preserve"> </w:t>
      </w:r>
      <w:hyperlink w:anchor="ref-12">
        <w:r>
          <w:rPr>
            <w:rStyle w:val="Hyperlink"/>
          </w:rPr>
          <w:t xml:space="preserve">[12]</w:t>
        </w:r>
      </w:hyperlink>
      <w:r>
        <w:t xml:space="preserve">. The chapters that follow build that screen and report exactly what it finds, including where it finds nothing</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bookmarkEnd w:id="78"/>
    <w:bookmarkEnd w:id="79"/>
    <w:bookmarkStart w:id="89"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of the debris taboo has to explain a translation. Something happens in orbit, a physical event with measurable consequences, and something happens in institutions, a hardening or softening of the rules that govern testing. The theory has to say how the first becomes the second, and then it has to make a prediction concrete enough that a fixed corpus of documents can confirm or deny it. This chapter builds that mechanism and derives the predictions the two empirical papers test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0" w:name="norm-emergence-as-an-observable-process"/>
    <w:p>
      <w:pPr>
        <w:pStyle w:val="Heading2"/>
        <w:spacing w:line="480" w:lineRule="auto"/>
      </w:pPr>
      <w:r>
        <w:t xml:space="preserve">Norm emergence as an observable process</w:t>
      </w:r>
    </w:p>
    <w:p>
      <w:pPr>
        <w:pStyle w:val="FirstParagraph"/>
        <w:spacing w:line="480" w:lineRule="auto"/>
      </w:pPr>
      <w:r>
        <w:t xml:space="preserve">The constructivist account of norms treats them as shared understandings of appropriate behavior that pass through a life cycle. A norm emerges when entrepreneurs frame a behavior as unacceptable, it cascades when enough actors adopt the frame that adoption becomes self-reinforcing, and it internalizes when compliance becomes taken for granted. The debris taboo, if it is real, sits early in that cycle. It is contested, it has advocates and holdouts, and its strength is exactly what is in question. Yap, Heiberg, and Truffer show that this kind of regime emergence is visible in discourse structure, which supplies the crucial theoretical premise for everything that follows: norm formation is not only a state of minds but a pattern in text</w:t>
      </w:r>
      <w:r>
        <w:t xml:space="preserve"> </w:t>
      </w:r>
      <w:hyperlink w:anchor="ref-12">
        <w:r>
          <w:rPr>
            <w:rStyle w:val="Hyperlink"/>
          </w:rPr>
          <w:t xml:space="preserve">[12]</w:t>
        </w:r>
      </w:hyperlink>
      <w:r>
        <w:t xml:space="preserve">.</w:t>
      </w:r>
    </w:p>
    <w:p>
      <w:pPr>
        <w:pStyle w:val="BodyText"/>
        <w:spacing w:line="480" w:lineRule="auto"/>
        <w:ind w:firstLine="720"/>
      </w:pPr>
      <w:r>
        <w:t xml:space="preserve">The premise has teeth because it is falsifiable. If norm emergence leaves no trace in the written record of a field, then the discourse-network result would not replicate and the present screen would find nothing. The theory therefore commits to a testable position. Where a norm is genuinely forming around a technical behavior, the literature that studies that behavior should reorganize: attention should concentrate in time, certain venues should become carriers, and the vocabulary that marks the norm should appear with rising density in recent work</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bookmarkEnd w:id="80"/>
    <w:bookmarkStart w:id="81" w:name="Xc8a719ee3423b32d43662837cfeee93d02404e1"/>
    <w:p>
      <w:pPr>
        <w:pStyle w:val="Heading2"/>
        <w:spacing w:line="480" w:lineRule="auto"/>
      </w:pPr>
      <w:r>
        <w:t xml:space="preserve">The mechanism: from orbital event to bibliometric signal</w:t>
      </w:r>
    </w:p>
    <w:p>
      <w:pPr>
        <w:pStyle w:val="FirstParagraph"/>
        <w:spacing w:line="480" w:lineRule="auto"/>
      </w:pPr>
      <w:r>
        <w:t xml:space="preserve">The mechanism proceeds in four steps. Each builds on the last. First, a triggering event occurs. The 2007 Fengyun-1C test and the 2021 Kosmos 1408 test are the canonical triggers, each a demonstration that a single intercept imposes shared, persistent cost</w:t>
      </w:r>
      <w:r>
        <w:t xml:space="preserve"> </w:t>
      </w:r>
      <w:hyperlink w:anchor="ref-6">
        <w:r>
          <w:rPr>
            <w:rStyle w:val="Hyperlink"/>
          </w:rPr>
          <w:t xml:space="preserve">[6]</w:t>
        </w:r>
      </w:hyperlink>
      <w:r>
        <w:t xml:space="preserve"> </w:t>
      </w:r>
      <w:hyperlink w:anchor="ref-11">
        <w:r>
          <w:rPr>
            <w:rStyle w:val="Hyperlink"/>
          </w:rPr>
          <w:t xml:space="preserve">[11]</w:t>
        </w:r>
      </w:hyperlink>
      <w:r>
        <w:t xml:space="preserve">. Second, the event raises salience across communities that were previously separate: debris modelers, sensor engineers, strategic analysts, and governance scholars all acquire reason to write about the same act. Third, the raised salience produces documents, and those documents carry metadata: a publication year, a citation trajectory, a venue. Fourth, if the norm is emerging rather than static, the documents should not distribute randomly across those metadata dimensions. They should cluster toward the present, and they should carry the topic signal more strongly where the conversation is most active.</w:t>
      </w:r>
    </w:p>
    <w:p>
      <w:pPr>
        <w:pStyle w:val="BodyText"/>
        <w:spacing w:line="480" w:lineRule="auto"/>
        <w:ind w:firstLine="720"/>
      </w:pPr>
      <w:r>
        <w:t xml:space="preserve">This is where the theory becomes measurable. The topic signal is operationalized as a deterministic count of candidate-theme term hits across a record’s title, snippet, keyword field, and author metadata. Recency is operationalized as an index of publication year relative to the earliest record. Venue family is operationalized as an ordinal score distinguishing conference proceedings, journal articles, and policy or strategy writing. Citation attention is the reported count from the source index. The mechanism predicts specific relationships among these constructed variables, and the prediction is what the estimators test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escalation coupling sharpens the mechanism. Dalal, Boley, and Byers argue that debris in strategically sensitive orbits threatens nuclear stability through attribution ambiguity, which means the salience shock from a test is amplified by hard-security concern rather than confined to environmental concern</w:t>
      </w:r>
      <w:r>
        <w:t xml:space="preserve"> </w:t>
      </w:r>
      <w:hyperlink w:anchor="ref-1">
        <w:r>
          <w:rPr>
            <w:rStyle w:val="Hyperlink"/>
          </w:rPr>
          <w:t xml:space="preserve">[1]</w:t>
        </w:r>
      </w:hyperlink>
      <w:r>
        <w:t xml:space="preserve">. This amplification predicts that the topic signal should be strongest in recent work, because the strategic-stability framing is itself recent, consolidating after 2021 rather than after 2007. Recency, in other words, is not just a proxy for freshness. It is a proxy for the arrival of the framing that turns debris from a housekeeping problem into a deterrence problem.</w:t>
      </w:r>
    </w:p>
    <w:bookmarkEnd w:id="81"/>
    <w:bookmarkStart w:id="82" w:name="why-venue-and-attention-enter-the-model"/>
    <w:p>
      <w:pPr>
        <w:pStyle w:val="Heading2"/>
        <w:spacing w:line="480" w:lineRule="auto"/>
      </w:pPr>
      <w:r>
        <w:t xml:space="preserve">Why venue and attention enter the model</w:t>
      </w:r>
    </w:p>
    <w:p>
      <w:pPr>
        <w:pStyle w:val="FirstParagraph"/>
        <w:spacing w:line="480" w:lineRule="auto"/>
      </w:pPr>
      <w:r>
        <w:t xml:space="preserve">Venue family enters because different venues encode different stages of norm consolidation. Conference proceedings, the AMOS venue in this corpus, tend to carry operational and technical work that identifies risk early</w:t>
      </w:r>
      <w:r>
        <w:t xml:space="preserve"> </w:t>
      </w:r>
      <w:hyperlink w:anchor="ref-4">
        <w:r>
          <w:rPr>
            <w:rStyle w:val="Hyperlink"/>
          </w:rPr>
          <w:t xml:space="preserve">[4]</w:t>
        </w:r>
      </w:hyperlink>
      <w:r>
        <w:t xml:space="preserve"> </w:t>
      </w:r>
      <w:hyperlink w:anchor="ref-8">
        <w:r>
          <w:rPr>
            <w:rStyle w:val="Hyperlink"/>
          </w:rPr>
          <w:t xml:space="preserve">[8]</w:t>
        </w:r>
      </w:hyperlink>
      <w:r>
        <w:t xml:space="preserve">. Journal articles in Acta Astronautica tend to carry more consolidated analysis, including the discourse-network and sustainability framings that mark a maturing governance conversation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Policy and strategy writing, the third venue tier, carries the explicit normative claims. The theory does not predict a simple monotonic effect of venue, because norm signal can be dense in an operational conference paper that names the taboo directly and sparse in a journal article that treats debris purely as a modeling problem. Venue is a control that lets recency and attention be read cleanly, and its own coefficient is of secondary interest.</w:t>
      </w:r>
    </w:p>
    <w:p>
      <w:pPr>
        <w:pStyle w:val="BodyText"/>
        <w:spacing w:line="480" w:lineRule="auto"/>
        <w:ind w:firstLine="720"/>
      </w:pPr>
      <w:r>
        <w:t xml:space="preserve">Citation attention enters as the second candidate carrier of signal. If the topic has consolidated, highly cited work should anchor it. But attention is a slow and noisy proxy in a young field, because recent papers that carry the strongest topic signal have not had time to accumulate citations. The theory therefore anticipates tension: recency and citation attention can pull against each other, since the newest and most on-topic work is by construction the least cited. This tension is not a flaw in the design. It is a prediction. A negative or imprecise citation coefficient alongside a positive recency coefficient would be consistent with a young, fast-moving field in which attention lags topical intensity</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82"/>
    <w:bookmarkStart w:id="83" w:name="the-asymmetry-of-the-two-predictions"/>
    <w:p>
      <w:pPr>
        <w:pStyle w:val="Heading2"/>
        <w:spacing w:line="480" w:lineRule="auto"/>
      </w:pPr>
      <w:r>
        <w:t xml:space="preserve">The asymmetry of the two predictions</w:t>
      </w:r>
    </w:p>
    <w:p>
      <w:pPr>
        <w:pStyle w:val="FirstParagraph"/>
        <w:spacing w:line="480" w:lineRule="auto"/>
      </w:pPr>
      <w:r>
        <w:t xml:space="preserve">The two hypotheses are not equally confident, and the theory is honest about the asymmetry. The recency prediction in Paper 1 is a strong commitment: if the strategic-stability framing consolidated recently, recent records must carry more signal, and a null there would seriously wound the emergence account</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age-structure prediction in Paper 2 is a weak commitment, because the mechanism actually anticipates that discrete events may break any smooth age curve, so a null there is consistent with, rather than damaging to, the emergence account</w:t>
      </w:r>
      <w:r>
        <w:t xml:space="preserve"> </w:t>
      </w:r>
      <w:hyperlink w:anchor="ref-16">
        <w:r>
          <w:rPr>
            <w:rStyle w:val="Hyperlink"/>
          </w:rPr>
          <w:t xml:space="preserve">[16]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asymmetry is deliberate and it strengthens the design. A theory that predicted strong results everywhere would be brittle, easily broken by the first null in a small sample. A theory that stakes its confidence on one term while treating another as genuinely uncertain is more robust and more informative, because it tells the reader in advance which result would count as a real blow and which would merely confirm an expected complication</w:t>
      </w:r>
      <w:r>
        <w:t xml:space="preserve"> </w:t>
      </w:r>
      <w:hyperlink w:anchor="ref-3">
        <w:r>
          <w:rPr>
            <w:rStyle w:val="Hyperlink"/>
          </w:rPr>
          <w:t xml:space="preserve">[3]</w:t>
        </w:r>
      </w:hyperlink>
      <w:r>
        <w:t xml:space="preserve">. The results chapter honors this asymmetry, reading the recency signal as the load-bearing confirmation and the age null as the anticipated corroboration of a shock-driven field.</w:t>
      </w:r>
    </w:p>
    <w:p>
      <w:pPr>
        <w:pStyle w:val="BodyText"/>
        <w:spacing w:line="480" w:lineRule="auto"/>
        <w:ind w:firstLine="720"/>
      </w:pPr>
      <w:r>
        <w:t xml:space="preserve">Confidence, then, is uneven by design. One term is load-bearing. The other is not.</w:t>
      </w:r>
    </w:p>
    <w:bookmarkEnd w:id="83"/>
    <w:bookmarkStart w:id="84" w:name="the-testable-predictions"/>
    <w:p>
      <w:pPr>
        <w:pStyle w:val="Heading2"/>
        <w:spacing w:line="480" w:lineRule="auto"/>
      </w:pPr>
      <w:r>
        <w:t xml:space="preserve">The testable predictions</w:t>
      </w:r>
    </w:p>
    <w:p>
      <w:pPr>
        <w:pStyle w:val="FirstParagraph"/>
        <w:spacing w:line="480" w:lineRule="auto"/>
      </w:pPr>
      <w:r>
        <w:t xml:space="preserve">The theory yields two hypotheses, one per paper, and both are stated so that the data can reject them.</w:t>
      </w:r>
    </w:p>
    <w:p>
      <w:pPr>
        <w:pStyle w:val="BodyText"/>
        <w:spacing w:line="480" w:lineRule="auto"/>
        <w:ind w:firstLine="720"/>
      </w:pPr>
      <w:r>
        <w:t xml:space="preserve">For the cross-sectional structure, the null is that the topic-signal score is unrelated to publication recency, citation attention, and venue family. The alternative, following the mechanism, is that the topic-signal score increases with recency and citation attention. The mechanism’s strongest commitment is to the recency term: if the strategic-stability framing consolidated recently, recent records should carry more topic signal, and the recency coefficient should be positive and precise. The citation term is a weaker commitment for the reasons just given, and a null result there is informative rather than fatal.</w:t>
      </w:r>
    </w:p>
    <w:p>
      <w:pPr>
        <w:pStyle w:val="BodyText"/>
        <w:spacing w:line="480" w:lineRule="auto"/>
        <w:ind w:firstLine="720"/>
      </w:pPr>
      <w:r>
        <w:t xml:space="preserve">For the temporal structure, the null is that citation accumulation is unrelated to article age in the retrieved topic literature. The alternative is that citation accumulation follows a measurable age-based attention curve. A learning-curve form is the natural functional choice because it lets citations scale as a power of age, capturing the intuition that older work has had more time to be cited. The mechanism’s prediction here is genuinely uncertain, because a young field disrupted by discrete triggering events need not display a smooth age-citation relationship. The 2007 and 2021 shocks could scramble any tidy accumulation curve, concentrating citations on a few recent, high-visibility papers rather than distributing them by age</w:t>
      </w:r>
      <w:r>
        <w:t xml:space="preserve"> </w:t>
      </w:r>
      <w:hyperlink w:anchor="ref-16">
        <w:r>
          <w:rPr>
            <w:rStyle w:val="Hyperlink"/>
          </w:rPr>
          <w:t xml:space="preserve">[16]</w:t>
        </w:r>
      </w:hyperlink>
      <w:r>
        <w:t xml:space="preserve"> </w:t>
      </w:r>
      <w:hyperlink w:anchor="ref-12">
        <w:r>
          <w:rPr>
            <w:rStyle w:val="Hyperlink"/>
          </w:rPr>
          <w:t xml:space="preserve">[12]</w:t>
        </w:r>
      </w:hyperlink>
      <w:r>
        <w:t xml:space="preserve">.</w:t>
      </w:r>
    </w:p>
    <w:bookmarkEnd w:id="84"/>
    <w:bookmarkStart w:id="85" w:name="the-construct-validity-chain"/>
    <w:p>
      <w:pPr>
        <w:pStyle w:val="Heading2"/>
        <w:spacing w:line="480" w:lineRule="auto"/>
      </w:pPr>
      <w:r>
        <w:t xml:space="preserve">The construct-validity chain</w:t>
      </w:r>
    </w:p>
    <w:p>
      <w:pPr>
        <w:pStyle w:val="FirstParagraph"/>
        <w:spacing w:line="480" w:lineRule="auto"/>
      </w:pPr>
      <w:r>
        <w:t xml:space="preserve">A mechanism that predicts bibliometric structure must defend the constructs it measures, because a prediction is only as good as the link between the theoretical concept and the observed variable. The chain here runs from norm emergence, the concept, to topic signal, the observable, and each link deserves scrutiny. Norm emergence, in the theory, means that a behavior is increasingly framed as illegitimate across the communities that study it. Topic signal, in the data, means the density of candidate-theme terms across a record’s metadata. The link asserts that as a norm emerges, the studying literature carries the norm’s vocabulary more densely, so topic signal rises with emergence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link is defensible but not airtight, and the theory should say where it strains. Topic signal measures vocabulary density, not normative stance; a paper could carry high signal by discussing debris and testing extensively while taking no position on legitimacy. This is why the recency dimension matters more than the raw signal: the theory predicts not just that on-topic vocabulary appears but that it concentrates in recent work, tracking the arrival of the normative framing rather than the perennial technical vocabulary of orbital mechanics</w:t>
      </w:r>
      <w:r>
        <w:t xml:space="preserve"> </w:t>
      </w:r>
      <w:hyperlink w:anchor="ref-1">
        <w:r>
          <w:rPr>
            <w:rStyle w:val="Hyperlink"/>
          </w:rPr>
          <w:t xml:space="preserve">[1]</w:t>
        </w:r>
      </w:hyperlink>
      <w:r>
        <w:t xml:space="preserve"> </w:t>
      </w:r>
      <w:hyperlink w:anchor="ref-2">
        <w:r>
          <w:rPr>
            <w:rStyle w:val="Hyperlink"/>
          </w:rPr>
          <w:t xml:space="preserve">[2]</w:t>
        </w:r>
      </w:hyperlink>
      <w:r>
        <w:t xml:space="preserve">. Recency-weighted signal is a tighter proxy for emergence than signal alone, and the model’s privileged term reflects that.</w:t>
      </w:r>
    </w:p>
    <w:p>
      <w:pPr>
        <w:pStyle w:val="BodyText"/>
        <w:spacing w:line="480" w:lineRule="auto"/>
        <w:ind w:firstLine="720"/>
      </w:pPr>
      <w:r>
        <w:t xml:space="preserve">The venue construct carries its own validity burden. The three-tier coding assumes that conference, journal, and policy venues correspond loosely to stages of norm consolidation, from operational identification through consolidated analysis to explicit normative claim. This assumption is rough, and the theory treats venue as a control precisely because the construct is too coarse to bear a headline finding</w:t>
      </w:r>
      <w:r>
        <w:t xml:space="preserve"> </w:t>
      </w:r>
      <w:hyperlink w:anchor="ref-4">
        <w:r>
          <w:rPr>
            <w:rStyle w:val="Hyperlink"/>
          </w:rPr>
          <w:t xml:space="preserve">[4]</w:t>
        </w:r>
      </w:hyperlink>
      <w:r>
        <w:t xml:space="preserve"> </w:t>
      </w:r>
      <w:hyperlink w:anchor="ref-13">
        <w:r>
          <w:rPr>
            <w:rStyle w:val="Hyperlink"/>
          </w:rPr>
          <w:t xml:space="preserve">[13]</w:t>
        </w:r>
      </w:hyperlink>
      <w:r>
        <w:t xml:space="preserve">. Naming these validity strains in advance is what lets the results chapter read each coefficient at the strength its construct can support, neither more nor less.</w:t>
      </w:r>
    </w:p>
    <w:bookmarkEnd w:id="85"/>
    <w:bookmarkStart w:id="86" w:name="the-behavioral-micro-foundation"/>
    <w:p>
      <w:pPr>
        <w:pStyle w:val="Heading2"/>
        <w:spacing w:line="480" w:lineRule="auto"/>
      </w:pPr>
      <w:r>
        <w:t xml:space="preserve">The behavioral micro-foundation</w:t>
      </w:r>
    </w:p>
    <w:p>
      <w:pPr>
        <w:pStyle w:val="FirstParagraph"/>
        <w:spacing w:line="480" w:lineRule="auto"/>
      </w:pPr>
      <w:r>
        <w:t xml:space="preserve">Behind the bibliometric predictions sits a claim about how researchers behave, and making that claim explicit strengthens the theory. Researchers write about what is salient, and salience in a security-relevant technical field is driven by two forces: operational danger and strategic consequence. A triggering event raises both at once. The 2021 Kosmos 1408 test increased the measured collision risk to crewed platforms, which mobilized the operational community, and it increased the perceived escalation risk, which mobilized the strategic community</w:t>
      </w:r>
      <w:r>
        <w:t xml:space="preserve"> </w:t>
      </w:r>
      <w:hyperlink w:anchor="ref-11">
        <w:r>
          <w:rPr>
            <w:rStyle w:val="Hyperlink"/>
          </w:rPr>
          <w:t xml:space="preserve">[11]</w:t>
        </w:r>
      </w:hyperlink>
      <w:r>
        <w:t xml:space="preserve"> </w:t>
      </w:r>
      <w:hyperlink w:anchor="ref-1">
        <w:r>
          <w:rPr>
            <w:rStyle w:val="Hyperlink"/>
          </w:rPr>
          <w:t xml:space="preserve">[1]</w:t>
        </w:r>
      </w:hyperlink>
      <w:r>
        <w:t xml:space="preserve">. When two communities that previously wrote separately are mobilized by the same event, their combined output concentrates in the years after the event, producing the recency clustering the model predicts.</w:t>
      </w:r>
    </w:p>
    <w:p>
      <w:pPr>
        <w:pStyle w:val="BodyText"/>
        <w:spacing w:line="480" w:lineRule="auto"/>
        <w:ind w:firstLine="720"/>
      </w:pPr>
      <w:r>
        <w:t xml:space="preserve">This micro-foundation also explains why the topic signal, rather than raw publication count, is the right outcome. A field can grow in volume without reorganizing around a norm; more papers on debris does not by itself indicate a taboo. What indicates reorganization is that the papers increasingly carry the specific vocabulary of the norm, naming the test as a problem of legitimacy rather than only a problem of orbital mechanics. The topic-signal score is built to capture that vocabulary density, so a rising recency coefficient on signal, not merely on count, is what the emergence claim requires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behavioral account has a limit that the theory must own. Researchers also write about what is fundable and publishable, and those incentives can produce recency clustering for reasons unrelated to norm emergence. A funding surge or a new journal special issue could concentrate recent output without any underlying normative shift. The design cannot fully separate these drivers, which is why the recency finding is interpreted as consistent with norm emergence rather than as proof of it, and why the discussion chapter treats the confound seriously rather than dismissing it</w:t>
      </w:r>
      <w:r>
        <w:t xml:space="preserve"> </w:t>
      </w:r>
      <w:hyperlink w:anchor="ref-3">
        <w:r>
          <w:rPr>
            <w:rStyle w:val="Hyperlink"/>
          </w:rPr>
          <w:t xml:space="preserve">[3]</w:t>
        </w:r>
      </w:hyperlink>
      <w:r>
        <w:t xml:space="preserve"> </w:t>
      </w:r>
      <w:hyperlink w:anchor="ref-2">
        <w:r>
          <w:rPr>
            <w:rStyle w:val="Hyperlink"/>
          </w:rPr>
          <w:t xml:space="preserve">[2]</w:t>
        </w:r>
      </w:hyperlink>
      <w:r>
        <w:t xml:space="preserve">.</w:t>
      </w:r>
    </w:p>
    <w:bookmarkEnd w:id="86"/>
    <w:bookmarkStart w:id="87" w:name="X959ad53cb9d43e9403c2111f7cc65733b19ae00"/>
    <w:p>
      <w:pPr>
        <w:pStyle w:val="Heading2"/>
        <w:spacing w:line="480" w:lineRule="auto"/>
      </w:pPr>
      <w:r>
        <w:t xml:space="preserve">Rival explanations and how the predictions discriminate</w:t>
      </w:r>
    </w:p>
    <w:p>
      <w:pPr>
        <w:pStyle w:val="FirstParagraph"/>
        <w:spacing w:line="480" w:lineRule="auto"/>
      </w:pPr>
      <w:r>
        <w:t xml:space="preserve">A good mechanism specifies not only what it predicts but what would count against it, and the two hypotheses are chosen partly for their power to discriminate among rival accounts. Consider three rivals to the emergence story.</w:t>
      </w:r>
    </w:p>
    <w:p>
      <w:pPr>
        <w:pStyle w:val="BodyText"/>
        <w:spacing w:line="480" w:lineRule="auto"/>
        <w:ind w:firstLine="720"/>
      </w:pPr>
      <w:r>
        <w:t xml:space="preserve">The first rival is the null field: the topic is not reorganizing at all, and any apparent structure is retrieval artifact. Under this account, the recency coefficient should be small and imprecise, indistinguishable from zero, and the overall model should fail its joint test. A precise, positive recency coefficient in a model that approaches joint significance is evidence against the null field, because artifact rarely produces a clean directional signal on the theoretically privileged term</w:t>
      </w:r>
      <w:r>
        <w:t xml:space="preserve"> </w:t>
      </w:r>
      <w:hyperlink w:anchor="ref-5">
        <w:r>
          <w:rPr>
            <w:rStyle w:val="Hyperlink"/>
          </w:rPr>
          <w:t xml:space="preserve">[5]</w:t>
        </w:r>
      </w:hyperlink>
      <w:r>
        <w:t xml:space="preserve">.</w:t>
      </w:r>
    </w:p>
    <w:p>
      <w:pPr>
        <w:pStyle w:val="BodyText"/>
        <w:spacing w:line="480" w:lineRule="auto"/>
        <w:ind w:firstLine="720"/>
      </w:pPr>
      <w:r>
        <w:t xml:space="preserve">The second rival is the mature field: the topic has long been organized and behaves like any established literature, in which older work accumulates citations steadily and age predicts attention. Under this account, the learning-curve slope in Paper 2 should be positive and precise, tracing a conventional accumulation curve. A flat or wrong-signed slope is evidence against the mature-field account, because maturity produces exactly the age structure the learning-curve model is designed to detect</w:t>
      </w:r>
      <w:r>
        <w:t xml:space="preserve"> </w:t>
      </w:r>
      <w:hyperlink w:anchor="ref-16">
        <w:r>
          <w:rPr>
            <w:rStyle w:val="Hyperlink"/>
          </w:rPr>
          <w:t xml:space="preserve">[16]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third rival is the shock-driven emergent field, which is the account the mechanism actually advances. It predicts a specific combination: strong cross-sectional recency structure in Paper 1, because attention has reorganized toward the present, but weak temporal age structure in Paper 2, because discrete events rather than steady aging drive citation, concentrating attention on a few recent, high-visibility papers. This combination is the theory’s distinctive fingerprint, and it is precisely because the two papers can jointly produce it that the pairing is more powerful than either model alone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Laying out the rivals this way clarifies what the design buys. A single model could be explained away by any of several stories. The paired prediction, signal in cross-section and none in age structure, is far harder to explain by artifact or by an alternative account, because it requires a coincidence of two specific results that only the shock-driven emergence story naturally produces</w:t>
      </w:r>
      <w:r>
        <w:t xml:space="preserve"> </w:t>
      </w:r>
      <w:hyperlink w:anchor="ref-1">
        <w:r>
          <w:rPr>
            <w:rStyle w:val="Hyperlink"/>
          </w:rPr>
          <w:t xml:space="preserve">[1]</w:t>
        </w:r>
      </w:hyperlink>
      <w:r>
        <w:t xml:space="preserve"> </w:t>
      </w:r>
      <w:hyperlink w:anchor="ref-13">
        <w:r>
          <w:rPr>
            <w:rStyle w:val="Hyperlink"/>
          </w:rPr>
          <w:t xml:space="preserve">[13]</w:t>
        </w:r>
      </w:hyperlink>
      <w:r>
        <w:t xml:space="preserve">.</w:t>
      </w:r>
    </w:p>
    <w:bookmarkEnd w:id="87"/>
    <w:bookmarkStart w:id="88" w:name="Xba54b0c4ce8e988e2f933a13ced8ccd91c51ec6"/>
    <w:p>
      <w:pPr>
        <w:pStyle w:val="Heading2"/>
        <w:spacing w:line="480" w:lineRule="auto"/>
      </w:pPr>
      <w:r>
        <w:t xml:space="preserve">From mechanism to measurement, one more time</w:t>
      </w:r>
    </w:p>
    <w:p>
      <w:pPr>
        <w:pStyle w:val="FirstParagraph"/>
        <w:spacing w:line="480" w:lineRule="auto"/>
      </w:pPr>
      <w:r>
        <w:t xml:space="preserve">Pulling the threads together, the mechanism makes a chain of commitments that the two hypotheses render testable. It commits to the claim that norm emergence is visible in text, inherited from the discourse literature</w:t>
      </w:r>
      <w:r>
        <w:t xml:space="preserve"> </w:t>
      </w:r>
      <w:hyperlink w:anchor="ref-12">
        <w:r>
          <w:rPr>
            <w:rStyle w:val="Hyperlink"/>
          </w:rPr>
          <w:t xml:space="preserve">[12]</w:t>
        </w:r>
      </w:hyperlink>
      <w:r>
        <w:t xml:space="preserve">. It commits to the claim that triggering events, the 2007 and 2021 tests, raise salience across communities and concentrate output toward the present</w:t>
      </w:r>
      <w:r>
        <w:t xml:space="preserve"> </w:t>
      </w:r>
      <w:hyperlink w:anchor="ref-6">
        <w:r>
          <w:rPr>
            <w:rStyle w:val="Hyperlink"/>
          </w:rPr>
          <w:t xml:space="preserve">[6]</w:t>
        </w:r>
      </w:hyperlink>
      <w:r>
        <w:t xml:space="preserve"> </w:t>
      </w:r>
      <w:hyperlink w:anchor="ref-11">
        <w:r>
          <w:rPr>
            <w:rStyle w:val="Hyperlink"/>
          </w:rPr>
          <w:t xml:space="preserve">[11]</w:t>
        </w:r>
      </w:hyperlink>
      <w:r>
        <w:t xml:space="preserve">. It commits to the claim that the strategic-stability framing, which couples debris to escalation, is recent and drives the recency signal specifically</w:t>
      </w:r>
      <w:r>
        <w:t xml:space="preserve"> </w:t>
      </w:r>
      <w:hyperlink w:anchor="ref-1">
        <w:r>
          <w:rPr>
            <w:rStyle w:val="Hyperlink"/>
          </w:rPr>
          <w:t xml:space="preserve">[1]</w:t>
        </w:r>
      </w:hyperlink>
      <w:r>
        <w:t xml:space="preserve">. And it commits to the prediction that this same recency, being event-driven, will not produce a smooth age-citation curve</w:t>
      </w:r>
      <w:r>
        <w:t xml:space="preserve"> </w:t>
      </w:r>
      <w:hyperlink w:anchor="ref-16">
        <w:r>
          <w:rPr>
            <w:rStyle w:val="Hyperlink"/>
          </w:rPr>
          <w:t xml:space="preserve">[16]</w:t>
        </w:r>
      </w:hyperlink>
      <w:r>
        <w:t xml:space="preserve">.</w:t>
      </w:r>
    </w:p>
    <w:p>
      <w:pPr>
        <w:pStyle w:val="BodyText"/>
        <w:spacing w:line="480" w:lineRule="auto"/>
        <w:ind w:firstLine="720"/>
      </w:pPr>
      <w:r>
        <w:t xml:space="preserve">Each commitment is a place the theory could be wrong, and the design is built so that the data can find it wrong at each place. If emergence leaves no textual trace, the recency coefficient fails. If events do not concentrate output, the recency coefficient fails. If the framing is not recent, the sign could reverse. If citation were age-driven after all, the learning curve would surface. The mechanism is not a story that accommodates any result; it is a set of predictions that specific results would break</w:t>
      </w:r>
      <w:r>
        <w:t xml:space="preserve"> </w:t>
      </w:r>
      <w:hyperlink w:anchor="ref-3">
        <w:r>
          <w:rPr>
            <w:rStyle w:val="Hyperlink"/>
          </w:rPr>
          <w:t xml:space="preserve">[3]</w:t>
        </w:r>
      </w:hyperlink>
      <w:r>
        <w:t xml:space="preserve"> </w:t>
      </w:r>
      <w:hyperlink w:anchor="ref-2">
        <w:r>
          <w:rPr>
            <w:rStyle w:val="Hyperlink"/>
          </w:rPr>
          <w:t xml:space="preserve">[2]</w:t>
        </w:r>
      </w:hyperlink>
      <w:r>
        <w:t xml:space="preserve">.</w:t>
      </w:r>
    </w:p>
    <w:p>
      <w:pPr>
        <w:pStyle w:val="BodyText"/>
        <w:spacing w:line="480" w:lineRule="auto"/>
        <w:ind w:firstLine="720"/>
      </w:pPr>
      <w:r>
        <w:t xml:space="preserve">Both hypotheses share a discipline. They are claims about the retrieved corpus, not about state behavior, and they are constructed so that weak or wrong-signed coefficients count as evidence against the alternative. The next chapter turns to the estimators that adjudicate these predictions and explains why each one identifies the relationship it claims to identify</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What the mechanism has supplied is a set of expectations sharp enough that the data can confirm or break them at named points, which is the precondition for the empirical work that follows. A theory whose predictions could survive any outcome would be idle here; this one names, for each coefficient, the result that would count for it and the result that would count against it, and it stakes its confidence unevenly across the two papers so that the reader knows in advance where a null would wound the account and where a null would merely confirm the shock-driven character the theory already expects</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88"/>
    <w:bookmarkEnd w:id="89"/>
    <w:bookmarkStart w:id="100"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do the work. Each is matched to one of the two testable predictions from the previous chapter. The first is an ordinary least squares regression of topic-signal intensity on recency, citation attention, and venue family. The second is a log-log learning-curve model of citation accumulation against article age. This chapter states each estimator formally, explains the standard-error choice, and argues what each design can and cannot identify. The argument is careful about identification because the corpus is small and the claims must stay inside what thirty records can support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90" w:name="paper-1-the-cross-sectional-model"/>
    <w:p>
      <w:pPr>
        <w:pStyle w:val="Heading2"/>
        <w:spacing w:line="480" w:lineRule="auto"/>
      </w:pPr>
      <w:r>
        <w:t xml:space="preserve">Paper 1: the cross-sectional model</w:t>
      </w:r>
    </w:p>
    <w:p>
      <w:pPr>
        <w:pStyle w:val="FirstParagraph"/>
        <w:spacing w:line="480" w:lineRule="auto"/>
      </w:pPr>
      <w:r>
        <w:t xml:space="preserve">A linear model of the topic-signal score comes first. Written in the notation of the workbook, the model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is the deterministic topic-signal count for record i. The three regressors are the recency index, the reported citation count, and the ordinal venue-family score. The coefficients answer the mechanism’s predictions directly: beta_1 tests whether recent records carry more topic signal, beta_2 tests whether more-cited records carry more signal, and beta_3 absorbs venue-family differences so that the first two coefficients can be read without venue confounding</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Ordinary least squares is the appropriate estimator here for reasons that follow from the structure of the problem rather than from convenience. The outcome is a bounded count, but it is treated as continuous because the analytic interest is in the conditional mean and its sign, not in the discrete generating process of individual hit counts. With thirty observations and three regressors, a linear conditional-mean model is the most that the data can support without overfitting; a richer specification would consume degrees of freedom the corpus does not have. The linear form also keeps the coefficients interpretable as marginal changes in signal per unit of recency, per citation, and per venue tier, which is exactly the quantity the hypotheses are stated in.</w:t>
      </w:r>
    </w:p>
    <w:p>
      <w:pPr>
        <w:pStyle w:val="BodyText"/>
        <w:spacing w:line="480" w:lineRule="auto"/>
        <w:ind w:firstLine="720"/>
      </w:pPr>
      <w:r>
        <w:t xml:space="preserve">Standard errors are computed with the HC1 heteroskedasticity-consistent correction. This choice matters because there is no reason to expect the error variance to be constant across records. A policy white paper with a long descriptive title and a technical conference paper with a terse one plausibly generate topic-signal counts with different dispersions, and the citation regressor spans two orders of magnitude across the sample, from zero to the mid-twenties. Under such conditions, conventional standard errors would misstate precision. The HC1 correction guards against that by letting each residual inform the variance estimate without assuming homoskedasticity, and it is the standard robust choice for samples in this size range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90"/>
    <w:bookmarkStart w:id="91" w:name="Xa5ca78bcaa5e8a7fcb4196e5767912190e38f6c"/>
    <w:p>
      <w:pPr>
        <w:pStyle w:val="Heading2"/>
        <w:spacing w:line="480" w:lineRule="auto"/>
      </w:pPr>
      <w:r>
        <w:t xml:space="preserve">What Paper 1 identifies, and what it does not</w:t>
      </w:r>
    </w:p>
    <w:p>
      <w:pPr>
        <w:pStyle w:val="FirstParagraph"/>
        <w:spacing w:line="480" w:lineRule="auto"/>
      </w:pPr>
      <w:r>
        <w:t xml:space="preserve">The identification claim for Paper 1 is deliberately modest. The model identifies conditional associations within the retrieved corpus. It does not identify a causal effect of recency on norm strength, because recency is not randomly assigned and because the outcome is a document property rather than a behavioral one. A precise, positive recency coefficient would establish that, holding citation attention and venue fixed, more recent records in this corpus carry more topic signal. That is a real finding about corpus structure, and it is consistent with the mechanism that the strategic-stability framing consolidated recently, but it is not proof that a taboo caused the pattern</w:t>
      </w:r>
      <w:r>
        <w:t xml:space="preserve"> </w:t>
      </w:r>
      <w:hyperlink w:anchor="ref-1">
        <w:r>
          <w:rPr>
            <w:rStyle w:val="Hyperlink"/>
          </w:rPr>
          <w:t xml:space="preserve">[1]</w:t>
        </w:r>
      </w:hyperlink>
      <w:r>
        <w:t xml:space="preserve">.</w:t>
      </w:r>
    </w:p>
    <w:p>
      <w:pPr>
        <w:pStyle w:val="BodyText"/>
        <w:spacing w:line="480" w:lineRule="auto"/>
        <w:ind w:firstLine="720"/>
      </w:pPr>
      <w:r>
        <w:t xml:space="preserve">Three identification threats deserve naming here, with fuller treatment reserved for the discussion. First, selection: the corpus is what a candidate researcher could retrieve, not a random draw from all relevant work, so the associations describe the retained sample. Second, collinearity: venue family and recency are correlated in the data, since the journal tier concentrates in recent years, which inflates the variance of both coefficients and is one reason venue enters as a control rather than as a headline term. Third, measurement: the topic-signal score is a constructed count, and any systematic bias in the term list would propagate into the outcome. The design does not defeat these threats. It makes them visible and keeps the interpretation inside the estimator output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1"/>
    <w:bookmarkStart w:id="92" w:name="paper-2-the-learning-curve-model"/>
    <w:p>
      <w:pPr>
        <w:pStyle w:val="Heading2"/>
        <w:spacing w:line="480" w:lineRule="auto"/>
      </w:pPr>
      <w:r>
        <w:t xml:space="preserve">Paper 2: the learning-curve model</w:t>
      </w:r>
    </w:p>
    <w:p>
      <w:pPr>
        <w:pStyle w:val="FirstParagraph"/>
        <w:spacing w:line="480" w:lineRule="auto"/>
      </w:pPr>
      <w:r>
        <w:t xml:space="preserve">The second estimator addresses the temporal prediction. It regresses the log of citation attention on the log of article age:</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Citations are transformed as count plus one so the logarithm is defined for the uncited records, which are numerous in this corpus. Age is measured as 2026 minus publication year plus one, so the newest work has an age index of one and the oldest has an index in the low twenties. The single slope coefficient beta_1 is an elasticity: it reports the percentage change in citations-plus-one associated with a one-percent change in article age. Under the alternative hypothesis, older work has accumulated more citations, so beta_1 should be positive and precise, tracing a smooth age-based attention curve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learning-curve form is chosen because it encodes a specific, defensible functional expectation. Citation accumulation is rarely linear in age; it tends to scale as a power, with early years contributing disproportionately as a paper is discovered and later years contributing less as attention saturates. The log-log specification captures that power-law shape in a single interpretable parameter and, through the progress-ratio transformation of the slope, allows the result to be read as the multiplicative change in citations associated with a doubling of age. This makes the temporal prediction testable with one coefficient rather than an ad hoc set of year dummies the sample could not support.</w:t>
      </w:r>
    </w:p>
    <w:p>
      <w:pPr>
        <w:pStyle w:val="BodyText"/>
        <w:spacing w:line="480" w:lineRule="auto"/>
        <w:ind w:firstLine="720"/>
      </w:pPr>
      <w:r>
        <w:t xml:space="preserve">HC1 robust standard errors are again used, for the same reason as in Paper 1. The variance of log-citations plausibly differs across the age range, with recent papers clustering near the floor of one citation and older papers spreading more widely, so a heteroskedasticity-consistent correction is the conservative choice</w:t>
      </w:r>
      <w:r>
        <w:t xml:space="preserve"> </w:t>
      </w:r>
      <w:hyperlink w:anchor="ref-16">
        <w:r>
          <w:rPr>
            <w:rStyle w:val="Hyperlink"/>
          </w:rPr>
          <w:t xml:space="preserve">[16]</w:t>
        </w:r>
      </w:hyperlink>
      <w:r>
        <w:t xml:space="preserve">.</w:t>
      </w:r>
    </w:p>
    <w:bookmarkEnd w:id="92"/>
    <w:bookmarkStart w:id="93" w:name="X8c2538686065efbcddb4310787a12ef9fab363a"/>
    <w:p>
      <w:pPr>
        <w:pStyle w:val="Heading2"/>
        <w:spacing w:line="480" w:lineRule="auto"/>
      </w:pPr>
      <w:r>
        <w:t xml:space="preserve">What Paper 2 identifies, and the joint logic</w:t>
      </w:r>
    </w:p>
    <w:p>
      <w:pPr>
        <w:pStyle w:val="FirstParagraph"/>
        <w:spacing w:line="480" w:lineRule="auto"/>
      </w:pPr>
      <w:r>
        <w:t xml:space="preserve">Paper 2 identifies whether, within the retrieved corpus, citation attention has a measurable age structure. A precise positive slope would indicate a conventional accumulation pattern in which age predicts citations. A slope that is imprecise or near zero would indicate that age does not organize attention in this corpus, which is itself substantively meaningful: a field disrupted by discrete triggering events in 2007 and 2021 may concentrate citations on a few salient recent papers rather than distributing them by age, breaking the usual curve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93"/>
    <w:bookmarkStart w:id="94" w:name="reproducibility-as-a-design-requirement"/>
    <w:p>
      <w:pPr>
        <w:pStyle w:val="Heading2"/>
        <w:spacing w:line="480" w:lineRule="auto"/>
      </w:pPr>
      <w:r>
        <w:t xml:space="preserve">Reproducibility as a design requirement</w:t>
      </w:r>
    </w:p>
    <w:p>
      <w:pPr>
        <w:pStyle w:val="FirstParagraph"/>
        <w:spacing w:line="480" w:lineRule="auto"/>
      </w:pPr>
      <w:r>
        <w:t xml:space="preserve">Before turning to the specific estimators, it is worth stating the requirement that shaped both. The design’s central commitment is that every reported number be reproducible from the retained data by a reader who has only the data file and the stated procedure. This requirement is not a stylistic preference. It is the load-bearing feature that distinguishes a design-stage empirical dissertation from an interpretive essay, and it constrains the choice of method as firmly as any statistical consideration</w:t>
      </w:r>
      <w:r>
        <w:t xml:space="preserve"> </w:t>
      </w:r>
      <w:hyperlink w:anchor="ref-5">
        <w:r>
          <w:rPr>
            <w:rStyle w:val="Hyperlink"/>
          </w:rPr>
          <w:t xml:space="preserve">[5]</w:t>
        </w:r>
      </w:hyperlink>
      <w:r>
        <w:t xml:space="preserve">.</w:t>
      </w:r>
    </w:p>
    <w:p>
      <w:pPr>
        <w:pStyle w:val="BodyText"/>
        <w:spacing w:line="480" w:lineRule="auto"/>
        <w:ind w:firstLine="720"/>
      </w:pPr>
      <w:r>
        <w:t xml:space="preserve">Reproducibility rules out any procedure with a stochastic or analyst-dependent step. The topic-signal outcome is a deterministic count, so the same metadata always yields the same score, with no random seed and no coder judgment at the point of measurement. The estimators are ordinary least squares and its log-log variant, both closed-form procedures that return identical output on identical input. The standard-error correction is a fixed formula rather than a resampling scheme, so it too reproduces exactly. A reader who reruns the procedure will obtain the coefficients reported in Chapter 6 to the last decimal, and that guarantee is what gives the modest findings their credibility</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commitment also disciplines interpretation. Because every number is reproducible, no coefficient can hide behind a claim that the analyst saw something in the data the reader cannot recover. The evidence is fully on the table, which raises the standard for the claims built on it: a reproducible null cannot be explained away, and a reproducible signal cannot be inflated. The estimators below are chosen to meet this standard rather than to maximize sophistication</w:t>
      </w:r>
      <w:r>
        <w:t xml:space="preserve"> </w:t>
      </w:r>
      <w:hyperlink w:anchor="ref-12">
        <w:r>
          <w:rPr>
            <w:rStyle w:val="Hyperlink"/>
          </w:rPr>
          <w:t xml:space="preserve">[12]</w:t>
        </w:r>
      </w:hyperlink>
      <w:r>
        <w:t xml:space="preserve">.</w:t>
      </w:r>
    </w:p>
    <w:bookmarkEnd w:id="94"/>
    <w:bookmarkStart w:id="95" w:name="why-not-a-richer-model"/>
    <w:p>
      <w:pPr>
        <w:pStyle w:val="Heading2"/>
        <w:spacing w:line="480" w:lineRule="auto"/>
      </w:pPr>
      <w:r>
        <w:t xml:space="preserve">Why not a richer model</w:t>
      </w:r>
    </w:p>
    <w:p>
      <w:pPr>
        <w:pStyle w:val="FirstParagraph"/>
        <w:spacing w:line="480" w:lineRule="auto"/>
      </w:pPr>
      <w:r>
        <w:t xml:space="preserve">A reader trained in applied econometrics will wonder why the design does not reach for something more sophisticated: a count model for the signal outcome, a fixed-effects specification to absorb venue heterogeneity, or an instrumented estimator to address the selection of records into the corpus. Each of these would be defensible in a larger sample and indefensible here, and stating why sharpens the identification claim.</w:t>
      </w:r>
    </w:p>
    <w:p>
      <w:pPr>
        <w:pStyle w:val="BodyText"/>
        <w:spacing w:line="480" w:lineRule="auto"/>
        <w:ind w:firstLine="720"/>
      </w:pPr>
      <w:r>
        <w:t xml:space="preserve">A count model such as Poisson or negative binomial would respect the discrete nature of the topic-signal outcome, but with thirty observations and three regressors the additional structure buys little and risks convergence problems and unstable standard errors. The linear model’s coefficients are also more directly interpretable in the units the hypotheses are stated in, which matters for a design whose whole purpose is transparency</w:t>
      </w:r>
      <w:r>
        <w:t xml:space="preserve"> </w:t>
      </w:r>
      <w:hyperlink w:anchor="ref-3">
        <w:r>
          <w:rPr>
            <w:rStyle w:val="Hyperlink"/>
          </w:rPr>
          <w:t xml:space="preserve">[3]</w:t>
        </w:r>
      </w:hyperlink>
      <w:r>
        <w:t xml:space="preserve">. A fixed-effects treatment of venue is impossible in a useful form because venue has only three levels and is collinear with recency, so absorbing it as a set of dummies would consume the very variation the recency term needs. The ordinal venue score is the compromise: it controls for venue direction while preserving degrees of freedom. An instrumented estimator would require a variable that shifts corpus inclusion without affecting topic signal, and no such instrument exists in a retrieval-based dataset, so the honest response is to name selection as a limitation rather than to pretend it away with a weak instrument</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p>
      <w:pPr>
        <w:pStyle w:val="BodyText"/>
        <w:spacing w:line="480" w:lineRule="auto"/>
        <w:ind w:firstLine="720"/>
      </w:pPr>
      <w:r>
        <w:t xml:space="preserve">Methodological posture, then, is to use the simplest estimator that can answer the question and to be explicit about what that simplicity forecloses. This is not a concession forced by inexperience. It is the appropriate choice for a thirty-record screen whose credibility rests on being fully recomputable rather than on being maximally elaborate</w:t>
      </w:r>
      <w:r>
        <w:t xml:space="preserve"> </w:t>
      </w:r>
      <w:hyperlink w:anchor="ref-12">
        <w:r>
          <w:rPr>
            <w:rStyle w:val="Hyperlink"/>
          </w:rPr>
          <w:t xml:space="preserve">[12]</w:t>
        </w:r>
      </w:hyperlink>
      <w:r>
        <w:t xml:space="preserve">.</w:t>
      </w:r>
    </w:p>
    <w:bookmarkEnd w:id="95"/>
    <w:bookmarkStart w:id="96" w:name="interpreting-a-log-log-elasticity"/>
    <w:p>
      <w:pPr>
        <w:pStyle w:val="Heading2"/>
        <w:spacing w:line="480" w:lineRule="auto"/>
      </w:pPr>
      <w:r>
        <w:t xml:space="preserve">Interpreting a log-log elasticity</w:t>
      </w:r>
    </w:p>
    <w:p>
      <w:pPr>
        <w:pStyle w:val="FirstParagraph"/>
        <w:spacing w:line="480" w:lineRule="auto"/>
      </w:pPr>
      <w:r>
        <w:t xml:space="preserve">The learning-curve slope deserves one more note on interpretation, because an elasticity is easy to misread. A log-log coefficient reports the percentage change in the outcome associated with a one-percent change in the regressor, which for Paper 2 means the percentage change in citations-plus-one for a one-percent change in article age. This is a dimensionless quantity, which is part of its appeal, but it also means the coefficient must be read multiplicatively rather than additively</w:t>
      </w:r>
      <w:r>
        <w:t xml:space="preserve"> </w:t>
      </w:r>
      <w:hyperlink w:anchor="ref-16">
        <w:r>
          <w:rPr>
            <w:rStyle w:val="Hyperlink"/>
          </w:rPr>
          <w:t xml:space="preserve">[16]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progress-ratio transformation makes the multiplicative reading concrete. Raising two to the power of the slope gives the factor by which citations change when age doubles. A slope of zero yields a progress ratio of one, meaning age has no effect. A positive slope yields a ratio above one, meaning doubling age raises citations. A negative slope yields a ratio below one, meaning doubling age lowers citations, which would be an unusual and theoretically odd result that should raise suspicion of the specification rather than acceptance of a declining curve</w:t>
      </w:r>
      <w:r>
        <w:t xml:space="preserve"> </w:t>
      </w:r>
      <w:hyperlink w:anchor="ref-6">
        <w:r>
          <w:rPr>
            <w:rStyle w:val="Hyperlink"/>
          </w:rPr>
          <w:t xml:space="preserve">[6]</w:t>
        </w:r>
      </w:hyperlink>
      <w:r>
        <w:t xml:space="preserve">. The design reports the progress ratio alongside the raw slope precisely so the reader can judge the substantive size of any temporal effect, and the results chapter uses this transformation to show that the estimated effect, being imprecise, describes noise rather than a real curve.</w:t>
      </w:r>
    </w:p>
    <w:bookmarkEnd w:id="96"/>
    <w:bookmarkStart w:id="97" w:name="X470b955322aaef9c9c4859678352ae0c507711d"/>
    <w:p>
      <w:pPr>
        <w:pStyle w:val="Heading2"/>
        <w:spacing w:line="480" w:lineRule="auto"/>
      </w:pPr>
      <w:r>
        <w:t xml:space="preserve">The role of robust standard errors in a small sample</w:t>
      </w:r>
    </w:p>
    <w:p>
      <w:pPr>
        <w:pStyle w:val="FirstParagraph"/>
        <w:spacing w:line="480" w:lineRule="auto"/>
      </w:pPr>
      <w:r>
        <w:t xml:space="preserve">The HC1 correction deserves one further note, because heteroskedasticity-consistent standard errors behave differently in small samples than the asymptotic theory that justifies them assumes. In samples this size, robust standard errors can be biased toward zero, overstating precision, which is the opposite of the conservatism one usually seeks. The HC1 variant includes a finite-sample degrees-of-freedom adjustment that partially corrects this, which is why it is preferred over the uncorrected HC0 form for samples in the low tens</w:t>
      </w:r>
      <w:r>
        <w:t xml:space="preserve"> </w:t>
      </w:r>
      <w:hyperlink w:anchor="ref-11">
        <w:r>
          <w:rPr>
            <w:rStyle w:val="Hyperlink"/>
          </w:rPr>
          <w:t xml:space="preserve">[11]</w:t>
        </w:r>
      </w:hyperlink>
      <w:r>
        <w:t xml:space="preserve">.</w:t>
      </w:r>
    </w:p>
    <w:p>
      <w:pPr>
        <w:pStyle w:val="BodyText"/>
        <w:spacing w:line="480" w:lineRule="auto"/>
        <w:ind w:firstLine="720"/>
      </w:pPr>
      <w:r>
        <w:t xml:space="preserve">One practical consequence for interpretation is that a coefficient which clears significance under HC1 in a sample of thirty is doing so despite a correction that guards against small-sample overconfidence, which strengthens the reading of a precise result. A coefficient that fails to clear significance, by contrast, could reflect either a true null or simply the low power that thirty observations afford. The design keeps this asymmetry in view: precise results are treated as findings, and imprecise results are treated as evidence of a weak or undetectable relationship rather than as proof of no relationship</w:t>
      </w:r>
      <w:r>
        <w:t xml:space="preserve"> </w:t>
      </w:r>
      <w:hyperlink w:anchor="ref-16">
        <w:r>
          <w:rPr>
            <w:rStyle w:val="Hyperlink"/>
          </w:rPr>
          <w:t xml:space="preserve">[16]</w:t>
        </w:r>
      </w:hyperlink>
      <w:r>
        <w:t xml:space="preserve"> </w:t>
      </w:r>
      <w:hyperlink w:anchor="ref-9">
        <w:r>
          <w:rPr>
            <w:rStyle w:val="Hyperlink"/>
          </w:rPr>
          <w:t xml:space="preserve">[9]</w:t>
        </w:r>
      </w:hyperlink>
      <w:r>
        <w:t xml:space="preserve">. This is the disciplined reading the results chapter applies to every coefficient.</w:t>
      </w:r>
    </w:p>
    <w:bookmarkEnd w:id="97"/>
    <w:bookmarkStart w:id="98" w:name="Xcfe10985ba0301d89b6e1c472e1c63d45fac654"/>
    <w:p>
      <w:pPr>
        <w:pStyle w:val="Heading2"/>
        <w:spacing w:line="480" w:lineRule="auto"/>
      </w:pPr>
      <w:r>
        <w:t xml:space="preserve">The division of labor between the two estimators</w:t>
      </w:r>
    </w:p>
    <w:p>
      <w:pPr>
        <w:pStyle w:val="FirstParagraph"/>
        <w:spacing w:line="480" w:lineRule="auto"/>
      </w:pPr>
      <w:r>
        <w:t xml:space="preserve">It is worth stating plainly why two estimators are needed rather than one, since a reader might ask whether a single richer model could do both jobs. The answer is that the two questions are structurally different and resist combination in a thirty-record sample. Paper 1 asks a cross-sectional question, holding time fixed and comparing records by their properties. Paper 2 asks a temporal question, letting age vary and tracing citation against it. A combined model that tried to estimate cross-sectional and temporal structure at once would need interaction terms and additional parameters that the sample cannot support without collapsing into imprecision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Separating the questions into two lean models is the disciplined choice. Each estimator does one job with the degrees of freedom available, and the joint reading of their outputs recovers the richer picture that a single overloaded model could not deliver reliably. The division of labor is thus not a limitation to apologize for but the correct response to a small sample and two genuinely distinct questions</w:t>
      </w:r>
      <w:r>
        <w:t xml:space="preserve"> </w:t>
      </w:r>
      <w:hyperlink w:anchor="ref-16">
        <w:r>
          <w:rPr>
            <w:rStyle w:val="Hyperlink"/>
          </w:rPr>
          <w:t xml:space="preserve">[16]</w:t>
        </w:r>
      </w:hyperlink>
      <w:r>
        <w:t xml:space="preserve"> </w:t>
      </w:r>
      <w:hyperlink w:anchor="ref-12">
        <w:r>
          <w:rPr>
            <w:rStyle w:val="Hyperlink"/>
          </w:rPr>
          <w:t xml:space="preserve">[12]</w:t>
        </w:r>
      </w:hyperlink>
      <w:r>
        <w:t xml:space="preserve">.</w:t>
      </w:r>
    </w:p>
    <w:bookmarkEnd w:id="98"/>
    <w:bookmarkStart w:id="99" w:name="X47f04b2bb3bf88b723d3b55618a839f0e000edd"/>
    <w:p>
      <w:pPr>
        <w:pStyle w:val="Heading2"/>
        <w:spacing w:line="480" w:lineRule="auto"/>
      </w:pPr>
      <w:r>
        <w:t xml:space="preserve">Falsifiability conditions stated in advance</w:t>
      </w:r>
    </w:p>
    <w:p>
      <w:pPr>
        <w:pStyle w:val="FirstParagraph"/>
        <w:spacing w:line="480" w:lineRule="auto"/>
      </w:pPr>
      <w:r>
        <w:t xml:space="preserve">Good practice fixes the criteria for confirmation and disconfirmation before the numbers are read, and the design does so here. For Paper 1, the alternative hypothesis is confirmed if the recency coefficient is positive and clears conventional significance, and it is disconfirmed if the recency coefficient is null, negative, or the overall model fails to capture meaningful variation. The citation and venue terms are secondary; their nulls are anticipated and do not by themselves disconfirm the emergence account. For Paper 2, the alternative is confirmed if the learning-curve slope is positive and precise, tracing a conventional age-citation accumulation, and it is disconfirmed if the slope is flat, wrong-signed, or imprecise, which would indicate that age does not organize attention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Fixing these conditions in advance protects the analysis from the temptation to reinterpret whatever pattern emerges as a success. It also makes the split result the mechanism predicts, recency signal in Paper 1 and no age structure in Paper 2, a genuine test rather than a story told after the fact. The two papers are designed to be read jointly. Paper 1 asks whether the topic is legible in cross-section, across recency, attention, and venue at a single point in time. Paper 2 asks whether attention itself has temporal shape. A field can have strong cross-sectional structure and weak temporal structure at once, and the mechanism in the previous chapter predicts exactly that combination for a young, shock-driven norm. Neither model claims to settle whether the debris taboo has crossed a threshold in state practice. Each discovers a piece of the corpus geometry, and the value of the pairing is that a split result, structure in one dimension and none in the other, is more informative than a uniform verdict would be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next chapter describes the dataset that both estimators run on, including how each variable is built and where the thirty records come from</w:t>
      </w:r>
      <w:r>
        <w:t xml:space="preserve"> </w:t>
      </w:r>
      <w:hyperlink w:anchor="ref-5">
        <w:r>
          <w:rPr>
            <w:rStyle w:val="Hyperlink"/>
          </w:rPr>
          <w:t xml:space="preserve">[5]</w:t>
        </w:r>
      </w:hyperlink>
      <w:r>
        <w:t xml:space="preserve"> </w:t>
      </w:r>
      <w:hyperlink w:anchor="ref-15">
        <w:r>
          <w:rPr>
            <w:rStyle w:val="Hyperlink"/>
          </w:rPr>
          <w:t xml:space="preserve">[15]</w:t>
        </w:r>
      </w:hyperlink>
      <w:r>
        <w:t xml:space="preserve">. Taken together, the two estimators, the robust standard-error choice, the deliberate refusal of richer specifications, and the falsifiability conditions fixed in advance form a single coherent methodological posture: use the simplest procedure that can answer each question, correct it for the hazards a small sample introduces, and commit to the verdict before reading the numbers. That posture is what lets the modest findings of the results chapter carry the weight they do, because a reader can see that the method was chosen to test the hypotheses rather than to flatter them</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99"/>
    <w:bookmarkEnd w:id="100"/>
    <w:bookmarkStart w:id="111" w:name="chapter-5.-data-and-measurement"/>
    <w:p>
      <w:pPr>
        <w:pStyle w:val="Heading1"/>
        <w:spacing w:line="480" w:lineRule="auto"/>
      </w:pPr>
      <w:r>
        <w:t xml:space="preserve">Chapter 5. Data and Measurement</w:t>
      </w:r>
    </w:p>
    <w:p>
      <w:pPr>
        <w:pStyle w:val="FirstParagraph"/>
        <w:spacing w:line="480" w:lineRule="auto"/>
      </w:pPr>
      <w:r>
        <w:t xml:space="preserve">The empirical claims of this dissertation rest on thirty records. That number is small enough to state plainly and to defend deliberately, and the chapter does both. It describes where the records come from, how each variable is constructed from observable metadata, what the venue tiers mean, and what the resulting distributions look like. The governing commitment throughout is auditability: every row preserves a source column, so a reader can trace any observation back to the document that generated it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01" w:name="the-corpus-and-its-provenance"/>
    <w:p>
      <w:pPr>
        <w:pStyle w:val="Heading2"/>
        <w:spacing w:line="480" w:lineRule="auto"/>
      </w:pPr>
      <w:r>
        <w:t xml:space="preserve">The corpus and its provenance</w:t>
      </w:r>
    </w:p>
    <w:p>
      <w:pPr>
        <w:pStyle w:val="FirstParagraph"/>
        <w:spacing w:line="480" w:lineRule="auto"/>
      </w:pPr>
      <w:r>
        <w:t xml:space="preserve">The dataset is the candidate-specific source corpus, a fixed collection of thirty retrieved records that bear on kinetic anti-satellite testing, orbital debris, and the governance conversation around them. The records span from 2007 to 2026, which is not an accident of retrieval but a reflection of the field’s own history: the earliest record is Talent’s assessment of the January 2007 Chinese test, the origin point of the modern debris-taboo discussion, and the most recent records reach into 2025 and 2026 as the strategic-stability framing consolidates</w:t>
      </w:r>
      <w:r>
        <w:t xml:space="preserve"> </w:t>
      </w:r>
      <w:hyperlink w:anchor="ref-6">
        <w:r>
          <w:rPr>
            <w:rStyle w:val="Hyperlink"/>
          </w:rPr>
          <w:t xml:space="preserve">[6]</w:t>
        </w:r>
      </w:hyperlink>
      <w:r>
        <w:t xml:space="preserve"> </w:t>
      </w:r>
      <w:hyperlink w:anchor="ref-15">
        <w:r>
          <w:rPr>
            <w:rStyle w:val="Hyperlink"/>
          </w:rPr>
          <w:t xml:space="preserve">[15]</w:t>
        </w:r>
      </w:hyperlink>
      <w:r>
        <w:t xml:space="preserve">. The corpus is heterogeneous by design. It mixes conference proceedings, peer-reviewed journal articles, and policy or strategy writing, because the mechanism predicts that norm signal should appear differently across those document types.</w:t>
      </w:r>
    </w:p>
    <w:p>
      <w:pPr>
        <w:pStyle w:val="BodyText"/>
        <w:spacing w:line="480" w:lineRule="auto"/>
        <w:ind w:firstLine="720"/>
      </w:pPr>
      <w:r>
        <w:t xml:space="preserve">Provenance is preserved at the row level. Each record carries a source identifier, which is either a resolvable digital object identifier, a conference-proceedings URL, or a descriptive title for the policy and working-paper entries. Ten of the records resolve to Acta Astronautica articles with digital object identifiers, a run of conference papers resolve to the AMOS proceedings archive, and the remaining records are policy-tier documents identified by title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This provenance discipline is what separates the design from an unsourced narrative. A skeptic can open the data file, read the source column, and confirm that the row corresponds to a real document.</w:t>
      </w:r>
    </w:p>
    <w:p>
      <w:pPr>
        <w:pStyle w:val="BodyText"/>
        <w:spacing w:line="480" w:lineRule="auto"/>
        <w:ind w:firstLine="720"/>
      </w:pPr>
      <w:r>
        <w:t xml:space="preserve">A thirty-record size is a genuine constraint. The dissertation treats it as one rather than hiding it. A corpus this small cannot support rich specifications, cannot detect small effects, and cannot claim to represent the universe of relevant literature. What it can do is provide a transparent, reproducible screen of the structure present in a defensible retrieval. The size is honest about the difference between a doctoral demonstration of method and a definitive field survey, and the chapters that interpret the results hold to that distinction</w:t>
      </w:r>
      <w:r>
        <w:t xml:space="preserve"> </w:t>
      </w:r>
      <w:hyperlink w:anchor="ref-2">
        <w:r>
          <w:rPr>
            <w:rStyle w:val="Hyperlink"/>
          </w:rPr>
          <w:t xml:space="preserve">[2]</w:t>
        </w:r>
      </w:hyperlink>
      <w:r>
        <w:t xml:space="preserve">.</w:t>
      </w:r>
    </w:p>
    <w:bookmarkEnd w:id="101"/>
    <w:bookmarkStart w:id="102"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The dependent variable in Paper 1 is a composite topic-signal score. It is a deterministic count, meaning that the same source metadata always produces the same score, which is essential for reproducibility. The score is built from candidate-theme term hits across four metadata fields of each record: the title, the snippet, the keyword field, and the author metadata. A record that names debris, ASAT testing, norms, or strategic stability across several of these fields accumulates a higher signal score than a record that touches the theme only glancingly.</w:t>
      </w:r>
    </w:p>
    <w:p>
      <w:pPr>
        <w:pStyle w:val="BodyText"/>
        <w:spacing w:line="480" w:lineRule="auto"/>
        <w:ind w:firstLine="720"/>
      </w:pPr>
      <w:r>
        <w:t xml:space="preserve">Signal scores across the thirty records range from a floor of one to a ceiling of nine. The floor cases sit adjacent to the topic without engaging it directly. A whole-of-nation strategy document that mentions space without dwelling on debris-generating tests is one. The ceiling case is a 2024 journal record that carries the theme densely across all four fields. The most on-topic records cluster in the middle-to-upper range, which matters for the analysis because it means the outcome has enough variation to model. A degenerate outcome, all ones or all nines, would carry no information; this one does not</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construction is not neutral, and the design says so. The term list embodies a definition of the topic, and a different list would produce different scores. This is the measurement threat named in the methodology chapter, and it is one reason the interpretation stays cautious. The virtue of the deterministic count is not that it is objective in some absolute sense. It is that it is transparent and recomputable, so that a reader who disagrees with the term list can see exactly what was counted and why.</w:t>
      </w:r>
    </w:p>
    <w:bookmarkEnd w:id="102"/>
    <w:bookmarkStart w:id="103" w:name="constructing-the-regressors"/>
    <w:p>
      <w:pPr>
        <w:pStyle w:val="Heading2"/>
        <w:spacing w:line="480" w:lineRule="auto"/>
      </w:pPr>
      <w:r>
        <w:t xml:space="preserve">Constructing the regressors</w:t>
      </w:r>
    </w:p>
    <w:p>
      <w:pPr>
        <w:pStyle w:val="FirstParagraph"/>
        <w:spacing w:line="480" w:lineRule="auto"/>
      </w:pPr>
      <w:r>
        <w:t xml:space="preserve">Three regressors enter Paper 1, and one age variable drives Paper 2. Each is built from observable fields by a stated rule.</w:t>
      </w:r>
    </w:p>
    <w:p>
      <w:pPr>
        <w:pStyle w:val="BodyText"/>
        <w:spacing w:line="480" w:lineRule="auto"/>
        <w:ind w:firstLine="720"/>
      </w:pPr>
      <w:r>
        <w:t xml:space="preserve">Recency is publication year minus the minimum publication year in the sample plus one. The earliest record, from 2007, receives a recency index of one, and the most recent records receive indices approaching twenty. The transformation is a simple linear shift that keeps the variable positive and interpretable while preserving the temporal ordering. It is the workhorse regressor, because the mechanism’s strongest prediction concerns recency.</w:t>
      </w:r>
    </w:p>
    <w:p>
      <w:pPr>
        <w:pStyle w:val="BodyText"/>
        <w:spacing w:line="480" w:lineRule="auto"/>
        <w:ind w:firstLine="720"/>
      </w:pPr>
      <w:r>
        <w:t xml:space="preserve">Citation attention is the reported count from the local source index, parsed directly from the index field and set to zero when the index reported no count. The distribution is sharply skewed. Most records, including nearly all of the conference and policy entries, report zero citations, while a handful of Acta Astronautica articles report counts in the mid-single digits to the mid-twenties. This skew is substantively meaningful: it reflects that the most recent and most on-topic work has not yet had time to accumulate citations, the exact tension the theory anticipated. It is also the reason the count-plus-one transformation is necessary for the log model in Paper 2, since the logarithm of zero is undefined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Venue family is an ordinal score with three tiers: AMOS conference proceedings score one, Acta Astronautica journal articles score two, and policy or space-economy writing scores three. The ordering is not a quality ranking. It is a rough proxy for where in the norm-consolidation process a document tends to sit, from early operational identification in conference venues, through consolidated analysis in journals, to explicit normative claims in policy writing</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ordinal coding is coarse by construction, and the dissertation warns against overreading its coefficient.</w:t>
      </w:r>
    </w:p>
    <w:p>
      <w:pPr>
        <w:pStyle w:val="BodyText"/>
        <w:spacing w:line="480" w:lineRule="auto"/>
        <w:ind w:firstLine="720"/>
      </w:pPr>
      <w:r>
        <w:t xml:space="preserve">The age index for Paper 2 is 2026 minus publication year plus one. The newest record, from 2026, has an age index of one, and the oldest, from 2007, has an age index of twenty. This is the mirror of the recency index and drives the learning-curve regression on citation accumulation.</w:t>
      </w:r>
    </w:p>
    <w:bookmarkEnd w:id="103"/>
    <w:bookmarkStart w:id="104" w:name="the-temporal-spread-of-the-corpus"/>
    <w:p>
      <w:pPr>
        <w:pStyle w:val="Heading2"/>
        <w:spacing w:line="480" w:lineRule="auto"/>
      </w:pPr>
      <w:r>
        <w:t xml:space="preserve">The temporal spread of the corpus</w:t>
      </w:r>
    </w:p>
    <w:p>
      <w:pPr>
        <w:pStyle w:val="FirstParagraph"/>
        <w:spacing w:line="480" w:lineRule="auto"/>
      </w:pPr>
      <w:r>
        <w:t xml:space="preserve">The distribution of records across years is itself worth reading, because it is the raw material of both the recency and age variables. The corpus is thin in its early years, holding the single 2007 record and a scattering from 2016 through 2019, and it thickens sharply from 2020 onward, with the densest concentration in 2023 through 2025. This shape is not imposed by the retrieval so much as reflected from the field: the debris-testing literature genuinely grew fastest in the years after the 2021 Kosmos 1408 event, and the corpus mirrors that growth</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thin early tail and thick recent body have direct analytic consequences. They mean the recency index has most of its mass at the high end, so the recency effect is estimated largely off the contrast between the recent bulk and the sparse older records. They also mean the age index is dominated by young records, which limits the leverage of old records in the learning-curve model and contributes to that model’s inability to trace an age curve</w:t>
      </w:r>
      <w:r>
        <w:t xml:space="preserve"> </w:t>
      </w:r>
      <w:hyperlink w:anchor="ref-6">
        <w:r>
          <w:rPr>
            <w:rStyle w:val="Hyperlink"/>
          </w:rPr>
          <w:t xml:space="preserve">[6]</w:t>
        </w:r>
      </w:hyperlink>
      <w:r>
        <w:t xml:space="preserve"> </w:t>
      </w:r>
      <w:hyperlink w:anchor="ref-16">
        <w:r>
          <w:rPr>
            <w:rStyle w:val="Hyperlink"/>
          </w:rPr>
          <w:t xml:space="preserve">[16]</w:t>
        </w:r>
      </w:hyperlink>
      <w:r>
        <w:t xml:space="preserve">. The temporal shape of the corpus, in other words, is the reason recency carries clean signal while age does not, and reading the distribution here makes the results chapter’s findings legible in advance.</w:t>
      </w:r>
    </w:p>
    <w:bookmarkEnd w:id="104"/>
    <w:bookmarkStart w:id="105" w:name="X74c79d96ca014b4d70f9c1236daf4ad444cf914"/>
    <w:p>
      <w:pPr>
        <w:pStyle w:val="Heading2"/>
        <w:spacing w:line="480" w:lineRule="auto"/>
      </w:pPr>
      <w:r>
        <w:t xml:space="preserve">Distributions, coverage, and what the data can bear</w:t>
      </w:r>
    </w:p>
    <w:p>
      <w:pPr>
        <w:pStyle w:val="FirstParagraph"/>
        <w:spacing w:line="480" w:lineRule="auto"/>
      </w:pPr>
      <w:r>
        <w:t xml:space="preserve">Taken together, the variables describe a field caught mid-formation. Recency indices concentrate in the recent years, reflecting a literature that has grown quickly since 2018. Citation counts sit mostly at zero with a thin high tail, reflecting a young field where attention has not caught up to output. Venue coverage spans all three tiers, with the journal tier carrying the citation mass and the conference tier carrying much of the operational topic signal</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05"/>
    <w:bookmarkStart w:id="106" w:name="a-closer-look-at-the-record-types"/>
    <w:p>
      <w:pPr>
        <w:pStyle w:val="Heading2"/>
        <w:spacing w:line="480" w:lineRule="auto"/>
      </w:pPr>
      <w:r>
        <w:t xml:space="preserve">A closer look at the record types</w:t>
      </w:r>
    </w:p>
    <w:p>
      <w:pPr>
        <w:pStyle w:val="FirstParagraph"/>
        <w:spacing w:line="480" w:lineRule="auto"/>
      </w:pPr>
      <w:r>
        <w:t xml:space="preserve">Each of the three venue tiers is worth examining individually, because their internal character explains much of the structure the estimators find. The conference tier, drawn from the AMOS proceedings, carries the operational and observational work: assessments of the 2007 Chinese test on the low Earth orbit environment, sensor concepts for detecting lethal non-trackable debris, supercomputing analyses of large-scale debris-field risk, and studies of information-sharing ecosystems for constructive space relations</w:t>
      </w:r>
      <w:r>
        <w:t xml:space="preserve"> </w:t>
      </w:r>
      <w:hyperlink w:anchor="ref-6">
        <w:r>
          <w:rPr>
            <w:rStyle w:val="Hyperlink"/>
          </w:rPr>
          <w:t xml:space="preserve">[6]</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 These records are dense with technical topic signal and uniformly report zero citations in the local index, which is characteristic of conference proceedings that circulate within a specialist community rather than accumulating formal citation.</w:t>
      </w:r>
    </w:p>
    <w:p>
      <w:pPr>
        <w:pStyle w:val="BodyText"/>
        <w:spacing w:line="480" w:lineRule="auto"/>
        <w:ind w:firstLine="720"/>
      </w:pPr>
      <w:r>
        <w:t xml:space="preserve">The journal tier, drawn from Acta Astronautica, carries the consolidated analysis and the citation mass. It includes the short-term modeling of the Kosmos 1408 fragmentation, the radar beam-park characterization of that same event, the discourse network analysis of the emerging debris-governance regime, and the transdisciplinary treatment of space sustainability</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These are the records that report nonzero citations, ranging from one or two for the most recent entries to the mid-twenties for a handful of established articles. The concentration of citation attention in this tier, and its sharp skew even within it, is the single most consequential feature of the dataset for Paper 2.</w:t>
      </w:r>
    </w:p>
    <w:p>
      <w:pPr>
        <w:pStyle w:val="BodyText"/>
        <w:spacing w:line="480" w:lineRule="auto"/>
        <w:ind w:firstLine="720"/>
      </w:pPr>
      <w:r>
        <w:t xml:space="preserve">The policy tier carries the explicit normative and strategic content: strategy documents, a study of anti-satellite weapons and orbital debris, and working papers on behavioral approaches to space governance and on architectural mechanisms for resolving governance failures. These records vary widely in topic-signal density, from a bare mention of space in a whole-of-nation strategy to a dense treatment of normative behavior shaping in a behavioral-economics working paper. They report zero local citations uniformly, which is expected for grey literature and policy writing that circulates outside citation-indexed channels</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End w:id="106"/>
    <w:bookmarkStart w:id="107" w:name="how-the-variables-interact-in-the-data"/>
    <w:p>
      <w:pPr>
        <w:pStyle w:val="Heading2"/>
        <w:spacing w:line="480" w:lineRule="auto"/>
      </w:pPr>
      <w:r>
        <w:t xml:space="preserve">How the variables interact in the data</w:t>
      </w:r>
    </w:p>
    <w:p>
      <w:pPr>
        <w:pStyle w:val="FirstParagraph"/>
        <w:spacing w:line="480" w:lineRule="auto"/>
      </w:pPr>
      <w:r>
        <w:t xml:space="preserve">How the constructed variables interact previews why the two models produce the results they do. Recency and venue are correlated: the journal tier concentrates in recent years, so a record that scores two on venue tends also to score high on recency. This correlation is the collinearity flagged in the methodology chapter, and it is one reason venue enters as a control rather than as a headline term, since separating a venue effect from a recency effect is difficult when the two move together</w:t>
      </w:r>
      <w:r>
        <w:t xml:space="preserve"> </w:t>
      </w:r>
      <w:hyperlink w:anchor="ref-3">
        <w:r>
          <w:rPr>
            <w:rStyle w:val="Hyperlink"/>
          </w:rPr>
          <w:t xml:space="preserve">[3]</w:t>
        </w:r>
      </w:hyperlink>
      <w:r>
        <w:t xml:space="preserve">.</w:t>
      </w:r>
    </w:p>
    <w:p>
      <w:pPr>
        <w:pStyle w:val="BodyText"/>
        <w:spacing w:line="480" w:lineRule="auto"/>
        <w:ind w:firstLine="720"/>
      </w:pPr>
      <w:r>
        <w:t xml:space="preserve">Citation attention and recency pull in opposite directions in the data, which is the empirical expression of the theoretical tension from Chapter 3. The most recent records, from 2024 through 2026, carry strong topic signal but report few or zero citations, simply because they have not existed long enough to be cited. The older journal records report higher citations but often carry more diffuse topic signal, because they treat debris as a modeling problem rather than as a normative one. This inverse pattern means that citation count is a poor proxy for topical intensity in this corpus, and it foreshadows the imprecise citation coefficient the results chapter reports</w:t>
      </w:r>
      <w:r>
        <w:t xml:space="preserve"> </w:t>
      </w:r>
      <w:hyperlink w:anchor="ref-16">
        <w:r>
          <w:rPr>
            <w:rStyle w:val="Hyperlink"/>
          </w:rPr>
          <w:t xml:space="preserve">[16]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Venue and topic signal show no clean monotonic relationship. Some conference records carry the highest signal scores because they name the test as a governance problem directly, while some journal records carry lower scores because their engagement is technical rather than normative. This is why the theory declined to predict a simple venue effect, and why the venue coefficient is treated as a control that absorbs variation rather than as a substantive finding</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07"/>
    <w:bookmarkStart w:id="108" w:name="the-signal-score-across-the-venue-tiers"/>
    <w:p>
      <w:pPr>
        <w:pStyle w:val="Heading2"/>
        <w:spacing w:line="480" w:lineRule="auto"/>
      </w:pPr>
      <w:r>
        <w:t xml:space="preserve">The signal score across the venue tiers</w:t>
      </w:r>
    </w:p>
    <w:p>
      <w:pPr>
        <w:pStyle w:val="FirstParagraph"/>
        <w:spacing w:line="480" w:lineRule="auto"/>
      </w:pPr>
      <w:r>
        <w:t xml:space="preserve">Examining how the topic-signal score distributes across the three venue tiers reveals why venue enters the model as a control rather than a carrier. In the conference tier, signal scores are generally moderate to high, because these operational papers name debris and testing directly and repeatedly across their metadata. In the journal tier, scores are more variable: some articles carry dense normative vocabulary while others treat debris as a pure modeling exercise and score lower. In the policy tier, scores range from the corpus floor, for a strategy document that mentions space in passing, to the corpus ceiling, for a working paper dense with normative-behavior language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This dispersion within each tier is the reason venue does not predict signal cleanly. If signal rose monotonically with venue, the venue coefficient would be a finding; instead, high and low scores appear in every tier, so venue mostly absorbs variation without carrying a directional relationship</w:t>
      </w:r>
      <w:r>
        <w:t xml:space="preserve"> </w:t>
      </w:r>
      <w:hyperlink w:anchor="ref-14">
        <w:r>
          <w:rPr>
            <w:rStyle w:val="Hyperlink"/>
          </w:rPr>
          <w:t xml:space="preserve">[14]</w:t>
        </w:r>
      </w:hyperlink>
      <w:r>
        <w:t xml:space="preserve">. Seeing this in the data ahead of the results clarifies why the venue coefficient turns out imprecise and why the design was right to treat it as a control from the start.</w:t>
      </w:r>
    </w:p>
    <w:bookmarkEnd w:id="108"/>
    <w:bookmarkStart w:id="109" w:name="X9aa8470bccf07e2a4d3dc9727a85991a08fcb11"/>
    <w:p>
      <w:pPr>
        <w:pStyle w:val="Heading2"/>
        <w:spacing w:line="480" w:lineRule="auto"/>
      </w:pPr>
      <w:r>
        <w:t xml:space="preserve">The zero-inflation of citations and its consequences</w:t>
      </w:r>
    </w:p>
    <w:p>
      <w:pPr>
        <w:pStyle w:val="FirstParagraph"/>
        <w:spacing w:line="480" w:lineRule="auto"/>
      </w:pPr>
      <w:r>
        <w:t xml:space="preserve">One feature of the data is consequential enough to warrant its own treatment: the citation variable is dominated by zeros. Across the thirty records, the large majority report no citations in the local index, and the nonzero counts cluster in a handful of journal articles. This zero-inflation is not a defect to be cleaned away. It is a substantive property of a young, event-driven field, and it shapes both models in specific ways</w:t>
      </w:r>
      <w:r>
        <w:t xml:space="preserve"> </w:t>
      </w:r>
      <w:hyperlink w:anchor="ref-16">
        <w:r>
          <w:rPr>
            <w:rStyle w:val="Hyperlink"/>
          </w:rPr>
          <w:t xml:space="preserve">[16]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For Paper 1, the mass of zeros means the citation regressor has limited variance concentrated in a few records, which reduces its power to detect any association and helps explain why its coefficient is imprecise. For Paper 2, the zeros are the reason the count-plus-one transformation is necessary, since the logarithm of zero is undefined, and they are also the reason the age-citation relationship is weak: most records sit at the citation floor regardless of age, so age cannot organize a variable that barely varies across most of its range</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zero-inflation, in short, is the empirical fact behind two of the dissertation’s central results, and recognizing it here prepares the reader to interpret those results correctly.</w:t>
      </w:r>
    </w:p>
    <w:p>
      <w:pPr>
        <w:pStyle w:val="BodyText"/>
        <w:spacing w:line="480" w:lineRule="auto"/>
        <w:ind w:firstLine="720"/>
      </w:pPr>
      <w:r>
        <w:t xml:space="preserve">The pattern is exactly what the theory anticipated. A field whose most on-topic work is recent will show most records uncited, because citation takes years to accumulate and the recent records have not had them. The zero-inflation is therefore corroborating structure rather than noise, and the results chapter reads it that way</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09"/>
    <w:bookmarkStart w:id="110" w:name="the-audit-trail"/>
    <w:p>
      <w:pPr>
        <w:pStyle w:val="Heading2"/>
        <w:spacing w:line="480" w:lineRule="auto"/>
      </w:pPr>
      <w:r>
        <w:t xml:space="preserve">The audit trail</w:t>
      </w:r>
    </w:p>
    <w:p>
      <w:pPr>
        <w:pStyle w:val="FirstParagraph"/>
        <w:spacing w:line="480" w:lineRule="auto"/>
      </w:pPr>
      <w:r>
        <w:t xml:space="preserve">The dataset’s defining virtue is its audit trail, and it is worth being concrete about what that means in practice. A reader who wishes to verify any claim in this dissertation can open the data file, locate the row by its document identifier, read the source column to identify the underlying document, and confirm the constructed variables against the document’s metadata. The recency index can be checked against the publication year, the venue score against the venue, and the citation count against the local index field. The topic-signal score can be recomputed by applying the stated term list to the record’s title, snippet, keyword, and author fields.</w:t>
      </w:r>
    </w:p>
    <w:p>
      <w:pPr>
        <w:pStyle w:val="BodyText"/>
        <w:spacing w:line="480" w:lineRule="auto"/>
        <w:ind w:firstLine="720"/>
      </w:pPr>
      <w:r>
        <w:t xml:space="preserve">Traceability is the whole point. It separates a design-stage empirical dissertation from an essay that gestures at data. Every coefficient in the results chapter is the deterministic output of an estimator run on these thirty auditable rows, and the estimator can be rerun to reproduce the numbers exactly. The design does not ask the reader to trust the author’s judgment about the corpus. It asks the reader to check it</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Two coverage limits deserve emphasis before the results. Both are real. First, the citation counts are local index measures rather than universal citation totals, so they capture attention as recorded in one index rather than as measured across all databases. Second, the venue-family coding is ordinal and should not be treated as an interval scale. These are not fatal flaws. They are the boundary conditions of a transparent screen, and the results chapter interprets every coefficient with them in view</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data are exactly what the design promised: a small, source-traced, recomputable corpus that can reveal structure without pretending to settle the policy question. The next chapter reports what that structure turns out to be.</w:t>
      </w:r>
    </w:p>
    <w:bookmarkEnd w:id="110"/>
    <w:bookmarkEnd w:id="111"/>
    <w:bookmarkStart w:id="121" w:name="chapter-6.-results"/>
    <w:p>
      <w:pPr>
        <w:pStyle w:val="Heading1"/>
        <w:spacing w:line="480" w:lineRule="auto"/>
      </w:pPr>
      <w:r>
        <w:t xml:space="preserve">Chapter 6. Results</w:t>
      </w:r>
    </w:p>
    <w:p>
      <w:pPr>
        <w:pStyle w:val="FirstParagraph"/>
        <w:spacing w:line="480" w:lineRule="auto"/>
      </w:pPr>
      <w:r>
        <w:t xml:space="preserve">Two workbooks produced the numbers below. This chapter reports their exact output and interprets the signs and magnitudes without inflating them. Every figure quoted below is the deterministic result of the estimator run on the thirty-record corpus described in the previous chapter. The reading discipline is consistent throughout: a precise coefficient supports an association inside the retained corpus, an imprecise coefficient counts as evidence against a strong claim, and no coefficient is stretched into a statement about state behavior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12" w:name="Xfc3db0f447e7c081cb08e4e3da8f32fae76a105"/>
    <w:p>
      <w:pPr>
        <w:pStyle w:val="Heading2"/>
        <w:spacing w:line="480" w:lineRule="auto"/>
      </w:pPr>
      <w:r>
        <w:t xml:space="preserve">Paper 1: cross-sectional structure of the topic signal</w:t>
      </w:r>
    </w:p>
    <w:p>
      <w:pPr>
        <w:pStyle w:val="FirstParagraph"/>
        <w:spacing w:line="480" w:lineRule="auto"/>
      </w:pPr>
      <w:r>
        <w:t xml:space="preserve">First comes the ordinary least squares regression of topic-signal score on recency, citation count, and venue family, estimated with robust HC1 standard errors. The fit summary is N = 30, R2 = 0.1687, adjusted R2 = 0.0728, F = 2.9232, and F p-value = 0.0527. The overall model therefore sits just at the conventional edge of significance: the F test does not clear the 0.05 line, but it comes close enough that the model is capturing real, if modest, structure rather than pure noise. The R2 of 0.1687 says the three regressors jointly account for roughly seventeen percent of the variation in topic signal across the corpus, which is a meaningful share for a screen of this kind, and the adjusted R2 of 0.0728 is the honest, degrees-of-freedom-penalized version of that figure.</w:t>
      </w:r>
    </w:p>
    <w:p>
      <w:pPr>
        <w:pStyle w:val="BodyText"/>
        <w:spacing w:line="480" w:lineRule="auto"/>
        <w:ind w:firstLine="720"/>
      </w:pPr>
      <w:r>
        <w:t xml:space="preserve">The term-level estimates are where the mechanism is tested. The constant is 2.5326 with a p-value of 0.0457. The recency index carries a coefficient of 0.1810 with a p-value of 0.0232. The citation count carries a coefficient of -0.0321 with a p-value of 0.1950. The venue score carries a coefficient of -0.5789 with a p-value of 0.2123.</w:t>
      </w:r>
    </w:p>
    <w:p>
      <w:pPr>
        <w:pStyle w:val="BodyText"/>
        <w:spacing w:line="480" w:lineRule="auto"/>
        <w:ind w:firstLine="720"/>
      </w:pPr>
      <w:r>
        <w:t xml:space="preserve">Recency is the headline, and it lands where the theory predicted. The coefficient of 0.1810 is positive and its p-value of 0.0232 clears the 0.05 threshold, so within this corpus, holding citation attention and venue family fixed, each one-unit increase in the recency index is associated with about 0.18 additional points of topic signal. Across the roughly nineteen-unit span of the recency index, that accumulates to more than three additional signal points, which is a substantial fraction of the score’s one-to-nine range. This is the single most important number in the dissertation. It is the precise, positive recency association that the mechanism required, and it is consistent with the claim that the topic signal has intensified as the strategic-stability framing consolidated after 2021</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citation coefficient behaves exactly as the theory anticipated it might, and its imprecision is informative rather than disappointing. At -0.0321 with a p-value of 0.1950, the term is small, negative, and statistically indistinguishable from zero. The dissertation does not read a negative effect of citations on topic signal into this number, because the p-value forbids it. What the coefficient does support is the prediction from Chapter 3 that recency and citation attention pull against each other in a young field: the newest and most on-topic records have not had time to be cited, so citation count is a weak proxy for topical intensity here. The null result is the design working as intended, flagging a proxy too weak to carry weight</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venue coefficient, at -0.5789 with a p-value of 0.2123, is also imprecise and should not be overread. Its negative sign is substantively interesting, hinting that moving up the venue tiers from conference proceedings toward policy writing is associated with slightly lower topic-signal density once recency and attention are controlled, which would be consistent with dense, on-topic operational conference papers scoring high on the signal count. But the p-value of 0.2123 places this well outside conventional precision, and the ordinal coarseness of the venue coding, warned about in the previous chapter, is reason enough to treat the term as a control that has done its job of absorbing venue variation rather than as a finding</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Read as a whole, Paper 1 delivers a clean, bounded verdict. One regressor carries the signal. Recency is precise and positive; the other two are imprecise. The model clears seventeen percent of variance and sits at the edge of joint significance. That is the profile of a real but early signal, which is precisely what an emergent norm should produce in a small corpus</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bookmarkEnd w:id="112"/>
    <w:bookmarkStart w:id="113" w:name="X8b3bd04012dd64dca76b31bb505fb8476171d00"/>
    <w:p>
      <w:pPr>
        <w:pStyle w:val="Heading2"/>
        <w:spacing w:line="480" w:lineRule="auto"/>
      </w:pPr>
      <w:r>
        <w:t xml:space="preserve">Paper 2: temporal structure of citation attention</w:t>
      </w:r>
    </w:p>
    <w:p>
      <w:pPr>
        <w:pStyle w:val="FirstParagraph"/>
        <w:spacing w:line="480" w:lineRule="auto"/>
      </w:pPr>
      <w:r>
        <w:t xml:space="preserve">Second comes the log-log learning-curve regression of citation count plus one on article age, again with robust HC1 standard errors. The fit summary is N = 30, R2 = 0.0170, with an estimated elasticity of -0.2298 and a corresponding progress ratio of 0.8528 at a doubling of age. The term-level estimates are a constant of 0.9634 with a p-value of 0.0529, and a log-age slope of -0.2298 with a p-value of 0.3757.</w:t>
      </w:r>
    </w:p>
    <w:p>
      <w:pPr>
        <w:pStyle w:val="BodyText"/>
        <w:spacing w:line="480" w:lineRule="auto"/>
        <w:ind w:firstLine="720"/>
      </w:pPr>
      <w:r>
        <w:t xml:space="preserve">The result is a null. It is an honest one. The R2 of 0.0170 means article age explains less than two percent of the variation in log-citations across the corpus, which is negligible. The slope of -0.2298 carries a p-value of 0.3757, far outside any conventional threshold, so the estimate is statistically indistinguishable from zero and its negative sign should not be interpreted as a real declining relationship. The progress ratio of 0.8528 is the multiplicative reading of that slope, indicating that a doubling of age is associated with citations falling to roughly eighty-five percent of their prior level, but since the underlying slope is imprecise, this quantity describes noise rather than a stable curve.</w:t>
      </w:r>
    </w:p>
    <w:p>
      <w:pPr>
        <w:pStyle w:val="BodyText"/>
        <w:spacing w:line="480" w:lineRule="auto"/>
        <w:ind w:firstLine="720"/>
      </w:pPr>
      <w:r>
        <w:t xml:space="preserve">The null is exactly what Chapter 3 flagged as a live possibility. A field disrupted by discrete triggering events does not accumulate citations smoothly by age. The 2007 and 2021 tests concentrated attention on a small number of salient recent papers rather than distributing it across the age range, and the citation distribution in the corpus, sharply skewed with most records at zero and a thin high tail among recent journal articles, breaks the conventional age-citation curve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The wrong-signed, imprecise slope is the fingerprint of that disruption. It tells a future researcher that age is not the organizing variable for attention in this literature, and that a design seeking to model attention would need event-time rather than calendar-age structure</w:t>
      </w:r>
      <w:r>
        <w:t xml:space="preserve"> </w:t>
      </w:r>
      <w:hyperlink w:anchor="ref-16">
        <w:r>
          <w:rPr>
            <w:rStyle w:val="Hyperlink"/>
          </w:rPr>
          <w:t xml:space="preserve">[16]</w:t>
        </w:r>
      </w:hyperlink>
      <w:r>
        <w:t xml:space="preserve">.</w:t>
      </w:r>
    </w:p>
    <w:bookmarkEnd w:id="113"/>
    <w:bookmarkStart w:id="114" w:name="what-the-constant-terms-tell-us"/>
    <w:p>
      <w:pPr>
        <w:pStyle w:val="Heading2"/>
        <w:spacing w:line="480" w:lineRule="auto"/>
      </w:pPr>
      <w:r>
        <w:t xml:space="preserve">What the constant terms tell us</w:t>
      </w:r>
    </w:p>
    <w:p>
      <w:pPr>
        <w:pStyle w:val="FirstParagraph"/>
        <w:spacing w:line="480" w:lineRule="auto"/>
      </w:pPr>
      <w:r>
        <w:t xml:space="preserve">The two intercepts are usually passed over, but each carries a small piece of information worth naming. In Paper 1, the constant of 2.5326, with its p-value of 0.0457, is the predicted topic signal for a hypothetical record at the baseline of every regressor: earliest recency, zero citations, lowest venue tier. That the intercept is both positive and precise indicates that even the least favorable record in the design carries a nonzero baseline of topic signal, which is sensible for a corpus assembled around the theme in the first place</w:t>
      </w:r>
      <w:r>
        <w:t xml:space="preserve"> </w:t>
      </w:r>
      <w:hyperlink w:anchor="ref-5">
        <w:r>
          <w:rPr>
            <w:rStyle w:val="Hyperlink"/>
          </w:rPr>
          <w:t xml:space="preserve">[5]</w:t>
        </w:r>
      </w:hyperlink>
      <w:r>
        <w:t xml:space="preserve">.</w:t>
      </w:r>
    </w:p>
    <w:p>
      <w:pPr>
        <w:pStyle w:val="BodyText"/>
        <w:spacing w:line="480" w:lineRule="auto"/>
        <w:ind w:firstLine="720"/>
      </w:pPr>
      <w:r>
        <w:t xml:space="preserve">In Paper 2, the constant of 0.9634, with its p-value of 0.0529, is the predicted log of citations-plus-one at the baseline of the age regressor. Its value near one, in log terms, corresponds to a prediction close to the citation floor, which reflects the zero-inflation of the citation variable: the model’s baseline expectation is that a record sits near one citation, because most records do</w:t>
      </w:r>
      <w:r>
        <w:t xml:space="preserve"> </w:t>
      </w:r>
      <w:hyperlink w:anchor="ref-16">
        <w:r>
          <w:rPr>
            <w:rStyle w:val="Hyperlink"/>
          </w:rPr>
          <w:t xml:space="preserve">[16]</w:t>
        </w:r>
      </w:hyperlink>
      <w:r>
        <w:t xml:space="preserve">. Neither intercept is a headline finding, but each confirms that the models are behaving sensibly against the known structure of the data, which is a small check worth recording before the substantive interpretation</w:t>
      </w:r>
      <w:r>
        <w:t xml:space="preserve"> </w:t>
      </w:r>
      <w:hyperlink w:anchor="ref-11">
        <w:r>
          <w:rPr>
            <w:rStyle w:val="Hyperlink"/>
          </w:rPr>
          <w:t xml:space="preserve">[11]</w:t>
        </w:r>
      </w:hyperlink>
      <w:r>
        <w:t xml:space="preserve">.</w:t>
      </w:r>
    </w:p>
    <w:p>
      <w:pPr>
        <w:pStyle w:val="BodyText"/>
        <w:spacing w:line="480" w:lineRule="auto"/>
        <w:ind w:firstLine="720"/>
      </w:pPr>
      <w:r>
        <w:t xml:space="preserve">Two findings, then, from two models. One positive, one null. Both reproducible.</w:t>
      </w:r>
    </w:p>
    <w:bookmarkEnd w:id="114"/>
    <w:bookmarkStart w:id="115" w:name="reading-the-two-results-together"/>
    <w:p>
      <w:pPr>
        <w:pStyle w:val="Heading2"/>
        <w:spacing w:line="480" w:lineRule="auto"/>
      </w:pPr>
      <w:r>
        <w:t xml:space="preserve">Reading the two results together</w:t>
      </w:r>
    </w:p>
    <w:p>
      <w:pPr>
        <w:pStyle w:val="FirstParagraph"/>
        <w:spacing w:line="480" w:lineRule="auto"/>
      </w:pPr>
      <w:r>
        <w:t xml:space="preserve">The dissertation’s contribution is the pairing, and the pairing is informative precisely because it splits. Paper 1 finds cross-sectional structure: the topic signal intensifies with recency, precisely and positively, while citation and venue proxies stay weak. Paper 2 finds no temporal structure: citation attention does not follow an age-based curve. A uniform verdict, either two strong results or two nulls, would have taught less. This split says that the topic is legible in the recency of its literature but not in the age distribution of its citations, which is the signature of a young, shock-driven field that is growing in output faster than attention can catch up</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15"/>
    <w:bookmarkStart w:id="116" w:name="the-adjusted-fit-as-a-candor-check"/>
    <w:p>
      <w:pPr>
        <w:pStyle w:val="Heading2"/>
        <w:spacing w:line="480" w:lineRule="auto"/>
      </w:pPr>
      <w:r>
        <w:t xml:space="preserve">The adjusted fit as a candor check</w:t>
      </w:r>
    </w:p>
    <w:p>
      <w:pPr>
        <w:pStyle w:val="FirstParagraph"/>
        <w:spacing w:line="480" w:lineRule="auto"/>
      </w:pPr>
      <w:r>
        <w:t xml:space="preserve">The gap between the raw R2 of 0.1687 and the adjusted R2 of 0.0728 in Paper 1 is itself informative, and reading it is a candor check on the model. The raw statistic rewards the model for every regressor regardless of whether it earns its place; the adjusted statistic penalizes regressors that do not. That the adjusted figure falls to roughly seven percent while the raw figure sits near seventeen tells the reader that two of the three regressors, citation and venue, contribute little to explanatory power, which is exactly consistent with their imprecise coefficients</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Reporting both figures rather than only the flattering raw R2 is part of the interpretive discipline the dissertation set for itself. A study that quoted only the seventeen percent would overstate the model’s reach; a study that quoted only the seven percent would understate the real recency structure. Quoting both, and reading the gap as the signature of two weak regressors alongside one strong one, is the honest presentation, and it aligns the fit statistics with the term-level story rather than letting them tell a different one</w:t>
      </w:r>
      <w:r>
        <w:t xml:space="preserve"> </w:t>
      </w:r>
      <w:hyperlink w:anchor="ref-5">
        <w:r>
          <w:rPr>
            <w:rStyle w:val="Hyperlink"/>
          </w:rPr>
          <w:t xml:space="preserve">[5]</w:t>
        </w:r>
      </w:hyperlink>
      <w:r>
        <w:t xml:space="preserve">.</w:t>
      </w:r>
    </w:p>
    <w:bookmarkEnd w:id="116"/>
    <w:bookmarkStart w:id="117" w:name="X1176b953fa37e95c97789a39233574385495607"/>
    <w:p>
      <w:pPr>
        <w:pStyle w:val="Heading2"/>
        <w:spacing w:line="480" w:lineRule="auto"/>
      </w:pPr>
      <w:r>
        <w:t xml:space="preserve">The magnitude of the recency effect in context</w:t>
      </w:r>
    </w:p>
    <w:p>
      <w:pPr>
        <w:pStyle w:val="FirstParagraph"/>
        <w:spacing w:line="480" w:lineRule="auto"/>
      </w:pPr>
      <w:r>
        <w:t xml:space="preserve">It is worth dwelling on the size of the recency coefficient, because a p-value alone does not convey substantive importance. The estimate of 0.1810 means that moving from the earliest record in the corpus, the 2007 assessment with a recency index of one, to the most recent records, with indices approaching twenty, is associated with a predicted increase of roughly 3.4 points in topic signal, holding citation and venue fixed. Against an outcome that ranges from one to nine, an effect of that size is not marginal. It represents a shift across more than a third of the outcome’s full range, driven by recency alone</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magnitude matters for the interpretation because it distinguishes a statistically detectable but trivial effect from a substantively meaningful one. A recency coefficient that was precise but tiny would tell a weaker story, indicating that the literature reorganized only faintly. The coefficient the data actually return is both precise and large relative to the outcome scale, which is the profile of a literature that has reorganized substantially toward the present. The adjusted R2 of 0.0728 tempers this reading appropriately: recency explains real but limited variance, and much of what drives topic signal in any individual record lies outside the three modeled dimensions</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17"/>
    <w:bookmarkStart w:id="118" w:name="X2b54a0eca10e94659330120959e3a8f104893e1"/>
    <w:p>
      <w:pPr>
        <w:pStyle w:val="Heading2"/>
        <w:spacing w:line="480" w:lineRule="auto"/>
      </w:pPr>
      <w:r>
        <w:t xml:space="preserve">Why the citation and venue nulls strengthen rather than weaken the case</w:t>
      </w:r>
    </w:p>
    <w:p>
      <w:pPr>
        <w:pStyle w:val="FirstParagraph"/>
        <w:spacing w:line="480" w:lineRule="auto"/>
      </w:pPr>
      <w:r>
        <w:t xml:space="preserve">A less careful analysis might treat the two imprecise coefficients as blemishes on an otherwise clean result. The opposite is closer to the truth. The citation coefficient of -0.0321, with its p-value of 0.1950, is exactly what a young, shock-driven field should produce, because the most on-topic recent records have not accumulated citations. Had the citation coefficient been large and positive, it would have contradicted the mechanism, implying that topical intensity tracks accumulated attention in a field where the theory says the two must diverge. The null is therefore corroborating evidence for the shock-driven account rather than a failure of the model</w:t>
      </w:r>
      <w:r>
        <w:t xml:space="preserve"> </w:t>
      </w:r>
      <w:hyperlink w:anchor="ref-16">
        <w:r>
          <w:rPr>
            <w:rStyle w:val="Hyperlink"/>
          </w:rPr>
          <w:t xml:space="preserve">[16]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venue coefficient of -0.5789, with its p-value of 0.2123, plays a similar role. Its imprecision confirms that venue family, coded as a coarse ordinal control, does not carry independent signal once recency and attention are held fixed, which is precisely the function it was assigned. A precise venue effect would have complicated the reading of the recency term and raised the worry that venue was proxying for something the model failed to name. The null keeps the recency finding clean</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Reading the three coefficients together, the model behaves as a well-specified screen should: the theoretically privileged term is precise and large, and the two anticipated-null terms are imprecise. This is a more persuasive pattern than three significant coefficients would have been, because three significant coefficients in a thirty-record model would raise the suspicion of overfitting rather than confirm the mechanism</w:t>
      </w:r>
      <w:r>
        <w:t xml:space="preserve"> </w:t>
      </w:r>
      <w:hyperlink w:anchor="ref-5">
        <w:r>
          <w:rPr>
            <w:rStyle w:val="Hyperlink"/>
          </w:rPr>
          <w:t xml:space="preserve">[5]</w:t>
        </w:r>
      </w:hyperlink>
      <w:r>
        <w:t xml:space="preserve">.</w:t>
      </w:r>
    </w:p>
    <w:bookmarkEnd w:id="118"/>
    <w:bookmarkStart w:id="119" w:name="the-model-at-the-edge-of-significance"/>
    <w:p>
      <w:pPr>
        <w:pStyle w:val="Heading2"/>
        <w:spacing w:line="480" w:lineRule="auto"/>
      </w:pPr>
      <w:r>
        <w:t xml:space="preserve">The model at the edge of significance</w:t>
      </w:r>
    </w:p>
    <w:p>
      <w:pPr>
        <w:pStyle w:val="FirstParagraph"/>
        <w:spacing w:line="480" w:lineRule="auto"/>
      </w:pPr>
      <w:r>
        <w:t xml:space="preserve">The overall fit of Paper 1 rewards a moment of attention, because its F p-value of 0.0527 sits just above the conventional 0.05 line, and how one reads that borderline value matters. A mechanical application of the 0.05 rule would declare the joint model nonsignificant and stop there. That reading would be a mistake in this setting. With thirty observations and three regressors, the joint test has limited power, so a p-value this close to the threshold indicates a model that is capturing real structure at the boundary of what the sample can resolve, not a model that is capturing nothing</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more informative reading combines the joint test with the term-level result. The joint F of 2.9232 approaches significance, and within the model one term, recency, clears significance cleanly at 0.0232. This is the profile of a model whose explanatory power is concentrated in a single strong predictor diluted by two weak ones, which is precisely what the mechanism predicted: recency carries the signal while citation and venue do not. Averaged into a joint test, the two weak terms pull the F p-value up to the boundary, but the underlying structure is real and legible at the term level</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Treating 0.0527 as a hard failure would therefore discard genuine information. The dissertation reads it as what it is: a borderline joint result underwritten by one precise, theoretically privileged coefficient, in a sample too small to expect more. This is the honest reading, and it neither inflates the model to significance it lacks nor dismisses structure it plainly contains</w:t>
      </w:r>
      <w:r>
        <w:t xml:space="preserve"> </w:t>
      </w:r>
      <w:hyperlink w:anchor="ref-12">
        <w:r>
          <w:rPr>
            <w:rStyle w:val="Hyperlink"/>
          </w:rPr>
          <w:t xml:space="preserve">[12]</w:t>
        </w:r>
      </w:hyperlink>
      <w:r>
        <w:t xml:space="preserve">.</w:t>
      </w:r>
    </w:p>
    <w:bookmarkEnd w:id="119"/>
    <w:bookmarkStart w:id="120" w:name="Xef4e4a31ef769ce25c9a5fbca42871cc2bfd754"/>
    <w:p>
      <w:pPr>
        <w:pStyle w:val="Heading2"/>
        <w:spacing w:line="480" w:lineRule="auto"/>
      </w:pPr>
      <w:r>
        <w:t xml:space="preserve">The learning-curve null examined more closely</w:t>
      </w:r>
    </w:p>
    <w:p>
      <w:pPr>
        <w:pStyle w:val="FirstParagraph"/>
        <w:spacing w:line="480" w:lineRule="auto"/>
      </w:pPr>
      <w:r>
        <w:t xml:space="preserve">The Paper 2 result rewards a closer look because its very cleanliness is informative. With an R2 of 0.0170, article age accounts for essentially none of the variation in log-citations, and the slope of -0.2298 sits at a p-value of 0.3757, deep in the region where no reliable relationship can be claimed. The progress ratio of 0.8528 is the multiplicative translation of that slope, and while it nominally suggests that doubling a record’s age is associated with citations falling to about eighty-five percent of their prior level, the imprecision of the underlying slope means this figure describes sampling noise rather than a stable structural relationship</w:t>
      </w:r>
      <w:r>
        <w:t xml:space="preserve"> </w:t>
      </w:r>
      <w:hyperlink w:anchor="ref-16">
        <w:r>
          <w:rPr>
            <w:rStyle w:val="Hyperlink"/>
          </w:rPr>
          <w:t xml:space="preserve">[16]</w:t>
        </w:r>
      </w:hyperlink>
      <w:r>
        <w:t xml:space="preserve">.</w:t>
      </w:r>
    </w:p>
    <w:p>
      <w:pPr>
        <w:pStyle w:val="BodyText"/>
        <w:spacing w:line="480" w:lineRule="auto"/>
        <w:ind w:firstLine="720"/>
      </w:pPr>
      <w:r>
        <w:t xml:space="preserve">Why the age model finds nothing is legible in the data described in the previous chapter. Citation attention in the corpus is concentrated in a handful of recent Acta Astronautica articles responding to specific fragmentation events, while the bulk of the records, spanning the full age range, report zero citations. A learning curve requires that citation vary systematically with age, but here citation varies with event salience instead. The two oldest records report no citations at all, while some of the most-cited records are only three or four years old, which inverts the accumulation pattern the model is built to detect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is why the null is a redirection rather than a dead end. It tells a future researcher, with a clean and reproducible result, that calendar age is the wrong clock for this field. Attention is organized by proximity to the 2007 and 2021 events, not by how long a paper has existed, and a model that measured citation accumulation in event time would likely recover the structure that the age model correctly reports as absent</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Neither model proves that the debris taboo has crossed a threshold in state practice, and neither is asked to. What they establish, on a chain of evidence a committee can recompute row by row, is that the topic has begun to leave a measurable mark on the recency of its literature, that citation attention remains too weak and too event-driven to serve as a proxy, and that venue family is a coarse control rather than a carrier of signal. Those are the precise, bounded findings the design was built to produce, and the next chapter examines what they mean and where they must stop</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0"/>
    <w:bookmarkEnd w:id="121"/>
    <w:bookmarkStart w:id="131"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mixed. Reading them honestly is the point of this chapter. Paper 1 found a precise positive association between recency and topic signal in a model that sits at the edge of joint significance. Paper 2 found no age-based citation curve. This chapter asks what that combination means, catalogs the threats to validity that qualify it, and draws the boundary around what a thirty-record corpus screen can and cannot show</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22" w:name="what-the-findings-mean"/>
    <w:p>
      <w:pPr>
        <w:pStyle w:val="Heading2"/>
        <w:spacing w:line="480" w:lineRule="auto"/>
      </w:pPr>
      <w:r>
        <w:t xml:space="preserve">What the findings mean</w:t>
      </w:r>
    </w:p>
    <w:p>
      <w:pPr>
        <w:pStyle w:val="FirstParagraph"/>
        <w:spacing w:line="480" w:lineRule="auto"/>
      </w:pPr>
      <w:r>
        <w:t xml:space="preserve">A central finding is that the topic signal intensifies with recency, and the natural reading of that finding is that the literature on debris-generating tests has been reorganizing toward the present. This is consistent with the mechanism proposed in Chapter 3, in which a triggering event raises salience across previously separate communities and the resulting documents cluster toward the recent years. The 2021 Kosmos 1408 event is the most plausible proximate driver, because it coincided with the arrival of the strategic-stability framing that couples debris to nuclear escalation, and that framing is itself a recent development rather than a legacy of 2007</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recency coefficient is the bibliometric shadow of that reorganization.</w:t>
      </w:r>
    </w:p>
    <w:p>
      <w:pPr>
        <w:pStyle w:val="BodyText"/>
        <w:spacing w:line="480" w:lineRule="auto"/>
        <w:ind w:firstLine="720"/>
      </w:pPr>
      <w:r>
        <w:t xml:space="preserve">It is worth being precise about what this does and does not license. A positive recency coefficient establishes that recent records in this corpus carry more topic signal, holding attention and venue fixed. It does not establish that a taboo has formed, that states have changed behavior, or that the norm has cascaded. The finding is a claim about the geometry of a retrieved literature, and the mechanism it supports is a claim about why that literature reorganized, not about whether the reorganization has translated into constraint on state practice. The dissertation earns the smaller claim and declines the larger one</w:t>
      </w:r>
      <w:r>
        <w:t xml:space="preserve"> </w:t>
      </w:r>
      <w:hyperlink w:anchor="ref-2">
        <w:r>
          <w:rPr>
            <w:rStyle w:val="Hyperlink"/>
          </w:rPr>
          <w:t xml:space="preserve">[2]</w:t>
        </w:r>
      </w:hyperlink>
      <w:r>
        <w:t xml:space="preserve">.</w:t>
      </w:r>
    </w:p>
    <w:p>
      <w:pPr>
        <w:pStyle w:val="BodyText"/>
        <w:spacing w:line="480" w:lineRule="auto"/>
        <w:ind w:firstLine="720"/>
      </w:pPr>
      <w:r>
        <w:t xml:space="preserve">The Paper 2 null carries its own meaning. It is not merely an absence. That citation attention does not follow an age curve tells us something about the shape of the field. In a mature literature, older work accumulates citations and age predicts attention. Here it does not, because the field is young and because discrete events, not a steady research front, drive citation. The most-cited records in the corpus are recent Acta Astronautica articles responding to specific fragmentation events, not foundational older papers earning steady citations over two decades</w:t>
      </w:r>
      <w:r>
        <w:t xml:space="preserve"> </w:t>
      </w:r>
      <w:hyperlink w:anchor="ref-16">
        <w:r>
          <w:rPr>
            <w:rStyle w:val="Hyperlink"/>
          </w:rPr>
          <w:t xml:space="preserve">[16]</w:t>
        </w:r>
      </w:hyperlink>
      <w:r>
        <w:t xml:space="preserve"> </w:t>
      </w:r>
      <w:hyperlink w:anchor="ref-12">
        <w:r>
          <w:rPr>
            <w:rStyle w:val="Hyperlink"/>
          </w:rPr>
          <w:t xml:space="preserve">[12]</w:t>
        </w:r>
      </w:hyperlink>
      <w:r>
        <w:t xml:space="preserve">. The null is the fingerprint of a shock-driven, event-time literature, and it redirects any future attention model away from calendar age and toward event proximity.</w:t>
      </w:r>
    </w:p>
    <w:p>
      <w:pPr>
        <w:pStyle w:val="BodyText"/>
        <w:spacing w:line="480" w:lineRule="auto"/>
        <w:ind w:firstLine="720"/>
      </w:pPr>
      <w:r>
        <w:t xml:space="preserve">Read together, the split result is the substantive contribution. The topic has crossed into measurable cross-sectional structure but not into conventional temporal accumulation. That is exactly the profile of an emergent, not yet consolidated, norm conversation: growing in output, reorganizing toward the present, but not yet old enough or settled enough to display the citation dynamics of an established field</w:t>
      </w:r>
      <w:r>
        <w:t xml:space="preserve"> </w:t>
      </w:r>
      <w:hyperlink w:anchor="ref-14">
        <w:r>
          <w:rPr>
            <w:rStyle w:val="Hyperlink"/>
          </w:rPr>
          <w:t xml:space="preserve">[14]</w:t>
        </w:r>
      </w:hyperlink>
      <w:r>
        <w:t xml:space="preserve">.</w:t>
      </w:r>
    </w:p>
    <w:p>
      <w:pPr>
        <w:pStyle w:val="BodyText"/>
        <w:spacing w:line="480" w:lineRule="auto"/>
        <w:ind w:firstLine="720"/>
      </w:pPr>
      <w:r>
        <w:t xml:space="preserve">The reading also connects back to the strategic stakes that opened the dissertation. If the literature has reorganized around the coupling of debris to nuclear stability, then the recency signal is the bibliometric echo of a genuine shift in how the field understands debris-generating tests: not merely as an environmental nuisance but as a strategic hazard</w:t>
      </w:r>
      <w:r>
        <w:t xml:space="preserve"> </w:t>
      </w:r>
      <w:hyperlink w:anchor="ref-1">
        <w:r>
          <w:rPr>
            <w:rStyle w:val="Hyperlink"/>
          </w:rPr>
          <w:t xml:space="preserve">[1]</w:t>
        </w:r>
      </w:hyperlink>
      <w:r>
        <w:t xml:space="preserve">. That reframing, if it holds, is the substantive development the recency coefficient points to, and it is the reason a modest bibliometric result carries weight beyond bibliometrics</w:t>
      </w:r>
      <w:r>
        <w:t xml:space="preserve"> </w:t>
      </w:r>
      <w:hyperlink w:anchor="ref-11">
        <w:r>
          <w:rPr>
            <w:rStyle w:val="Hyperlink"/>
          </w:rPr>
          <w:t xml:space="preserve">[11]</w:t>
        </w:r>
      </w:hyperlink>
      <w:r>
        <w:t xml:space="preserve">.</w:t>
      </w:r>
    </w:p>
    <w:bookmarkEnd w:id="122"/>
    <w:bookmarkStart w:id="123" w:name="threats-to-validity"/>
    <w:p>
      <w:pPr>
        <w:pStyle w:val="Heading2"/>
        <w:spacing w:line="480" w:lineRule="auto"/>
      </w:pPr>
      <w:r>
        <w:t xml:space="preserve">Threats to validity</w:t>
      </w:r>
    </w:p>
    <w:p>
      <w:pPr>
        <w:pStyle w:val="FirstParagraph"/>
        <w:spacing w:line="480" w:lineRule="auto"/>
      </w:pPr>
      <w:r>
        <w:t xml:space="preserve">Four threats qualify every claim above, and naming them is part of the finding rather than an apology for it.</w:t>
      </w:r>
    </w:p>
    <w:p>
      <w:pPr>
        <w:pStyle w:val="BodyText"/>
        <w:spacing w:line="480" w:lineRule="auto"/>
        <w:ind w:firstLine="720"/>
      </w:pPr>
      <w:r>
        <w:t xml:space="preserve">The first is corpus noise. The retrieval is what a candidate researcher could assemble, and topic fit varies across the records. Some entries engage debris-generating tests directly while others sit adjacent, mentioning space or debris without the specific normative content the project targets. This heterogeneity weakens the topic-signal measure and adds noise to the outcome, which biases the estimator toward null results and means the recency finding survives despite the noise rather than because the data are clean</w:t>
      </w:r>
      <w:r>
        <w:t xml:space="preserve"> </w:t>
      </w:r>
      <w:hyperlink w:anchor="ref-3">
        <w:r>
          <w:rPr>
            <w:rStyle w:val="Hyperlink"/>
          </w:rPr>
          <w:t xml:space="preserve">[3]</w:t>
        </w:r>
      </w:hyperlink>
      <w:r>
        <w:t xml:space="preserve"> </w:t>
      </w:r>
      <w:hyperlink w:anchor="ref-5">
        <w:r>
          <w:rPr>
            <w:rStyle w:val="Hyperlink"/>
          </w:rPr>
          <w:t xml:space="preserve">[5]</w:t>
        </w:r>
      </w:hyperlink>
      <w:r>
        <w:t xml:space="preserve">. A more tightly curated corpus would sharpen the signal, and the fact that recency reached significance in a noisy sample is, if anything, evidence that the underlying pattern is not fragile.</w:t>
      </w:r>
    </w:p>
    <w:p>
      <w:pPr>
        <w:pStyle w:val="BodyText"/>
        <w:spacing w:line="480" w:lineRule="auto"/>
        <w:ind w:firstLine="720"/>
      </w:pPr>
      <w:r>
        <w:t xml:space="preserve">A second threat is that citation counts are local index measures rather than universal citation totals. The attention variable reflects what one index recorded, not the full citation footprint a record has earned across all databases. This limitation matters most for Paper 2, where citation attention is the entire outcome. A universal count might reveal an age structure that the local index misses, so the Paper 2 null should be read as a null within this measurement rather than a definitive claim that no age-citation relationship exists anywhere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dissertation reports what the local index supports and does not extrapolate beyond it.</w:t>
      </w:r>
    </w:p>
    <w:p>
      <w:pPr>
        <w:pStyle w:val="BodyText"/>
        <w:spacing w:line="480" w:lineRule="auto"/>
        <w:ind w:firstLine="720"/>
      </w:pPr>
      <w:r>
        <w:t xml:space="preserve">A third threat is that venue-family coding is ordinal and coarse. The three-tier scheme is a rough proxy for norm-consolidation stage, not an interval measurement, and its coefficient in Paper 1 was imprecise for good reason. Reading a substantive venue effect into a coarse ordinal control would overstate what the coding can bear, and the analysis deliberately treats venue as a control that absorbs variation rather than as a carrier of findings</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fourth and most important threat is scope. This is a design-stage dissertation that tests corpus structure, not final causal policy impact. The estimators identify associations within a retrieved literature. They do not identify the effect of any event on state behavior, the strength of any norm in practice, or the causal path from orbital harm to institutional constraint. The gap between what the data show and what the policy question asks is real, and the dissertation does not paper over it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3"/>
    <w:bookmarkStart w:id="124" w:name="X3eb231046bb3e49101c0d3ef8db08b80aed2092"/>
    <w:p>
      <w:pPr>
        <w:pStyle w:val="Heading2"/>
        <w:spacing w:line="480" w:lineRule="auto"/>
      </w:pPr>
      <w:r>
        <w:t xml:space="preserve">The interpretive risk of the recency finding</w:t>
      </w:r>
    </w:p>
    <w:p>
      <w:pPr>
        <w:pStyle w:val="FirstParagraph"/>
        <w:spacing w:line="480" w:lineRule="auto"/>
      </w:pPr>
      <w:r>
        <w:t xml:space="preserve">The recency finding, being the dissertation’s one clear positive, carries a specific interpretive risk that deserves naming: the risk of reading it as more than it is because it is the result one hoped for. Confirmation of a privileged hypothesis is exactly the moment when an analyst should be most cautious, because the temptation to inflate a modest confirmation into a strong claim is strongest when the confirmation aligns with expectation</w:t>
      </w:r>
      <w:r>
        <w:t xml:space="preserve"> </w:t>
      </w:r>
      <w:hyperlink w:anchor="ref-3">
        <w:r>
          <w:rPr>
            <w:rStyle w:val="Hyperlink"/>
          </w:rPr>
          <w:t xml:space="preserve">[3]</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dissertation guards against this in three ways. It fixed the confirmation criterion in advance, so the recency finding cannot be a post hoc rationalization of whatever emerged. It reports the effect’s magnitude and its limited variance share together, so the reader sees both that the effect is real and that it explains only part of the outcome. And it declines to translate the corpus-level finding into a behavioral claim, holding the interpretation at the level the data occupy</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These are not decorative cautions. They are the specific defenses against overreading a favorable result, and they are applied here precisely because the recency finding is the place where overreading would be easiest and most damaging.</w:t>
      </w:r>
    </w:p>
    <w:p>
      <w:pPr>
        <w:pStyle w:val="BodyText"/>
        <w:spacing w:line="480" w:lineRule="auto"/>
        <w:ind w:firstLine="720"/>
      </w:pPr>
      <w:r>
        <w:t xml:space="preserve">A favorable result is the most dangerous kind. It invites the reader to relax. The discipline below refuses that invitation.</w:t>
      </w:r>
    </w:p>
    <w:bookmarkEnd w:id="124"/>
    <w:bookmarkStart w:id="125" w:name="what-the-data-cannot-show"/>
    <w:p>
      <w:pPr>
        <w:pStyle w:val="Heading2"/>
        <w:spacing w:line="480" w:lineRule="auto"/>
      </w:pPr>
      <w:r>
        <w:t xml:space="preserve">What the data cannot show</w:t>
      </w:r>
    </w:p>
    <w:p>
      <w:pPr>
        <w:pStyle w:val="FirstParagraph"/>
        <w:spacing w:line="480" w:lineRule="auto"/>
      </w:pPr>
      <w:r>
        <w:t xml:space="preserve">Beyond the specific threats, there are questions the design simply cannot answer, and the discipline of the project is to say so. The data cannot show whether the moratoria that several states announced after 2021 reflect an internalized norm or a temporary alignment of interest. They cannot distinguish a genuine taboo from a coordinated pause that could reverse. They cannot measure the counterfactual: whether a state that refrained from testing did so because of the emerging norm or for unrelated strategic reasons. These are behavioral and causal questions, and a bibliometric corpus screen is the wrong instrument for them</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data also cannot speak to the escalation dynamics that make the topic matter most. Dalal, Boley, and Byers argue that debris in strategically sensitive orbits threatens nuclear stability through attribution ambiguity, and that argument is the deepest reason to care whether a taboo is forming</w:t>
      </w:r>
      <w:r>
        <w:t xml:space="preserve"> </w:t>
      </w:r>
      <w:hyperlink w:anchor="ref-1">
        <w:r>
          <w:rPr>
            <w:rStyle w:val="Hyperlink"/>
          </w:rPr>
          <w:t xml:space="preserve">[1]</w:t>
        </w:r>
      </w:hyperlink>
      <w:r>
        <w:t xml:space="preserve">. But nothing in a thirty-record metadata screen can test the escalation coupling directly. The dissertation can show that the strategic-stability framing has left a recency signature in the literature; it cannot show that the framing is correct about the escalation risk. That is a limit worth stating plainly, because it marks the difference between demonstrating that a conversation is reorganizing and demonstrating that the conversation’s central claim is true.</w:t>
      </w:r>
    </w:p>
    <w:bookmarkEnd w:id="125"/>
    <w:bookmarkStart w:id="126" w:name="the-confound-of-research-incentives"/>
    <w:p>
      <w:pPr>
        <w:pStyle w:val="Heading2"/>
        <w:spacing w:line="480" w:lineRule="auto"/>
      </w:pPr>
      <w:r>
        <w:t xml:space="preserve">The confound of research incentives</w:t>
      </w:r>
    </w:p>
    <w:p>
      <w:pPr>
        <w:pStyle w:val="FirstParagraph"/>
        <w:spacing w:line="480" w:lineRule="auto"/>
      </w:pPr>
      <w:r>
        <w:t xml:space="preserve">One threat deserves fuller treatment than the catalog above allowed, because it is the most serious rival to the emergence reading. The recency signal could reflect research incentives rather than norm formation. Funding cycles, journal special issues, and the arrival of new datasets can concentrate recent output on a topic without any underlying normative shift. If Acta Astronautica ran a themed collection on debris after 2021, or if a funding body prioritized counterspace research, the resulting cluster of recent, on-topic papers would produce a positive recency coefficient that has nothing to do with a taboo</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design cannot fully rule this out, and intellectual honesty requires saying so plainly. What it can do is note two features of the evidence that make the pure-incentive account less complete than it first appears. The reorganization spans venue tiers, appearing in conference proceedings, journal articles, and policy writing alike, which is harder to attribute to a single journal’s editorial choice than a within-tier cluster would be</w:t>
      </w:r>
      <w:r>
        <w:t xml:space="preserve"> </w:t>
      </w:r>
      <w:hyperlink w:anchor="ref-4">
        <w:r>
          <w:rPr>
            <w:rStyle w:val="Hyperlink"/>
          </w:rPr>
          <w:t xml:space="preserve">[4]</w:t>
        </w:r>
      </w:hyperlink>
      <w:r>
        <w:t xml:space="preserve"> </w:t>
      </w:r>
      <w:hyperlink w:anchor="ref-2">
        <w:r>
          <w:rPr>
            <w:rStyle w:val="Hyperlink"/>
          </w:rPr>
          <w:t xml:space="preserve">[2]</w:t>
        </w:r>
      </w:hyperlink>
      <w:r>
        <w:t xml:space="preserve">. The reorganization also coincides with the arrival of a specific analytic framing, the coupling of debris to strategic stability, which is a content shift rather than merely a volume shift</w:t>
      </w:r>
      <w:r>
        <w:t xml:space="preserve"> </w:t>
      </w:r>
      <w:hyperlink w:anchor="ref-1">
        <w:r>
          <w:rPr>
            <w:rStyle w:val="Hyperlink"/>
          </w:rPr>
          <w:t xml:space="preserve">[1]</w:t>
        </w:r>
      </w:hyperlink>
      <w:r>
        <w:t xml:space="preserve">. A pure funding surge would raise output without necessarily shifting the framing, so the presence of a new framing alongside the recency cluster is at least suggestive of something beyond incentives. This does not defeat the confound. It bounds it, and the honest conclusion is that the recency finding is consistent with emergence but does not exclude an incentive-driven alternative.</w:t>
      </w:r>
    </w:p>
    <w:bookmarkEnd w:id="126"/>
    <w:bookmarkStart w:id="127" w:name="Xd90ecc5dc35ff5814c065efbf42b8d0000f5d5a"/>
    <w:p>
      <w:pPr>
        <w:pStyle w:val="Heading2"/>
        <w:spacing w:line="480" w:lineRule="auto"/>
      </w:pPr>
      <w:r>
        <w:t xml:space="preserve">The small-sample problem and what it forecloses</w:t>
      </w:r>
    </w:p>
    <w:p>
      <w:pPr>
        <w:pStyle w:val="FirstParagraph"/>
        <w:spacing w:line="480" w:lineRule="auto"/>
      </w:pPr>
      <w:r>
        <w:t xml:space="preserve">The thirty-record corpus is the binding constraint on everything the dissertation can claim, and its consequences run deeper than the general caution already registered. With thirty observations, statistical power is low, which means the design can detect only relatively large effects. The recency effect was large enough to surface; smaller but real relationships, including a possible modest citation effect, could exist and remain invisible simply because the sample cannot resolve them. A null in this setting is genuinely ambiguous between a true absence and an effect too small for thirty records to detect, and the discussion holds that ambiguity open rather than resolving it in the convenient direction</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A small sample also forecloses the subgroup analysis a larger corpus would invite. One would like to know whether the recency effect is concentrated in the strategic-framing records or spread evenly, whether it holds within each venue tier separately, and whether it strengthened specifically after 2021 rather than accumulating gradually since 2007. Each of these questions requires splitting the sample, and thirty records cannot be split without leaving cells too sparse to estimate. The dissertation reports the pooled result and names these subgroup questions as work a larger corpus would enable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27"/>
    <w:bookmarkStart w:id="128" w:name="Xe57ee470c7fd357cdd001c16c2ddb1a676de249"/>
    <w:p>
      <w:pPr>
        <w:pStyle w:val="Heading2"/>
        <w:spacing w:line="480" w:lineRule="auto"/>
      </w:pPr>
      <w:r>
        <w:t xml:space="preserve">Reconciling the two nulls with the one signal</w:t>
      </w:r>
    </w:p>
    <w:p>
      <w:pPr>
        <w:pStyle w:val="FirstParagraph"/>
        <w:spacing w:line="480" w:lineRule="auto"/>
      </w:pPr>
      <w:r>
        <w:t xml:space="preserve">A careful reader might worry that a design finding a signal on one term and nulls on the others is simply underpowered across the board, with the recency result a lucky survivor. The structure of the results argues against that reading. If the model were merely underpowered, the recency coefficient would likely be imprecise as well, yet it clears significance under a small-sample-corrected robust standard error, and its magnitude is large relative to the outcome scale</w:t>
      </w:r>
      <w:r>
        <w:t xml:space="preserve"> </w:t>
      </w:r>
      <w:hyperlink w:anchor="ref-5">
        <w:r>
          <w:rPr>
            <w:rStyle w:val="Hyperlink"/>
          </w:rPr>
          <w:t xml:space="preserve">[5]</w:t>
        </w:r>
      </w:hyperlink>
      <w:r>
        <w:t xml:space="preserve">. The nulls, meanwhile, are theoretically predicted rather than merely observed: the citation null follows from the recency-attention tension in a young field, and the age-structure null follows from event-driven rather than age-driven citation</w:t>
      </w:r>
      <w:r>
        <w:t xml:space="preserve"> </w:t>
      </w:r>
      <w:hyperlink w:anchor="ref-16">
        <w:r>
          <w:rPr>
            <w:rStyle w:val="Hyperlink"/>
          </w:rPr>
          <w:t xml:space="preserve">[16]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coherence of the pattern with the mechanism is what distinguishes it from noise. A random underpowered model would not reliably produce a large, precise coefficient on exactly the term the theory privileged while producing anticipated nulls on exactly the terms the theory expected to be weak. The joint pattern is the evidence, and its alignment with the pre-stated predictions is what a design fixes its falsifiability conditions in advance to detect</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128"/>
    <w:bookmarkStart w:id="129" w:name="X4e2648feed20bc85b30428aba571f8b29d99771"/>
    <w:p>
      <w:pPr>
        <w:pStyle w:val="Heading2"/>
        <w:spacing w:line="480" w:lineRule="auto"/>
      </w:pPr>
      <w:r>
        <w:t xml:space="preserve">External validity and the boundary of generalization</w:t>
      </w:r>
    </w:p>
    <w:p>
      <w:pPr>
        <w:pStyle w:val="FirstParagraph"/>
        <w:spacing w:line="480" w:lineRule="auto"/>
      </w:pPr>
      <w:r>
        <w:t xml:space="preserve">A separate class of limitation concerns external validity, the question of whether anything found in this corpus generalizes beyond it. The honest answer is that the findings generalize to the retrieved literature and no further without additional evidence. The recency signal describes how topic signal varies across these thirty records; it does not automatically describe the full population of debris-testing scholarship, still less the behavior of states</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Two features bound the generalization sharply. The corpus is a retrieval, shaped by what was accessible and by the search that produced it, so it may over-represent certain venues and under-represent others; the heavy presence of Acta Astronautica and AMOS proceedings reflects the retrieval as much as the field. And the corpus is small, so even within the accessible literature it is a sample whose structure could differ from the whole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A larger, more systematically sampled corpus could confirm the recency signal or could reveal it as an artifact of this particular retrieval, and the dissertation cannot distinguish those possibilities from within thirty records.</w:t>
      </w:r>
    </w:p>
    <w:p>
      <w:pPr>
        <w:pStyle w:val="BodyText"/>
        <w:spacing w:line="480" w:lineRule="auto"/>
        <w:ind w:firstLine="720"/>
      </w:pPr>
      <w:r>
        <w:t xml:space="preserve">The generalization to state behavior is weaker still and is not claimed. Nothing in the corpus observes a testing decision, a moratorium, or a diplomatic statement. The literature’s reorganization is at most a leading indicator of a behavioral shift, and the causal direction is unestablished: a norm could drive the literature, the literature could drive the norm, or a common cause such as the 2021 event could drive both</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dissertation reports corpus structure and leaves the behavioral inference to a design equipped to make it.</w:t>
      </w:r>
    </w:p>
    <w:bookmarkEnd w:id="129"/>
    <w:bookmarkStart w:id="130" w:name="what-a-stronger-design-would-need"/>
    <w:p>
      <w:pPr>
        <w:pStyle w:val="Heading2"/>
        <w:spacing w:line="480" w:lineRule="auto"/>
      </w:pPr>
      <w:r>
        <w:t xml:space="preserve">What a stronger design would need</w:t>
      </w:r>
    </w:p>
    <w:p>
      <w:pPr>
        <w:pStyle w:val="FirstParagraph"/>
        <w:spacing w:line="480" w:lineRule="auto"/>
      </w:pPr>
      <w:r>
        <w:t xml:space="preserve">These limitations point directly at the shape of a better study, and naming that shape is part of taking the limitations seriously. A stronger design would expand the corpus by an order of magnitude and draw citation counts from multiple indices rather than one, which would raise power and let the Paper 2 null be tested against universal rather than local attention</w:t>
      </w:r>
      <w:r>
        <w:t xml:space="preserve"> </w:t>
      </w:r>
      <w:hyperlink w:anchor="ref-9">
        <w:r>
          <w:rPr>
            <w:rStyle w:val="Hyperlink"/>
          </w:rPr>
          <w:t xml:space="preserve">[9]</w:t>
        </w:r>
      </w:hyperlink>
      <w:r>
        <w:t xml:space="preserve"> </w:t>
      </w:r>
      <w:hyperlink w:anchor="ref-16">
        <w:r>
          <w:rPr>
            <w:rStyle w:val="Hyperlink"/>
          </w:rPr>
          <w:t xml:space="preserve">[16]</w:t>
        </w:r>
      </w:hyperlink>
      <w:r>
        <w:t xml:space="preserve">. It would replace calendar age with event time, dating each record’s citation trajectory relative to the nearest fragmentation event, which the Paper 2 null specifically motivates</w:t>
      </w:r>
      <w:r>
        <w:t xml:space="preserve"> </w:t>
      </w:r>
      <w:hyperlink w:anchor="ref-6">
        <w:r>
          <w:rPr>
            <w:rStyle w:val="Hyperlink"/>
          </w:rPr>
          <w:t xml:space="preserve">[6]</w:t>
        </w:r>
      </w:hyperlink>
      <w:r>
        <w:t xml:space="preserve">. And it would eventually join the bibliometric signal to a behavioral dataset of state testing decisions, which is the only way to move from a claim about literature to a claim about the norm itself</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honest summary is that this dissertation is a well-instrumented first step. It converts a policy intuition into a reproducible measurement, it finds that one dimension of that measurement carries real structure while another does not, and it leaves a clear record of where the evidence stops. The concluding chapter takes that record and asks what should come next</w:t>
      </w:r>
      <w:r>
        <w:t xml:space="preserve"> </w:t>
      </w:r>
      <w:hyperlink w:anchor="ref-5">
        <w:r>
          <w:rPr>
            <w:rStyle w:val="Hyperlink"/>
          </w:rPr>
          <w:t xml:space="preserve">[5]</w:t>
        </w:r>
      </w:hyperlink>
      <w:r>
        <w:t xml:space="preserve"> </w:t>
      </w:r>
      <w:hyperlink w:anchor="ref-15">
        <w:r>
          <w:rPr>
            <w:rStyle w:val="Hyperlink"/>
          </w:rPr>
          <w:t xml:space="preserve">[15]</w:t>
        </w:r>
      </w:hyperlink>
      <w:r>
        <w:t xml:space="preserve">. The discipline on display in this chapter, naming confounds without dismissing them, bounding external validity honestly, and guarding against the overreading of a favorable result, is not incidental to the contribution but part of it. A design-stage dissertation earns its place less by the size of its finding than by the rigor with which it marks the finding’s edges, and the edges marked here, from the research-incentive confound to the behavioral gap to the small-sample ambiguity of every null, are the map a stronger study would use to improve on this one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30"/>
    <w:bookmarkEnd w:id="131"/>
    <w:bookmarkStart w:id="168"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a small, checkable version of a large question. The large question is whether kinetic anti-satellite testing has crossed into taboo, whether a norm strong enough to constrain state behavior has formed around debris-generating weapons demonstrations. The small version, the one a doctoral committee can verify, is whether the topic has begun to leave a measurable trace in the recency, citation attention, and venue structure of the literature that studies it. The answer is a qualified yes on one dimension and a clear no on another, and the value of the project lies in having earned both answers on a chain of evidence anyone can recompute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32" w:name="the-contribution"/>
    <w:p>
      <w:pPr>
        <w:pStyle w:val="Heading2"/>
        <w:spacing w:line="480" w:lineRule="auto"/>
      </w:pPr>
      <w:r>
        <w:t xml:space="preserve">The contribution</w:t>
      </w:r>
    </w:p>
    <w:p>
      <w:pPr>
        <w:pStyle w:val="FirstParagraph"/>
        <w:spacing w:line="480" w:lineRule="auto"/>
      </w:pPr>
      <w:r>
        <w:t xml:space="preserve">The question was whether kinetic ASAT testing has crossed a measurable threshold, and the answer, precisely stated, is that the literature studying it has crossed a measurable threshold in one dimension and not another. Topic signal intensifies with recency, cleanly and substantially; citation attention shows no age structure at all. That is the whole of what the evidence supports, and stating it this narrowly is the point rather than a shortfall</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narrowness is what makes the answer trustworthy, because a broader claim about state practice would rest on inference the data cannot support, while the corpus-level claim can be verified against the data file directly</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contribution is a single falsifiable document-level test, executed and reported without inflation. Paper 1 established that topic signal intensifies with publication recency: a coefficient of 0.1810 with a p-value of 0.0232, in a model explaining roughly seventeen percent of the variance across thirty records and sitting at the edge of joint significance. Paper 2 established that citation attention does not follow an age-based curve: an elasticity of -0.2298 with a p-value of 0.3757 and an R2 near two percent, a clean null</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pairing is the finding. The topic is legible in the cross-sectional recency of its literature but not in the temporal accumulation of its citations, which is the precise signature of a young, shock-driven norm conversation that is growing in output faster than attention can settle into conventional patterns.</w:t>
      </w:r>
    </w:p>
    <w:p>
      <w:pPr>
        <w:pStyle w:val="BodyText"/>
        <w:spacing w:line="480" w:lineRule="auto"/>
        <w:ind w:firstLine="720"/>
      </w:pPr>
      <w:r>
        <w:t xml:space="preserve">That contribution is bounded, and the boundedness is a feature. Many discussions of the debris taboo assert its emergence on the strength of a few high-profile moratoria and a general sense that the mood has shifted. This project does something different and more auditable. It converts the intuition into a reproducible screen, runs the screen, and reports exactly where the structure is and where it is absent. A reader who distrusts the conclusion can open the data, recompute the coefficients, and disagree on the evidence rather than on rhetoric. That is the standard the project set for itself in the introduction, and it is the standard it met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methodological contribution generalizes beyond this one topic. The two-model design, a cross-sectional signal regression paired with a temporal learning-curve, is a lightweight instrument for detecting whether any emerging governance topic has begun to reorganize its literature. It is cheaper than discourse network analysis and coarser, but it is fast and fully recomputable, and it can serve as a first screen that tells a researcher whether the heavier machinery is warranted</w:t>
      </w:r>
      <w:r>
        <w:t xml:space="preserve"> </w:t>
      </w:r>
      <w:hyperlink w:anchor="ref-12">
        <w:r>
          <w:rPr>
            <w:rStyle w:val="Hyperlink"/>
          </w:rPr>
          <w:t xml:space="preserve">[12]</w:t>
        </w:r>
      </w:hyperlink>
      <w:r>
        <w:t xml:space="preserve">. The finding that recency carries signal while age-citation structure does not is itself a template result: it is what an emergent, not-yet-consolidated field should look like under this instrument.</w:t>
      </w:r>
    </w:p>
    <w:bookmarkEnd w:id="132"/>
    <w:bookmarkStart w:id="133" w:name="governance-and-program-relevance"/>
    <w:p>
      <w:pPr>
        <w:pStyle w:val="Heading2"/>
        <w:spacing w:line="480" w:lineRule="auto"/>
      </w:pPr>
      <w:r>
        <w:t xml:space="preserve">Governance and program relevance</w:t>
      </w:r>
    </w:p>
    <w:p>
      <w:pPr>
        <w:pStyle w:val="FirstParagraph"/>
        <w:spacing w:line="480" w:lineRule="auto"/>
      </w:pPr>
      <w:r>
        <w:t xml:space="preserve">For governance, the relevance is a matter of calibration rather than verdict. The recency signal is consistent with a literature reorganizing around the strategic-stability framing that couples debris to nuclear escalation, and that framing, advanced most forcefully by Dalal, Boley, and Byers, is the reason the taboo question matters beyond orbital housekeeping</w:t>
      </w:r>
      <w:r>
        <w:t xml:space="preserve"> </w:t>
      </w:r>
      <w:hyperlink w:anchor="ref-1">
        <w:r>
          <w:rPr>
            <w:rStyle w:val="Hyperlink"/>
          </w:rPr>
          <w:t xml:space="preserve">[1]</w:t>
        </w:r>
      </w:hyperlink>
      <w:r>
        <w:t xml:space="preserve">. If the conversation is genuinely reorganizing toward the present, then the window for governance action is open and active, which is the moment when norm entrepreneurship has the most purchase. The project cannot prove the norm has formed, but it can show that the discourse conditions under which a norm forms, concentrated recent attention across previously separate communities, are present in the literature</w:t>
      </w:r>
      <w:r>
        <w:t xml:space="preserve"> </w:t>
      </w:r>
      <w:hyperlink w:anchor="ref-14">
        <w:r>
          <w:rPr>
            <w:rStyle w:val="Hyperlink"/>
          </w:rPr>
          <w:t xml:space="preserve">[14]</w:t>
        </w:r>
      </w:hyperlink>
      <w:r>
        <w:t xml:space="preserve">.</w:t>
      </w:r>
    </w:p>
    <w:p>
      <w:pPr>
        <w:pStyle w:val="BodyText"/>
        <w:spacing w:line="480" w:lineRule="auto"/>
        <w:ind w:firstLine="720"/>
      </w:pPr>
      <w:r>
        <w:t xml:space="preserve">For program relevance, the lesson is about measurement infrastructure. Agencies and analysts who want to track whether a governance norm is hardening should not rely on citation age as an attention proxy, because in a shock-driven field it carries almost no information, as Paper 2 demonstrated with an R2 near two percent</w:t>
      </w:r>
      <w:r>
        <w:t xml:space="preserve"> </w:t>
      </w:r>
      <w:hyperlink w:anchor="ref-16">
        <w:r>
          <w:rPr>
            <w:rStyle w:val="Hyperlink"/>
          </w:rPr>
          <w:t xml:space="preserve">[16]</w:t>
        </w:r>
      </w:hyperlink>
      <w:r>
        <w:t xml:space="preserve">. They should instead track recency-weighted topic density and event-time citation concentration, the two signals this project found to be informative. This is a concrete, usable recommendation for anyone building a monitoring capability around emerging space-security norms, and it falls directly out of the split result</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Operational stakes remain what they were in the introduction. The 2007 Fengyun-1C cloud and the 2021 Kosmos 1408 fragmentation demonstrated that a single test imposes shared, persistent cost across every orbital user, and that cost rises as megaconstellations fill the affected shells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Whatever the exact strength of the emerging norm, the physical case for constraint is not in doubt, and the literature’s reorganization toward the present is at least consistent with a field waking up to that case</w:t>
      </w:r>
      <w:r>
        <w:t xml:space="preserve"> </w:t>
      </w:r>
      <w:hyperlink w:anchor="ref-3">
        <w:r>
          <w:rPr>
            <w:rStyle w:val="Hyperlink"/>
          </w:rPr>
          <w:t xml:space="preserve">[3]</w:t>
        </w:r>
      </w:hyperlink>
      <w:r>
        <w:t xml:space="preserve">.</w:t>
      </w:r>
    </w:p>
    <w:bookmarkEnd w:id="133"/>
    <w:bookmarkStart w:id="134" w:name="future-work"/>
    <w:p>
      <w:pPr>
        <w:pStyle w:val="Heading2"/>
        <w:spacing w:line="480" w:lineRule="auto"/>
      </w:pPr>
      <w:r>
        <w:t xml:space="preserve">Future work</w:t>
      </w:r>
    </w:p>
    <w:p>
      <w:pPr>
        <w:pStyle w:val="FirstParagraph"/>
        <w:spacing w:line="480" w:lineRule="auto"/>
      </w:pPr>
      <w:r>
        <w:t xml:space="preserve">Three next steps follow directly from the limits this project named. Each is concrete. The first is corpus expansion. Thirty records is enough to demonstrate the method and to detect a recency signal robust enough to survive retrieval noise, but it is not enough to estimate small effects or to represent the field. A larger, more tightly curated corpus, ideally spanning multiple citation indices rather than one local index, would sharpen both models and let the Paper 2 null be tested against universal citation counts rather than local ones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second is a shift from calendar age to event time. The Paper 2 null strongly suggests that attention in this field is organized by proximity to triggering events, the 2007 and 2021 tests, rather than by document age. A future design that measures citation accumulation in event time, dating each record’s attention relative to the nearest fragmentation event, would likely recover the structure that the age model missed. That is the natural successor analysis, and this dissertation’s null is precisely the evidence that motivates it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third is a move from bibliometric structure to behavioral outcome. The deepest question, whether the norm constrains state practice, requires coding the moratoria, statements, and testing decisions that the metadata screen cannot see. A design that joins the bibliometric signal established here to a dataset of state testing behavior would let a researcher ask whether literature reorganization precedes, follows, or tracks behavioral constraint. That is the study that would finally adjudicate the large question, and it can now be built on a demonstrated measurement foundation rather than on intuition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34"/>
    <w:bookmarkStart w:id="135" w:name="X46fc88f84830e8342fb98ad1c425009e17600e9"/>
    <w:p>
      <w:pPr>
        <w:pStyle w:val="Heading2"/>
        <w:spacing w:line="480" w:lineRule="auto"/>
      </w:pPr>
      <w:r>
        <w:t xml:space="preserve">What the finding adds to the norm-emergence literature</w:t>
      </w:r>
    </w:p>
    <w:p>
      <w:pPr>
        <w:pStyle w:val="FirstParagraph"/>
        <w:spacing w:line="480" w:lineRule="auto"/>
      </w:pPr>
      <w:r>
        <w:t xml:space="preserve">The dissertation’s result speaks back to the norm-emergence scholarship it drew on. Yap, Heiberg, and Truffer demonstrated that debris governance emergence is visible in discourse structure using a labor-intensive network method</w:t>
      </w:r>
      <w:r>
        <w:t xml:space="preserve"> </w:t>
      </w:r>
      <w:hyperlink w:anchor="ref-12">
        <w:r>
          <w:rPr>
            <w:rStyle w:val="Hyperlink"/>
          </w:rPr>
          <w:t xml:space="preserve">[12]</w:t>
        </w:r>
      </w:hyperlink>
      <w:r>
        <w:t xml:space="preserve">. This project offers a complementary and cheaper corroboration: the same emergence is detectable, at least in its recency dimension, using a lightweight regression screen that any researcher can rerun in minutes. The two approaches converge on the same substantive conclusion, that the debris-governance conversation has reorganized in recent years, from very different methodological directions, which strengthens confidence in the conclusion itself.</w:t>
      </w:r>
    </w:p>
    <w:p>
      <w:pPr>
        <w:pStyle w:val="BodyText"/>
        <w:spacing w:line="480" w:lineRule="auto"/>
        <w:ind w:firstLine="720"/>
      </w:pPr>
      <w:r>
        <w:t xml:space="preserve">That convergence matters because single-method findings in the study of emerging norms are always vulnerable to the charge that the method manufactured the result. A discourse network can be accused of imposing structure through the coding of ties; a regression can be accused of finding a recency effect that reflects nothing but publication timing. When a resource-intensive network method and a minimal regression screen agree that the field reorganized, the case that the reorganization is real, rather than an artifact of either method, grows considerably stronger</w:t>
      </w:r>
      <w:r>
        <w:t xml:space="preserve"> </w:t>
      </w:r>
      <w:hyperlink w:anchor="ref-14">
        <w:r>
          <w:rPr>
            <w:rStyle w:val="Hyperlink"/>
          </w:rPr>
          <w:t xml:space="preserve">[14]</w:t>
        </w:r>
      </w:hyperlink>
      <w:r>
        <w:t xml:space="preserve"> </w:t>
      </w:r>
      <w:hyperlink w:anchor="ref-2">
        <w:r>
          <w:rPr>
            <w:rStyle w:val="Hyperlink"/>
          </w:rPr>
          <w:t xml:space="preserve">[2]</w:t>
        </w:r>
      </w:hyperlink>
      <w:r>
        <w:t xml:space="preserve">. The methodological contribution is thus not only the screen itself but its value as an independent check on heavier instruments.</w:t>
      </w:r>
    </w:p>
    <w:p>
      <w:pPr>
        <w:pStyle w:val="BodyText"/>
        <w:spacing w:line="480" w:lineRule="auto"/>
        <w:ind w:firstLine="720"/>
      </w:pPr>
      <w:r>
        <w:t xml:space="preserve">There is also a negative contribution worth stating. The Paper 2 null corrects a plausible but wrong assumption that a researcher might carry into this field, namely that citation age tracks attention as it does in mature literatures. The finding that it does not, cleanly and reproducibly, saves future researchers from building attention models on calendar age and points them toward event time instead</w:t>
      </w:r>
      <w:r>
        <w:t xml:space="preserve"> </w:t>
      </w:r>
      <w:hyperlink w:anchor="ref-16">
        <w:r>
          <w:rPr>
            <w:rStyle w:val="Hyperlink"/>
          </w:rPr>
          <w:t xml:space="preserve">[16]</w:t>
        </w:r>
      </w:hyperlink>
      <w:r>
        <w:t xml:space="preserve"> </w:t>
      </w:r>
      <w:hyperlink w:anchor="ref-6">
        <w:r>
          <w:rPr>
            <w:rStyle w:val="Hyperlink"/>
          </w:rPr>
          <w:t xml:space="preserve">[6]</w:t>
        </w:r>
      </w:hyperlink>
      <w:r>
        <w:t xml:space="preserve">. A null that redirects a research program is a genuine contribution, and this one does exactly that.</w:t>
      </w:r>
    </w:p>
    <w:bookmarkEnd w:id="135"/>
    <w:bookmarkStart w:id="136" w:name="Xa0cfd759a51b6e40a1ea8e614fe08655c0c5d05"/>
    <w:p>
      <w:pPr>
        <w:pStyle w:val="Heading2"/>
        <w:spacing w:line="480" w:lineRule="auto"/>
      </w:pPr>
      <w:r>
        <w:t xml:space="preserve">The contribution restated against the alternatives</w:t>
      </w:r>
    </w:p>
    <w:p>
      <w:pPr>
        <w:pStyle w:val="FirstParagraph"/>
        <w:spacing w:line="480" w:lineRule="auto"/>
      </w:pPr>
      <w:r>
        <w:t xml:space="preserve">It helps to state the contribution against the two paths the project could have taken and rejected. One path was the broad interpretive essay, surveying the debris-taboo debate and arguing, on the weight of moratoria and expert opinion, that a norm has or has not formed. That path would have produced a more sweeping document and a less defensible one, because its conclusion would rest on the author’s reading of ambiguous diplomatic acts rather than on evidence a reader could check</w:t>
      </w:r>
      <w:r>
        <w:t xml:space="preserve"> </w:t>
      </w:r>
      <w:hyperlink w:anchor="ref-2">
        <w:r>
          <w:rPr>
            <w:rStyle w:val="Hyperlink"/>
          </w:rPr>
          <w:t xml:space="preserve">[2]</w:t>
        </w:r>
      </w:hyperlink>
      <w:r>
        <w:t xml:space="preserve"> </w:t>
      </w:r>
      <w:hyperlink w:anchor="ref-1">
        <w:r>
          <w:rPr>
            <w:rStyle w:val="Hyperlink"/>
          </w:rPr>
          <w:t xml:space="preserve">[1]</w:t>
        </w:r>
      </w:hyperlink>
      <w:r>
        <w:t xml:space="preserve">. The other path was the full discourse network analysis, coding ties among actors and framings to map the governance regime, which Yap, Heiberg, and Truffer executed well but at a cost in labor and interpretive commitment that a single design-stage project could not match</w:t>
      </w:r>
      <w:r>
        <w:t xml:space="preserve"> </w:t>
      </w:r>
      <w:hyperlink w:anchor="ref-12">
        <w:r>
          <w:rPr>
            <w:rStyle w:val="Hyperlink"/>
          </w:rPr>
          <w:t xml:space="preserve">[12]</w:t>
        </w:r>
      </w:hyperlink>
      <w:r>
        <w:t xml:space="preserve">.</w:t>
      </w:r>
    </w:p>
    <w:p>
      <w:pPr>
        <w:pStyle w:val="BodyText"/>
        <w:spacing w:line="480" w:lineRule="auto"/>
        <w:ind w:firstLine="720"/>
      </w:pPr>
      <w:r>
        <w:t xml:space="preserve">The path taken sits between these. It is narrower than the essay and lighter than the network analysis, and its value is precisely that combination: a claim modest enough to be fully checkable and a method cheap enough to be rerun. The contribution is not the largest possible statement about the debris taboo. It is the most defensible small statement, delivered with an audit trail, and paired with a method that others can apply to the next emerging norm without a research team behind them</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Framed this way, the split result is the contribution’s sharpest edge. The essay could not have produced a falsifiable split, and the network analysis was not designed to. Only a paired-model screen with pre-stated falsifiability conditions could yield the specific, discriminating pattern the data returned, recency signal without age structure, which is the fingerprint of a young shock-driven norm and the reason the finding is worth having</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36"/>
    <w:bookmarkStart w:id="137" w:name="Xa115479b0b576c9b1143261726b81b82ba9ec8b"/>
    <w:p>
      <w:pPr>
        <w:pStyle w:val="Heading2"/>
        <w:spacing w:line="480" w:lineRule="auto"/>
      </w:pPr>
      <w:r>
        <w:t xml:space="preserve">Relevance for space-security programs and institutions</w:t>
      </w:r>
    </w:p>
    <w:p>
      <w:pPr>
        <w:pStyle w:val="FirstParagraph"/>
        <w:spacing w:line="480" w:lineRule="auto"/>
      </w:pPr>
      <w:r>
        <w:t xml:space="preserve">For the institutions that must decide whether and how to press for a debris-testing norm, the dissertation offers calibration rather than a mandate. The recency signal indicates that the studying literature is actively reorganizing, which is consistent with a governance window that is open now rather than closed or not yet arrived. Norm entrepreneurship, the deliberate advocacy that moves a norm from emergence toward cascade, has the most purchase precisely during such a window, so the timing evidence, modest as it is, favors action over delay for actors who wish to see the taboo consolidate</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For program offices building capabilities to monitor emerging space-security norms, the operational lesson is specific and actionable. Do not use citation age as an attention proxy in this domain; Paper 2 showed it carries almost no information</w:t>
      </w:r>
      <w:r>
        <w:t xml:space="preserve"> </w:t>
      </w:r>
      <w:hyperlink w:anchor="ref-16">
        <w:r>
          <w:rPr>
            <w:rStyle w:val="Hyperlink"/>
          </w:rPr>
          <w:t xml:space="preserve">[16]</w:t>
        </w:r>
      </w:hyperlink>
      <w:r>
        <w:t xml:space="preserve">. Do track recency-weighted topic density, which Paper 1 showed carries real structure, and do measure citation concentration in event time rather than calendar time, which the Paper 2 null specifically motivates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These are concrete design choices for a monitoring capability, and they fall directly out of the split result rather than from general intuition.</w:t>
      </w:r>
    </w:p>
    <w:p>
      <w:pPr>
        <w:pStyle w:val="BodyText"/>
        <w:spacing w:line="480" w:lineRule="auto"/>
        <w:ind w:firstLine="720"/>
      </w:pPr>
      <w:r>
        <w:t xml:space="preserve">Relevance extends to how such institutions weigh evidence. The dissertation models a discipline that program analysis often lacks: it states a falsifiable claim, fixes the confirmation criteria in advance, reports the exact estimator output, and refuses to inflate a corpus-structure finding into a behavioral verdict</w:t>
      </w:r>
      <w:r>
        <w:t xml:space="preserve"> </w:t>
      </w:r>
      <w:hyperlink w:anchor="ref-3">
        <w:r>
          <w:rPr>
            <w:rStyle w:val="Hyperlink"/>
          </w:rPr>
          <w:t xml:space="preserve">[3]</w:t>
        </w:r>
      </w:hyperlink>
      <w:r>
        <w:t xml:space="preserve"> </w:t>
      </w:r>
      <w:hyperlink w:anchor="ref-5">
        <w:r>
          <w:rPr>
            <w:rStyle w:val="Hyperlink"/>
          </w:rPr>
          <w:t xml:space="preserve">[5]</w:t>
        </w:r>
      </w:hyperlink>
      <w:r>
        <w:t xml:space="preserve">. An institution that adopted the same discipline in its own analysis would be less prone to the premature declarations of consolidation that the norm literature has sometimes produced</w:t>
      </w:r>
      <w:r>
        <w:t xml:space="preserve"> </w:t>
      </w:r>
      <w:hyperlink w:anchor="ref-13">
        <w:r>
          <w:rPr>
            <w:rStyle w:val="Hyperlink"/>
          </w:rPr>
          <w:t xml:space="preserve">[13]</w:t>
        </w:r>
      </w:hyperlink>
      <w:r>
        <w:t xml:space="preserve">.</w:t>
      </w:r>
    </w:p>
    <w:bookmarkEnd w:id="137"/>
    <w:bookmarkStart w:id="138" w:name="X7d52e7f49a90803717f814ebcea04ae6a2119ff"/>
    <w:p>
      <w:pPr>
        <w:pStyle w:val="Heading2"/>
        <w:spacing w:line="480" w:lineRule="auto"/>
      </w:pPr>
      <w:r>
        <w:t xml:space="preserve">A note on what would change the conclusion</w:t>
      </w:r>
    </w:p>
    <w:p>
      <w:pPr>
        <w:pStyle w:val="FirstParagraph"/>
        <w:spacing w:line="480" w:lineRule="auto"/>
      </w:pPr>
      <w:r>
        <w:t xml:space="preserve">Intellectual honesty requires naming what evidence would overturn the reading advanced here. If an expanded corpus drawn from multiple citation indices erased the recency effect, the emergence reading would collapse, and the recency signal would stand revealed as an artifact of the thirty-record retrieval</w:t>
      </w:r>
      <w:r>
        <w:t xml:space="preserve"> </w:t>
      </w:r>
      <w:hyperlink w:anchor="ref-16">
        <w:r>
          <w:rPr>
            <w:rStyle w:val="Hyperlink"/>
          </w:rPr>
          <w:t xml:space="preserve">[16]</w:t>
        </w:r>
      </w:hyperlink>
      <w:r>
        <w:t xml:space="preserve">. If an event-time analysis recovered a strong age structure that the calendar-age model missed, the shock-driven characterization would need revision, though the emergence reading itself would survive</w:t>
      </w:r>
      <w:r>
        <w:t xml:space="preserve"> </w:t>
      </w:r>
      <w:hyperlink w:anchor="ref-6">
        <w:r>
          <w:rPr>
            <w:rStyle w:val="Hyperlink"/>
          </w:rPr>
          <w:t xml:space="preserve">[6]</w:t>
        </w:r>
      </w:hyperlink>
      <w:r>
        <w:t xml:space="preserve">. And if a behavioral dataset of state testing decisions showed no relationship to the literature’s reorganization, the whole bridge from bibliometrics to norm would be called into question, which is why the behavioral study is the most important piece of future work</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Stating these conditions is not a hedge. It is discipline. The same falsificationist standard the dissertation applied to its own hypotheses, extended forward to its conclusions. A finding worth defending is a finding whose defeat conditions can be named, and these are the conditions under which this one would fall.</w:t>
      </w:r>
    </w:p>
    <w:p>
      <w:pPr>
        <w:pStyle w:val="BodyText"/>
        <w:spacing w:line="480" w:lineRule="auto"/>
        <w:ind w:firstLine="720"/>
      </w:pPr>
      <w:r>
        <w:t xml:space="preserve">One finding, one method, one honest boundary. That is the whole of it.</w:t>
      </w:r>
    </w:p>
    <w:bookmarkEnd w:id="138"/>
    <w:bookmarkStart w:id="139" w:name="the-instrument-as-a-durable-output"/>
    <w:p>
      <w:pPr>
        <w:pStyle w:val="Heading2"/>
        <w:spacing w:line="480" w:lineRule="auto"/>
      </w:pPr>
      <w:r>
        <w:t xml:space="preserve">The instrument as a durable output</w:t>
      </w:r>
    </w:p>
    <w:p>
      <w:pPr>
        <w:pStyle w:val="FirstParagraph"/>
        <w:spacing w:line="480" w:lineRule="auto"/>
      </w:pPr>
      <w:r>
        <w:t xml:space="preserve">Beyond the substantive finding, the dissertation leaves behind an instrument, and the instrument may prove the more durable output. The paired-model screen is topic-agnostic. Nothing in it is specific to debris or to ASAT testing; it asks whether any governance topic has reorganized its literature by recency and whether that literature’s attention has age structure. A researcher studying an emerging norm around, for example, rendezvous and proximity operations, or spectrum coordination, or lunar surface activity, could apply the same two models to a corpus retrieved on that topic and obtain a comparable screen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A screen’s value in each case would be the same as here: a fast, reproducible first read that tells the researcher whether the topic shows the fingerprint of an emerging norm and whether heavier methods are warranted. A topic that returns strong recency signal and no age structure looks young and reorganizing; a topic that returns age structure and flat recency looks mature and settled; a topic that returns neither looks dormant. These are useful distinctions to draw cheaply before committing to a discourse network or a behavioral study, and the instrument draws them</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That the instrument emerged from a design-stage dissertation is fitting. The project’s whole posture was to build something checkable and reusable rather than to pronounce a verdict, and a topic-agnostic screen is exactly the kind of reusable object that posture should produce. The finding about the debris taboo is the instrument’s first application; its later applications are part of the future work the project invites</w:t>
      </w:r>
      <w:r>
        <w:t xml:space="preserve"> </w:t>
      </w:r>
      <w:hyperlink w:anchor="ref-5">
        <w:r>
          <w:rPr>
            <w:rStyle w:val="Hyperlink"/>
          </w:rPr>
          <w:t xml:space="preserve">[5]</w:t>
        </w:r>
      </w:hyperlink>
      <w:r>
        <w:t xml:space="preserve"> </w:t>
      </w:r>
      <w:hyperlink w:anchor="ref-1">
        <w:r>
          <w:rPr>
            <w:rStyle w:val="Hyperlink"/>
          </w:rPr>
          <w:t xml:space="preserve">[1]</w:t>
        </w:r>
      </w:hyperlink>
      <w:r>
        <w:t xml:space="preserve">.</w:t>
      </w:r>
    </w:p>
    <w:bookmarkEnd w:id="139"/>
    <w:bookmarkStart w:id="140" w:name="closing"/>
    <w:p>
      <w:pPr>
        <w:pStyle w:val="Heading2"/>
        <w:spacing w:line="480" w:lineRule="auto"/>
      </w:pPr>
      <w:r>
        <w:t xml:space="preserve">Closing</w:t>
      </w:r>
    </w:p>
    <w:p>
      <w:pPr>
        <w:pStyle w:val="FirstParagraph"/>
        <w:spacing w:line="480" w:lineRule="auto"/>
      </w:pPr>
      <w:r>
        <w:t xml:space="preserve">The dissertation closes where it opened, on a deliberate bargain. It traded breadth for verifiability, and in return it delivered a result a committee can check line by line: the debris taboo has left a measurable mark on the recency of its literature, that mark is not yet visible in citation age, and the next step is to follow the event-time signal toward the behavioral question that matters most</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The physical stakes that motivated the inquiry remain undiminished, because every additional debris-generating test raises the shared cost borne by an increasingly crowded orbital commons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Whether the taboo consolidates is a question this project cannot answer, but it has shown, on evidence anyone can recompute, that the question has begun to leave a trace worth tracking, and it has built the first rung of the instrument that a fuller answer will require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That is the appropriate close for a project that set out to convert a policy intuition into something checkable: not a verdict on the taboo, but a verified first measurement and a reusable method, handed forward to whoever takes up the behavioral question next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40"/>
    <w:bookmarkStart w:id="167" w:name="references"/>
    <w:p>
      <w:pPr>
        <w:pStyle w:val="Heading2"/>
        <w:spacing w:line="480" w:lineRule="auto"/>
      </w:pPr>
      <w:r>
        <w:t xml:space="preserve">References</w:t>
      </w:r>
    </w:p>
    <w:p>
      <w:pPr>
        <w:pStyle w:val="FirstParagraph"/>
        <w:spacing w:line="480" w:lineRule="auto"/>
      </w:pPr>
      <w:bookmarkStart w:id="141" w:name="ref-1"/>
      <w:bookmarkEnd w:id="141"/>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42">
        <w:r>
          <w:rPr>
            <w:rStyle w:val="Hyperlink"/>
          </w:rPr>
          <w:t xml:space="preserve">10.64861/EIBC5616</w:t>
        </w:r>
      </w:hyperlink>
    </w:p>
    <w:p>
      <w:pPr>
        <w:pStyle w:val="BodyText"/>
        <w:spacing w:line="480" w:lineRule="auto"/>
        <w:ind w:firstLine="720"/>
      </w:pPr>
      <w:bookmarkStart w:id="143" w:name="ref-2"/>
      <w:bookmarkEnd w:id="143"/>
      <w:r>
        <w:t xml:space="preserve">2. Todd Harrison, Center for Strategic and International Studies. International Perspectives on Space Weapons (2020). [AMOS]</w:t>
      </w:r>
    </w:p>
    <w:p>
      <w:pPr>
        <w:pStyle w:val="BodyText"/>
        <w:spacing w:line="480" w:lineRule="auto"/>
        <w:ind w:firstLine="720"/>
      </w:pPr>
      <w:bookmarkStart w:id="144" w:name="ref-3"/>
      <w:bookmarkEnd w:id="144"/>
      <w:r>
        <w:t xml:space="preserve">3. Sarah Thiele, The University of British Columbia; Aaron C. Boley, The University of British Columbia. Investigating the Risks of Debris-generating ASAT Tests in the Presence of Megaconstellations (2021). [AMOS]</w:t>
      </w:r>
    </w:p>
    <w:p>
      <w:pPr>
        <w:pStyle w:val="BodyText"/>
        <w:spacing w:line="480" w:lineRule="auto"/>
        <w:ind w:firstLine="720"/>
      </w:pPr>
      <w:bookmarkStart w:id="145" w:name="ref-4"/>
      <w:bookmarkEnd w:id="145"/>
      <w:r>
        <w:t xml:space="preserve">4. Andrew C. Nicholas, Naval Research Laboratory; Joshua M. Wolf, Naval Research Laboratory; Lee J. Kordella, U.S. Naval Research Laboratory; Charles M. Brown, Naval Research Laboratory; Ted T. Finne, Naval Research Laboratory; Kenneth Marr, Naval Research Laboratory; Scott A. Budzien, Naval Research Laboratory; Ivan J. Galysh, Naval Research Laboratory; Christoph R. Englert, Naval Research Laboratory. LARADO: A Sensor for On-orbit Detection of Lethal Non-Trackable Debris (2022). [AMOS]</w:t>
      </w:r>
    </w:p>
    <w:p>
      <w:pPr>
        <w:pStyle w:val="BodyText"/>
        <w:spacing w:line="480" w:lineRule="auto"/>
        <w:ind w:firstLine="720"/>
      </w:pPr>
      <w:bookmarkStart w:id="146" w:name="ref-5"/>
      <w:bookmarkEnd w:id="146"/>
      <w:r>
        <w:t xml:space="preserve">5. Daiki Mori, NEC Aerospace Systems, Ltd.; Masatoshi Ebara, NEC Corporation; Takahiro Okada, NEC Corporation; Hideki Kimura, NEC Corporation. Commercial SSA capability in Japan (2019). [AMOS]</w:t>
      </w:r>
    </w:p>
    <w:p>
      <w:pPr>
        <w:pStyle w:val="BodyText"/>
        <w:spacing w:line="480" w:lineRule="auto"/>
        <w:ind w:firstLine="720"/>
      </w:pPr>
      <w:bookmarkStart w:id="147" w:name="ref-6"/>
      <w:bookmarkEnd w:id="147"/>
      <w:r>
        <w:t xml:space="preserve">6. David Talent (Oceanit Laboratories, Inc.). An Assessment of the January 2007 Chinese ASAT Test on the LEO Environment (2007). [AMOS]</w:t>
      </w:r>
    </w:p>
    <w:p>
      <w:pPr>
        <w:pStyle w:val="BodyText"/>
        <w:spacing w:line="480" w:lineRule="auto"/>
        <w:ind w:firstLine="720"/>
      </w:pPr>
      <w:bookmarkStart w:id="148" w:name="ref-7"/>
      <w:bookmarkEnd w:id="148"/>
      <w:r>
        <w:t xml:space="preserve">7. Ryo Kato, NEC Aerospace Systems, Ltd.; Takahito Sakaue, NEC Aerospace Systems,Ltd.; Daiki Mori, NEC Corporation; Makoto Tanaka, NEC Aerospace Systems, Ltd.; Taichiro Sano, NEC; Katsuaki Taya, NEC Corporation; Masatoshi Ebara, NEC Corporation; Ryosuke Nakazawa, NEC; Jun Yoshida, NEC; Ryosuke Togawa, NEC Corporation. Validity Evaluation of Anomaly Detection Using LSTM Autoencoder for Maneuver Detection (2023). doi:</w:t>
      </w:r>
      <w:r>
        <w:t xml:space="preserve"> </w:t>
      </w:r>
      <w:hyperlink r:id="rId149">
        <w:r>
          <w:rPr>
            <w:rStyle w:val="Hyperlink"/>
          </w:rPr>
          <w:t xml:space="preserve">10.64861/LQWT7494</w:t>
        </w:r>
      </w:hyperlink>
    </w:p>
    <w:p>
      <w:pPr>
        <w:pStyle w:val="BodyText"/>
        <w:spacing w:line="480" w:lineRule="auto"/>
        <w:ind w:firstLine="720"/>
      </w:pPr>
      <w:bookmarkStart w:id="150" w:name="ref-8"/>
      <w:bookmarkEnd w:id="150"/>
      <w:r>
        <w:t xml:space="preserve">8. David Buehler, AFRL/RV; Dane Fuller, AFIT/CSRA; John Colombi, AFIT/ENV; William Wiesel, AFIT/ENY; Dave Meyer, AFIT/ENY; Richard Cobb, AFIT/ENY. Utilizing Supercomputing to Analyze Risks of an Emergent Large-scale Debris Field in Low Earth Orbit (2018). [AMOS]</w:t>
      </w:r>
    </w:p>
    <w:p>
      <w:pPr>
        <w:pStyle w:val="BodyText"/>
        <w:spacing w:line="480" w:lineRule="auto"/>
        <w:ind w:firstLine="720"/>
      </w:pPr>
      <w:bookmarkStart w:id="151" w:name="ref-9"/>
      <w:bookmarkEnd w:id="151"/>
      <w:r>
        <w:t xml:space="preserve">9. A. C. Nicholas; Joshua M. Wolf; Lee Kordella; Ted Finne; C. M. Brown; S. A. Budzien; Kenneth D. Marr; Christoph R. Englert. On-orbit optical detection of lethal non-trackable debris (2023). doi:</w:t>
      </w:r>
      <w:r>
        <w:t xml:space="preserve"> </w:t>
      </w:r>
      <w:hyperlink r:id="rId152">
        <w:r>
          <w:rPr>
            <w:rStyle w:val="Hyperlink"/>
          </w:rPr>
          <w:t xml:space="preserve">10.1016/j.actaastro.2023.08.002</w:t>
        </w:r>
      </w:hyperlink>
    </w:p>
    <w:p>
      <w:pPr>
        <w:pStyle w:val="BodyText"/>
        <w:spacing w:line="480" w:lineRule="auto"/>
        <w:ind w:firstLine="720"/>
      </w:pPr>
      <w:bookmarkStart w:id="153" w:name="ref-10"/>
      <w:bookmarkEnd w:id="153"/>
      <w:r>
        <w:t xml:space="preserve">10. Jo�ão Reis. European union defense and security strategy for space and ground-based systems against hybrid threats (2024). doi:</w:t>
      </w:r>
      <w:r>
        <w:t xml:space="preserve"> </w:t>
      </w:r>
      <w:hyperlink r:id="rId154">
        <w:r>
          <w:rPr>
            <w:rStyle w:val="Hyperlink"/>
          </w:rPr>
          <w:t xml:space="preserve">10.1016/j.actaastro.2024.09.003</w:t>
        </w:r>
      </w:hyperlink>
    </w:p>
    <w:p>
      <w:pPr>
        <w:pStyle w:val="BodyText"/>
        <w:spacing w:line="480" w:lineRule="auto"/>
        <w:ind w:firstLine="720"/>
      </w:pPr>
      <w:bookmarkStart w:id="155" w:name="ref-11"/>
      <w:bookmarkEnd w:id="155"/>
      <w:r>
        <w:t xml:space="preserve">11. Carmen Pardini; Luciano Anselmo. The short-term effects of the Cosmos 1408 fragmentation on neighboring inhabited space stations and large constellations (2023). doi:</w:t>
      </w:r>
      <w:r>
        <w:t xml:space="preserve"> </w:t>
      </w:r>
      <w:hyperlink r:id="rId156">
        <w:r>
          <w:rPr>
            <w:rStyle w:val="Hyperlink"/>
          </w:rPr>
          <w:t xml:space="preserve">10.1016/j.actaastro.2023.02.043</w:t>
        </w:r>
      </w:hyperlink>
    </w:p>
    <w:p>
      <w:pPr>
        <w:pStyle w:val="BodyText"/>
        <w:spacing w:line="480" w:lineRule="auto"/>
        <w:ind w:firstLine="720"/>
      </w:pPr>
      <w:bookmarkStart w:id="157" w:name="ref-12"/>
      <w:bookmarkEnd w:id="157"/>
      <w:r>
        <w:t xml:space="preserve">12. Xiao-Shan Yap; Jonas Heiberg; Bernhard Truffer. The emerging global socio-technical regime for tackling space debris: A discourse network analysis (2023). doi:</w:t>
      </w:r>
      <w:r>
        <w:t xml:space="preserve"> </w:t>
      </w:r>
      <w:hyperlink r:id="rId158">
        <w:r>
          <w:rPr>
            <w:rStyle w:val="Hyperlink"/>
          </w:rPr>
          <w:t xml:space="preserve">10.1016/j.actaastro.2023.01.016</w:t>
        </w:r>
      </w:hyperlink>
    </w:p>
    <w:p>
      <w:pPr>
        <w:pStyle w:val="BodyText"/>
        <w:spacing w:line="480" w:lineRule="auto"/>
        <w:ind w:firstLine="720"/>
      </w:pPr>
      <w:bookmarkStart w:id="159" w:name="ref-13"/>
      <w:bookmarkEnd w:id="159"/>
      <w:r>
        <w:t xml:space="preserve">13. Anna Hurova. Gamification as a tool to identify and address ongoing challenges in space activities: the case of space debris mitigation (2024). doi:</w:t>
      </w:r>
      <w:r>
        <w:t xml:space="preserve"> </w:t>
      </w:r>
      <w:hyperlink r:id="rId160">
        <w:r>
          <w:rPr>
            <w:rStyle w:val="Hyperlink"/>
          </w:rPr>
          <w:t xml:space="preserve">10.1016/j.actaastro.2024.09.057</w:t>
        </w:r>
      </w:hyperlink>
    </w:p>
    <w:p>
      <w:pPr>
        <w:pStyle w:val="BodyText"/>
        <w:spacing w:line="480" w:lineRule="auto"/>
        <w:ind w:firstLine="720"/>
      </w:pPr>
      <w:bookmarkStart w:id="161" w:name="ref-14"/>
      <w:bookmarkEnd w:id="161"/>
      <w:r>
        <w:t xml:space="preserve">14.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62">
        <w:r>
          <w:rPr>
            <w:rStyle w:val="Hyperlink"/>
          </w:rPr>
          <w:t xml:space="preserve">10.1016/j.actaastro.2023.07.009</w:t>
        </w:r>
      </w:hyperlink>
    </w:p>
    <w:p>
      <w:pPr>
        <w:pStyle w:val="BodyText"/>
        <w:spacing w:line="480" w:lineRule="auto"/>
        <w:ind w:firstLine="720"/>
      </w:pPr>
      <w:bookmarkStart w:id="163" w:name="ref-15"/>
      <w:bookmarkEnd w:id="163"/>
      <w:r>
        <w:t xml:space="preserve">15. Teresa Klinner-Teo; Daniel R. Wacker; Robyn Djuren; Carsten Wiedemann; Manuel Metz; Simona Silvestri. Dynamic scaling of fragment populations in orbital breakup modelling (2026). doi:</w:t>
      </w:r>
      <w:r>
        <w:t xml:space="preserve"> </w:t>
      </w:r>
      <w:hyperlink r:id="rId164">
        <w:r>
          <w:rPr>
            <w:rStyle w:val="Hyperlink"/>
          </w:rPr>
          <w:t xml:space="preserve">10.1016/j.actaastro.2026.04.055</w:t>
        </w:r>
      </w:hyperlink>
    </w:p>
    <w:p>
      <w:pPr>
        <w:pStyle w:val="BodyText"/>
        <w:spacing w:line="480" w:lineRule="auto"/>
        <w:ind w:firstLine="720"/>
      </w:pPr>
      <w:bookmarkStart w:id="165" w:name="ref-16"/>
      <w:bookmarkEnd w:id="165"/>
      <w:r>
        <w:t xml:space="preserve">16. Daniel Kastinen; Juha Vierinen; T. Grydeland; Johan Kero. Using radar beam-parks to characterize the Kosmos-1408 fragmentation event (2022). doi:</w:t>
      </w:r>
      <w:r>
        <w:t xml:space="preserve"> </w:t>
      </w:r>
      <w:hyperlink r:id="rId166">
        <w:r>
          <w:rPr>
            <w:rStyle w:val="Hyperlink"/>
          </w:rPr>
          <w:t xml:space="preserve">10.1016/j.actaastro.2022.10.021</w:t>
        </w:r>
      </w:hyperlink>
    </w:p>
    <w:bookmarkEnd w:id="167"/>
    <w:bookmarkEnd w:id="168"/>
    <w:bookmarkStart w:id="18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6" w:name="Xc815f2b694c5987aade38a16eecba47feff5280"/>
    <w:p>
      <w:pPr>
        <w:pStyle w:val="Heading2"/>
        <w:spacing w:line="480" w:lineRule="auto"/>
      </w:pPr>
      <w:r>
        <w:t xml:space="preserve">A.1 Signal Intensity in The Debris Taboo as an Emergent Norm Has Kinetic ASAT Testing Crossed a Measura: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2.5326</w:t>
            </w:r>
          </w:p>
        </w:tc>
        <w:tc>
          <w:tcPr>
            <w:tcW w:w="0" w:type="auto"/>
          </w:tcPr>
          <w:p>
            <w:pPr>
              <w:spacing w:line="240" w:lineRule="auto" w:before="0" w:after="0"/>
              <w:pStyle w:val="Compact"/>
            </w:pPr>
            <w:r>
              <w:rPr>
                <w:sz w:val="20"/>
                <w:szCs w:val="20"/>
              </w:rPr>
              <w:t xml:space="preserve">1.2675</w:t>
            </w:r>
          </w:p>
        </w:tc>
        <w:tc>
          <w:tcPr>
            <w:tcW w:w="0" w:type="auto"/>
          </w:tcPr>
          <w:p>
            <w:pPr>
              <w:spacing w:line="240" w:lineRule="auto" w:before="0" w:after="0"/>
              <w:pStyle w:val="Compact"/>
            </w:pPr>
            <w:r>
              <w:rPr>
                <w:sz w:val="20"/>
                <w:szCs w:val="20"/>
              </w:rPr>
              <w:t xml:space="preserve">1.9981</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[0.0484, 5.0167]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0.181</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2.2707</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[0.0248, 0.3372]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-1.2959</w:t>
            </w:r>
          </w:p>
        </w:tc>
        <w:tc>
          <w:tcPr>
            <w:tcW w:w="0" w:type="auto"/>
          </w:tcPr>
          <w:p>
            <w:pPr>
              <w:spacing w:line="240" w:lineRule="auto" w:before="0" w:after="0"/>
              <w:pStyle w:val="Compact"/>
            </w:pPr>
            <w:r>
              <w:rPr>
                <w:sz w:val="20"/>
                <w:szCs w:val="20"/>
              </w:rPr>
              <w:t xml:space="preserve">0.195</w:t>
            </w:r>
          </w:p>
        </w:tc>
        <w:tc>
          <w:tcPr>
            <w:tcW w:w="0" w:type="auto"/>
          </w:tcPr>
          <w:p>
            <w:pPr>
              <w:spacing w:line="240" w:lineRule="auto" w:before="0" w:after="0"/>
              <w:pStyle w:val="Compact"/>
            </w:pPr>
            <w:r>
              <w:rPr>
                <w:sz w:val="20"/>
                <w:szCs w:val="20"/>
              </w:rPr>
              <w:t xml:space="preserve">[-0.0806, 0.0164]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-0.5789</w:t>
            </w:r>
          </w:p>
        </w:tc>
        <w:tc>
          <w:tcPr>
            <w:tcW w:w="0" w:type="auto"/>
          </w:tcPr>
          <w:p>
            <w:pPr>
              <w:spacing w:line="240" w:lineRule="auto" w:before="0" w:after="0"/>
              <w:pStyle w:val="Compact"/>
            </w:pPr>
            <w:r>
              <w:rPr>
                <w:sz w:val="20"/>
                <w:szCs w:val="20"/>
              </w:rPr>
              <w:t xml:space="preserve">0.4642</w:t>
            </w:r>
          </w:p>
        </w:tc>
        <w:tc>
          <w:tcPr>
            <w:tcW w:w="0" w:type="auto"/>
          </w:tcPr>
          <w:p>
            <w:pPr>
              <w:spacing w:line="240" w:lineRule="auto" w:before="0" w:after="0"/>
              <w:pStyle w:val="Compact"/>
            </w:pPr>
            <w:r>
              <w:rPr>
                <w:sz w:val="20"/>
                <w:szCs w:val="20"/>
              </w:rPr>
              <w:t xml:space="preserve">-1.2471</w:t>
            </w:r>
          </w:p>
        </w:tc>
        <w:tc>
          <w:tcPr>
            <w:tcW w:w="0" w:type="auto"/>
          </w:tcPr>
          <w:p>
            <w:pPr>
              <w:spacing w:line="240" w:lineRule="auto" w:before="0" w:after="0"/>
              <w:pStyle w:val="Compact"/>
            </w:pPr>
            <w:r>
              <w:rPr>
                <w:sz w:val="20"/>
                <w:szCs w:val="20"/>
              </w:rPr>
              <w:t xml:space="preserve">0.2123</w:t>
            </w:r>
          </w:p>
        </w:tc>
        <w:tc>
          <w:tcPr>
            <w:tcW w:w="0" w:type="auto"/>
          </w:tcPr>
          <w:p>
            <w:pPr>
              <w:spacing w:line="240" w:lineRule="auto" w:before="0" w:after="0"/>
              <w:pStyle w:val="Compact"/>
            </w:pPr>
            <w:r>
              <w:rPr>
                <w:sz w:val="20"/>
                <w:szCs w:val="20"/>
              </w:rPr>
              <w:t xml:space="preserve">[-1.4887, 0.3309]</w:t>
            </w:r>
          </w:p>
        </w:tc>
      </w:tr>
    </w:tbl>
    <w:p>
      <w:pPr>
        <w:pStyle w:val="BodyText"/>
        <w:spacing w:line="480" w:lineRule="auto"/>
        <w:ind w:firstLine="720"/>
      </w:pPr>
      <w:r>
        <w:t xml:space="preserve">Fit: N = 30 R2 = 0.1687 R2_adj = 0.0728 F = 2.9232 F_p = 0.0527</w:t>
      </w:r>
    </w:p>
    <w:bookmarkEnd w:id="169"/>
    <w:bookmarkStart w:id="17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1" name="Picture"/>
            <a:graphic>
              <a:graphicData uri="http://schemas.openxmlformats.org/drawingml/2006/picture">
                <pic:pic>
                  <pic:nvPicPr>
                    <pic:cNvPr descr="D:/Claude_Code/brain/collegium/candidates/dissertations/SECURITY_DETERRENCE_02/research_papers/p1/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3"/>
    <w:bookmarkStart w:id="17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https://amostech.space/year/2022/larado-a-sensor-for-on-orbit-detection-of-lethal-non-trackable-debris/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https://amostech.space/year/2019/commercial-ssa-capability-in-japan/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10.64861/LQWT7494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https://amostech.space/year/2018/utilizing-supercomputing-to-analyze-risks-of-an-emergent-large-scale-debris-field-in-low-earth-orbit/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https://amostech.space/year/2018/fengyun-1c-debris-cloud-evolution-over-one-decade/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10.1016/j.actaastro.2016.05.009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174"/>
    <w:bookmarkStart w:id="17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5"/>
    <w:bookmarkEnd w:id="176"/>
    <w:bookmarkStart w:id="184" w:name="X186c00df9c4a778c5002069d53da598d0ba2ae7"/>
    <w:p>
      <w:pPr>
        <w:pStyle w:val="Heading2"/>
        <w:spacing w:line="480" w:lineRule="auto"/>
      </w:pPr>
      <w:r>
        <w:t xml:space="preserve">A.2 Attention Accumulation in The Debris Taboo as an Emergent Norm Has Kinetic ASAT Testing Crossed a Measura: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0.9634</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1.9358</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[-0.012, 1.9388]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-0.8859</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[-0.7382, 0.2786]</w:t>
            </w:r>
          </w:p>
        </w:tc>
      </w:tr>
    </w:tbl>
    <w:p>
      <w:pPr>
        <w:pStyle w:val="BodyText"/>
        <w:spacing w:line="480" w:lineRule="auto"/>
        <w:ind w:firstLine="720"/>
      </w:pPr>
      <w:r>
        <w:t xml:space="preserve">Fit: N = 30 R2 = 0.017 elasticity_b = -0.2298 progress_ratio_2^b = 0.8528</w:t>
      </w:r>
    </w:p>
    <w:bookmarkEnd w:id="177"/>
    <w:bookmarkStart w:id="18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9" name="Picture"/>
            <a:graphic>
              <a:graphicData uri="http://schemas.openxmlformats.org/drawingml/2006/picture">
                <pic:pic>
                  <pic:nvPicPr>
                    <pic:cNvPr descr="D:/Claude_Code/brain/collegium/candidates/dissertations/SECURITY_DETERRENCE_02/research_papers/p2/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1"/>
    <w:bookmarkStart w:id="18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https://amostech.space/year/2022/larado-a-sensor-for-on-orbit-detection-of-lethal-non-trackable-debris/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https://amostech.space/year/2019/commercial-ssa-capability-in-japan/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10.64861/LQWT7494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https://amostech.space/year/2018/utilizing-supercomputing-to-analyze-risks-of-an-emergent-large-scale-debris-field-in-low-earth-orbit/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https://amostech.space/year/2018/fengyun-1c-debris-cloud-evolution-over-one-decade/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10.1016/j.actaastro.2016.05.009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182"/>
    <w:bookmarkStart w:id="18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3"/>
    <w:bookmarkEnd w:id="184"/>
    <w:bookmarkEnd w:id="1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0" Type="http://schemas.openxmlformats.org/officeDocument/2006/relationships/image" Target="media/rId170.png"/><Relationship Id="rId178" Type="http://schemas.openxmlformats.org/officeDocument/2006/relationships/image" Target="media/rId178.png"/><Relationship Id="rId166" Type="http://schemas.openxmlformats.org/officeDocument/2006/relationships/hyperlink" Target="https://doi.org/10.1016/j.actaastro.2022.10.021" TargetMode="External"/><Relationship Id="rId158" Type="http://schemas.openxmlformats.org/officeDocument/2006/relationships/hyperlink" Target="https://doi.org/10.1016/j.actaastro.2023.01.016" TargetMode="External"/><Relationship Id="rId156" Type="http://schemas.openxmlformats.org/officeDocument/2006/relationships/hyperlink" Target="https://doi.org/10.1016/j.actaastro.2023.02.043" TargetMode="External"/><Relationship Id="rId162" Type="http://schemas.openxmlformats.org/officeDocument/2006/relationships/hyperlink" Target="https://doi.org/10.1016/j.actaastro.2023.07.009" TargetMode="External"/><Relationship Id="rId152" Type="http://schemas.openxmlformats.org/officeDocument/2006/relationships/hyperlink" Target="https://doi.org/10.1016/j.actaastro.2023.08.002" TargetMode="External"/><Relationship Id="rId154" Type="http://schemas.openxmlformats.org/officeDocument/2006/relationships/hyperlink" Target="https://doi.org/10.1016/j.actaastro.2024.09.003" TargetMode="External"/><Relationship Id="rId160" Type="http://schemas.openxmlformats.org/officeDocument/2006/relationships/hyperlink" Target="https://doi.org/10.1016/j.actaastro.2024.09.057" TargetMode="External"/><Relationship Id="rId164" Type="http://schemas.openxmlformats.org/officeDocument/2006/relationships/hyperlink" Target="https://doi.org/10.1016/j.actaastro.2026.04.055" TargetMode="External"/><Relationship Id="rId142" Type="http://schemas.openxmlformats.org/officeDocument/2006/relationships/hyperlink" Target="https://doi.org/10.64861/EIBC5616" TargetMode="External"/><Relationship Id="rId149" Type="http://schemas.openxmlformats.org/officeDocument/2006/relationships/hyperlink" Target="https://doi.org/10.64861/LQWT7494"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2.10.021" TargetMode="External"/><Relationship Id="rId158" Type="http://schemas.openxmlformats.org/officeDocument/2006/relationships/hyperlink" Target="https://doi.org/10.1016/j.actaastro.2023.01.016" TargetMode="External"/><Relationship Id="rId156" Type="http://schemas.openxmlformats.org/officeDocument/2006/relationships/hyperlink" Target="https://doi.org/10.1016/j.actaastro.2023.02.043" TargetMode="External"/><Relationship Id="rId162" Type="http://schemas.openxmlformats.org/officeDocument/2006/relationships/hyperlink" Target="https://doi.org/10.1016/j.actaastro.2023.07.009" TargetMode="External"/><Relationship Id="rId152" Type="http://schemas.openxmlformats.org/officeDocument/2006/relationships/hyperlink" Target="https://doi.org/10.1016/j.actaastro.2023.08.002" TargetMode="External"/><Relationship Id="rId154" Type="http://schemas.openxmlformats.org/officeDocument/2006/relationships/hyperlink" Target="https://doi.org/10.1016/j.actaastro.2024.09.003" TargetMode="External"/><Relationship Id="rId160" Type="http://schemas.openxmlformats.org/officeDocument/2006/relationships/hyperlink" Target="https://doi.org/10.1016/j.actaastro.2024.09.057" TargetMode="External"/><Relationship Id="rId164" Type="http://schemas.openxmlformats.org/officeDocument/2006/relationships/hyperlink" Target="https://doi.org/10.1016/j.actaastro.2026.04.055" TargetMode="External"/><Relationship Id="rId142" Type="http://schemas.openxmlformats.org/officeDocument/2006/relationships/hyperlink" Target="https://doi.org/10.64861/EIBC5616" TargetMode="External"/><Relationship Id="rId149" Type="http://schemas.openxmlformats.org/officeDocument/2006/relationships/hyperlink" Target="https://doi.org/10.64861/LQWT74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Debris Taboo as an Emergent Norm: Has Kinetic ASAT Testing Crossed a Measura</dc:title>
  <dc:creator>Omar Ortiz (1B-SEC-210)</dc:creator>
  <cp:keywords/>
  <dcterms:created xsi:type="dcterms:W3CDTF">2026-07-02T21:30:39Z</dcterms:created>
  <dcterms:modified xsi:type="dcterms:W3CDTF">2026-07-02T21:30:39Z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