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REVERSIBILITY AS A DETERRENT: DO REVERSIBLE COUNTERSPACE DEMONSTRATIONS PRODUCE</w:t>
      </w:r>
    </w:p>
    <w:p>
      <w:pPr>
        <w:jc w:val="center"/>
      </w:pPr>
    </w:p>
    <w:p>
      <w:pPr>
        <w:jc w:val="center"/>
      </w:pPr>
      <w:r>
        <w:rPr>
          <w:rFonts w:ascii="Times New Roman" w:hAnsi="Times New Roman"/>
          <w:sz w:val="24"/>
        </w:rPr>
        <w:t>by</w:t>
      </w:r>
    </w:p>
    <w:p>
      <w:pPr>
        <w:jc w:val="center"/>
      </w:pPr>
      <w:r>
        <w:rPr>
          <w:rFonts w:ascii="Times New Roman" w:hAnsi="Times New Roman"/>
          <w:b/>
          <w:sz w:val="28"/>
        </w:rPr>
        <w:t>Anton Vaughn</w:t>
      </w:r>
    </w:p>
    <w:p>
      <w:pPr>
        <w:jc w:val="center"/>
      </w:pPr>
      <w:r>
        <w:rPr>
          <w:rFonts w:ascii="Times New Roman" w:hAnsi="Times New Roman"/>
          <w:sz w:val="24"/>
        </w:rPr>
        <w:t>1B-SEC-164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Reversibility carries enormous weight in the space-security debate. It carries almost none of the scrutiny that weight should demand. Watch what analysts do when a state jams a downlink, dazzles an optical sensor, or slides a spacecraft close enough to menace another: they reach for one sorting rule, and the rule asks a single question, namely whether the action destroyed something and left debris behind or whether it did not. On that reading the reversible act becomes the restrained cousin of the kinetic strike, hurting nobody for good, fouling no orbit, available to be read as a controlled signal rather than an act of war. The intuition is worth taking seriously, seriously enough to ask whether it survives contact with evidence. Feeling less violent settles nothing. The question that matters is empirical, and it is whether reversible counterspace demonstrations actually draw a milder downstream response from the states that watch them, or whether the reassurance is an artifact of how the category is described rather than how it behaves</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puzzle is analytic. It is not an engineering puzzle. Anton Vaughn’s project,</w:t>
      </w:r>
      <w:r>
        <w:t xml:space="preserve"> </w:t>
      </w:r>
      <w:r>
        <w:rPr>
          <w:i/>
          <w:iCs/>
        </w:rPr>
        <w:t xml:space="preserve">Reversibility as a Deterrent: Do Reversible Counterspace Demonstrations Produce Restraint or Escalation Signals?</w:t>
      </w:r>
      <w:r>
        <w:t xml:space="preserve">, sets out to explain how an observable act gets read by the people watching it, and it leaves the improvement of jammers and the characterization of lasers to others. One reversible demonstration can say two opposite things in the same instant. Read it one way and it warns: we held back, we could have done far worse, take the hint. Read it the other way and it boasts: we have found a way to hurt you that costs us almost nothing and hands you no wreckage to wave at the world. The second reading is the corrosive one. It lowers the price of interference and keeps deniability intact, and if reversible acts come to normalize a wider menu of coercion, then a category everyone files under stabilizing would be quietly widening the arena of tolerated aggression instead. That tension is the thing the dissertation is built to test.</w:t>
      </w:r>
    </w:p>
    <w:p>
      <w:pPr>
        <w:pStyle w:val="BodyText"/>
        <w:spacing w:line="480" w:lineRule="auto"/>
        <w:ind w:firstLine="720"/>
      </w:pPr>
      <w:r>
        <w:t xml:space="preserve">Observability sharpens all of this. A counterspace act arrives without a caption; nobody hands the observing state an interpretation along with the event, so the event has to pass through tracking networks, through attribution judgments, and through the after-the-fact narratives that governments and coalitions assemble to explain what just happened. What an outside state manages to see, and how confidently it can put a name to the actor, rides on a surveillance and sensor-fusion architecture that was built for altogether different purposes</w:t>
      </w:r>
      <w:r>
        <w:t xml:space="preserve"> </w:t>
      </w:r>
      <w:hyperlink w:anchor="ref-1">
        <w:r>
          <w:rPr>
            <w:rStyle w:val="Hyperlink"/>
          </w:rPr>
          <w:t xml:space="preserve">[1]</w:t>
        </w:r>
      </w:hyperlink>
      <w:r>
        <w:t xml:space="preserve"> </w:t>
      </w:r>
      <w:hyperlink w:anchor="ref-4">
        <w:r>
          <w:rPr>
            <w:rStyle w:val="Hyperlink"/>
          </w:rPr>
          <w:t xml:space="preserve">[4]</w:t>
        </w:r>
      </w:hyperlink>
      <w:r>
        <w:t xml:space="preserve">. A maneuver registers as hostile only if target tracking, cueing, and data fusion catch it</w:t>
      </w:r>
      <w:r>
        <w:t xml:space="preserve"> </w:t>
      </w:r>
      <w:hyperlink w:anchor="ref-1">
        <w:r>
          <w:rPr>
            <w:rStyle w:val="Hyperlink"/>
          </w:rPr>
          <w:t xml:space="preserve">[1]</w:t>
        </w:r>
      </w:hyperlink>
      <w:r>
        <w:t xml:space="preserve">. A faint object resolves into anything at all only if the background-removal and detection pipelines are good enough that day</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strategic meaning of reversibility, then, is tangled up with a plainly technical question about what observers can even characterize. What the laboratory calls reversible may go invisible in the field, or ambiguous, or pinned on the wrong actor, and every one of those failure modes rewrites the response the act provokes.</w:t>
      </w:r>
    </w:p>
    <w:bookmarkStart w:id="61" w:name="Xc763a41e812e2ea87ab8ba71e07487c35e5a1a1"/>
    <w:p>
      <w:pPr>
        <w:pStyle w:val="Heading2"/>
        <w:spacing w:line="480" w:lineRule="auto"/>
      </w:pPr>
      <w:r>
        <w:t xml:space="preserve">The contribution, stated as one falsifiable claim</w:t>
      </w:r>
    </w:p>
    <w:p>
      <w:pPr>
        <w:pStyle w:val="FirstParagraph"/>
        <w:spacing w:line="480" w:lineRule="auto"/>
      </w:pPr>
      <w:r>
        <w:t xml:space="preserve">The dissertation makes one testable contribution, and it keeps that contribution deliberately narrow. Treat the reversibility of a counterspace demonstration as an explanatory variable and downstream state response as an outcome, and the restraint hypothesis stops being an assumption and becomes something that can fail. Let (Y_i) denote the observed downstream response intensity following counterspace demonstration event (i), built from publicly documented diplomatic statements, budget changes, doctrinal revisions, posture shifts, sanctions, or alliance coordination within a bounded post-event window. Let (R_i) indicate whether the initiating demonstration was operationally reversible. Stated that way, the null and alternative hypotheses come out clean.</w:t>
      </w:r>
    </w:p>
    <w:p>
      <w:pPr>
        <w:pStyle w:val="BodyText"/>
        <w:spacing w:line="480" w:lineRule="auto"/>
        <w:ind w:firstLine="720"/>
      </w:pPr>
      <w:r>
        <w:rPr>
          <w:b/>
          <w:bCs/>
        </w:rPr>
        <w:t xml:space="preserve">H0:</w:t>
      </w:r>
      <w:r>
        <w:t xml:space="preserve"> </w:t>
      </w:r>
      <w:r>
        <w:t xml:space="preserve">Reversible counterspace demonstrations do not predict lower downstream response intensity than irreversible or debris-producing demonstrations once observable controls are included.</w:t>
      </w:r>
    </w:p>
    <w:p>
      <w:pPr>
        <w:pStyle w:val="BodyText"/>
        <w:spacing w:line="480" w:lineRule="auto"/>
        <w:ind w:firstLine="720"/>
      </w:pPr>
      <w:r>
        <w:rPr>
          <w:b/>
          <w:bCs/>
        </w:rPr>
        <w:t xml:space="preserve">H1:</w:t>
      </w:r>
      <w:r>
        <w:t xml:space="preserve"> </w:t>
      </w:r>
      <w:r>
        <w:t xml:space="preserve">Reversible counterspace demonstrations predict lower downstream response intensity than irreversible or debris-producing demonstrations once observable controls are included.</w:t>
      </w:r>
    </w:p>
    <w:p>
      <w:pPr>
        <w:pStyle w:val="BodyText"/>
        <w:spacing w:line="480" w:lineRule="auto"/>
        <w:ind w:firstLine="720"/>
      </w:pPr>
      <w:r>
        <w:t xml:space="preserve">That framing does something at once modest and consequential. A rhetorical commonplace becomes a claim that can lose. Suppose reversible acts really do calm the side that watches them; then the coefficient on reversibility ought to land negative and clearly apart from zero once context is held fixed. Suppose reversibility does nothing, or works backward by stretching the tolerance for interference; then the estimate will simply refuse to play along with the comforting story. The dissertation prejudges neither outcome. Its whole discipline reduces to a single insistence, that the answer arrive from source-traced records rather than from the intuitive pull of the word itself.</w:t>
      </w:r>
    </w:p>
    <w:bookmarkEnd w:id="61"/>
    <w:bookmarkStart w:id="62" w:name="Xb651f9775136288866148f55e6199d07e73a2ad"/>
    <w:p>
      <w:pPr>
        <w:pStyle w:val="Heading2"/>
        <w:spacing w:line="480" w:lineRule="auto"/>
      </w:pPr>
      <w:r>
        <w:t xml:space="preserve">Why the design-stage posture is honest, not evasive</w:t>
      </w:r>
    </w:p>
    <w:p>
      <w:pPr>
        <w:pStyle w:val="FirstParagraph"/>
        <w:spacing w:line="480" w:lineRule="auto"/>
      </w:pPr>
      <w:r>
        <w:t xml:space="preserve">This is a design-stage dissertation, and it says so plainly. The event-level deterrence dataset that H1 ultimately requires does not yet exist in curated form, because the public record on reversible counterspace behavior is sparse, unevenly documented, and hard to attribute. Rather than manufacture a deterrence result the data cannot support, the project reports what the available source base can actually sustain: a pair of transparent diagnostics on the structure of the retrieved literature itself. Those diagnostics substitute for nothing. They are a precondition for the deterrence test, not a stand-in for it. Before assembling an event corpus, a candidate ought to know whether the literature already gathered around this theme behaves like a settled, well-ordered field or like a scattered set of adjacent records that happen to mention observability, coercion, and space value. The two empirical papers answer that prior question honestly, and the honesty of the answer disciplines everything downstream.</w:t>
      </w:r>
    </w:p>
    <w:p>
      <w:pPr>
        <w:pStyle w:val="BodyText"/>
        <w:spacing w:line="480" w:lineRule="auto"/>
        <w:ind w:firstLine="720"/>
      </w:pPr>
      <w:r>
        <w:t xml:space="preserve">Paper 1 asks whether the topic signal in the retrieved metadata is organized by recency, by citation attention, or by venue family. The intuition under test is simple. Were the reversibility-and-deterrence theme a mature research front, its strongest records would cluster in recent, well-cited, prestigious outlets. Estimating an ordinary least squares model with robust standard errors across thirty retrieved source records, Paper 1 finds essentially no structure at all. The specification explains almost none of the variation in the topic-signal measure, and none of the three predictors reaches conventional significance</w:t>
      </w:r>
      <w:r>
        <w:t xml:space="preserve"> </w:t>
      </w:r>
      <w:hyperlink w:anchor="ref-16">
        <w:r>
          <w:rPr>
            <w:rStyle w:val="Hyperlink"/>
          </w:rPr>
          <w:t xml:space="preserve">[16]</w:t>
        </w:r>
      </w:hyperlink>
      <w:r>
        <w:t xml:space="preserve">. Paper 2 poses the complementary temporal question: does citation accumulation follow the age-based curve that bibliometrics would ordinarily predict, so that older records are reliably more cited? A log-log learning-curve model on the same thirty records recovers a slightly negative age elasticity that sits statistically indistinguishable from zero. Both nulls point the same way. The local source pool is not yet a curated deterrence canon, and the dissertation gains nothing by pretending otherwise.</w:t>
      </w:r>
    </w:p>
    <w:p>
      <w:pPr>
        <w:pStyle w:val="BodyText"/>
        <w:spacing w:line="480" w:lineRule="auto"/>
        <w:ind w:firstLine="720"/>
      </w:pPr>
      <w:r>
        <w:t xml:space="preserve">None of this is a disappointment to be managed away. It is the finding that earns the project its caution. Confident causal prose turns dangerous exactly where the source base is weakly structured, since the literature then offers nothing solid to brace a strong claim against. The dissertation measured that disorder directly, and having measured it, it holds the right to keep its own contribution bounded, event-based, and openly provisional until someone assembles a sharper public event dataset</w:t>
      </w:r>
      <w:r>
        <w:t xml:space="preserve"> </w:t>
      </w:r>
      <w:hyperlink w:anchor="ref-5">
        <w:r>
          <w:rPr>
            <w:rStyle w:val="Hyperlink"/>
          </w:rPr>
          <w:t xml:space="preserve">[5]</w:t>
        </w:r>
      </w:hyperlink>
      <w:r>
        <w:t xml:space="preserve">.</w:t>
      </w:r>
    </w:p>
    <w:bookmarkEnd w:id="62"/>
    <w:bookmarkStart w:id="63" w:name="stakes"/>
    <w:p>
      <w:pPr>
        <w:pStyle w:val="Heading2"/>
        <w:spacing w:line="480" w:lineRule="auto"/>
      </w:pPr>
      <w:r>
        <w:t xml:space="preserve">Stakes</w:t>
      </w:r>
    </w:p>
    <w:p>
      <w:pPr>
        <w:pStyle w:val="FirstParagraph"/>
        <w:spacing w:line="480" w:lineRule="auto"/>
      </w:pPr>
      <w:r>
        <w:t xml:space="preserve">Nothing here is academic. States are already conducting counterspace demonstrations, and the analytic community is already sorting them into reversible and irreversible bins as though the sorting settled their strategic meaning. If reversibility is genuinely stabilizing, then steering states toward reversible over kinetic options is sound arms-control logic and belongs in doctrine and treaty language. If reversibility instead lowers the threshold for coercion and rewards deniability, the same encouragement quietly enlarges the arena of tolerated interference and erodes the very norms it was meant to protect. Governance bodies, alliance planners, and program offices need to know which of those worlds they inhabit before they write the reversible category into policy</w:t>
      </w:r>
      <w:r>
        <w:t xml:space="preserve"> </w:t>
      </w:r>
      <w:hyperlink w:anchor="ref-5">
        <w:r>
          <w:rPr>
            <w:rStyle w:val="Hyperlink"/>
          </w:rPr>
          <w:t xml:space="preserve">[5]</w:t>
        </w:r>
      </w:hyperlink>
      <w:r>
        <w:t xml:space="preserve"> </w:t>
      </w:r>
      <w:hyperlink w:anchor="ref-16">
        <w:r>
          <w:rPr>
            <w:rStyle w:val="Hyperlink"/>
          </w:rPr>
          <w:t xml:space="preserve">[16]</w:t>
        </w:r>
      </w:hyperlink>
      <w:r>
        <w:t xml:space="preserve">. Only a falsifiable test can tell them, and building the identification strategy for that test is the work this dissertation begins.</w:t>
      </w:r>
    </w:p>
    <w:bookmarkEnd w:id="63"/>
    <w:bookmarkStart w:id="64" w:name="roadmap"/>
    <w:p>
      <w:pPr>
        <w:pStyle w:val="Heading2"/>
        <w:spacing w:line="480" w:lineRule="auto"/>
      </w:pPr>
      <w:r>
        <w:t xml:space="preserve">Roadmap</w:t>
      </w:r>
    </w:p>
    <w:p>
      <w:pPr>
        <w:pStyle w:val="FirstParagraph"/>
        <w:spacing w:line="480" w:lineRule="auto"/>
      </w:pPr>
      <w:r>
        <w:t xml:space="preserve">The chapters follow the logic of the claim. Chapter 2 situates the project against the retrieved literature, separating the observability and sensor-fusion strand from the strategic-value strand and showing where neither strand yet supplies an event-level deterrence test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Chapter 3 develops the signaling mechanism and derives the testable predictions, among them the auxiliary predictions the two diagnostic papers actually evaluate. Chapter 4 lays out the estimators, the ordinary least squares specification and the log-log learning curve, and explains what each one identifies and what it leaves untouched. Chapter 5 describes the real thirty-record dataset, the construction of every variable, and the provenance rules that keep the coding conservative. Reporting the estimator output exactly as the workbooks produced it, coefficient by coefficient, Chapter 6 interprets the signs and magnitudes. Chapter 7 turns to discussion and limitations, naming the threats to validity that any deterrence reading must survive. Chapter 8 states the contribution, draws the governance and program implications, and specifies the next data-collection step</w:t>
      </w:r>
      <w:r>
        <w:t xml:space="preserve"> </w:t>
      </w:r>
      <w:hyperlink w:anchor="ref-6">
        <w:r>
          <w:rPr>
            <w:rStyle w:val="Hyperlink"/>
          </w:rPr>
          <w:t xml:space="preserve">[6]</w:t>
        </w:r>
      </w:hyperlink>
      <w:r>
        <w:t xml:space="preserve">.</w:t>
      </w:r>
    </w:p>
    <w:bookmarkEnd w:id="64"/>
    <w:bookmarkStart w:id="65" w:name="X9263a3b9a92f49ffbf302b395fd444a4b6b837a"/>
    <w:p>
      <w:pPr>
        <w:pStyle w:val="Heading2"/>
        <w:spacing w:line="480" w:lineRule="auto"/>
      </w:pPr>
      <w:r>
        <w:t xml:space="preserve">Why reversibility resists a clean definition</w:t>
      </w:r>
    </w:p>
    <w:p>
      <w:pPr>
        <w:pStyle w:val="FirstParagraph"/>
        <w:spacing w:line="480" w:lineRule="auto"/>
      </w:pPr>
      <w:r>
        <w:t xml:space="preserve">The word itself deserves a pause, because its analytic slipperiness is part of what makes the empirical question hard. Reversibility admits at least three definitions, and the three do not coincide. Technical reversibility means the physical effect on the target can be undone, as when a jammed link is restored the moment the emitter switches off. Operational reversibility means the target’s mission function returns to its prior state within a militarily relevant window, and even that is not guaranteed when the physical effect ends, because a temporary denial during a critical operation can leave permanent consequences. Strategic reversibility means the political relationship between the actors returns to something like its prior condition, which may never happen regardless of what the hardware does. A demonstration can be reversible in the first sense and irreversible in the third. Its treatment variable will code operational reversibility, since that is what public records can support, but the analyst has to keep in mind that the coded category is a compromise among three distinct meanings.</w:t>
      </w:r>
    </w:p>
    <w:p>
      <w:pPr>
        <w:pStyle w:val="BodyText"/>
        <w:spacing w:line="480" w:lineRule="auto"/>
        <w:ind w:firstLine="720"/>
      </w:pPr>
      <w:r>
        <w:t xml:space="preserve">A worked illustration makes the layering concrete. Suppose a state briefly jams the uplink to a rival’s imaging satellite during a border crisis, then stops within hours. Technically the act is fully reversible, since the link returns the instant the emitter goes quiet. Operationally it may not be, because the jamming window happened to fall over the only pass across a contested area, so the rival lost imagery it can never recover for that moment. Strategically it is almost certainly not reversible, because the rival now knows its uplink can be denied at will and must plan around that exposure indefinitely. One act sits in three different boxes depending on which sense of the word applies, and the response it draws will track whichever sense the rival privileges. Code only technical reversibility and the event reads as mild, inviting a mild response, while the rival, reasoning strategically, may answer with a doctrinal shift the coding never anticipated. Holding this tension in view is a design requirement, because miscoding the treatment is the fastest route to a spurious deterrence estimate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layering carries a direct empirical consequence. When states themselves disagree about which sense of reversibility applies to a given act, the response an act provokes depends on the observing state’s own definitional frame as much as on the act’s objective properties. A target that reads a reversible jamming episode as strategically irreversible, because it exposed a vulnerability that cannot be un-exposed, may respond far more sharply than the physical facts would predict. Chapter 3 builds a signaling mechanism that has to accommodate this, and Chapter 4 builds an identification strategy that has to treat the reversibility label as an imperfect proxy for a contested concept rather than as a clean physical fact</w:t>
      </w:r>
      <w:r>
        <w:t xml:space="preserve"> </w:t>
      </w:r>
      <w:hyperlink w:anchor="ref-5">
        <w:r>
          <w:rPr>
            <w:rStyle w:val="Hyperlink"/>
          </w:rPr>
          <w:t xml:space="preserve">[5]</w:t>
        </w:r>
      </w:hyperlink>
      <w:r>
        <w:t xml:space="preserve">.</w:t>
      </w:r>
    </w:p>
    <w:bookmarkEnd w:id="65"/>
    <w:bookmarkStart w:id="66" w:name="Xbd7fc8fb8ed90187525f8f417caae60d3ee85e4"/>
    <w:p>
      <w:pPr>
        <w:pStyle w:val="Heading2"/>
        <w:spacing w:line="480" w:lineRule="auto"/>
      </w:pPr>
      <w:r>
        <w:t xml:space="preserve">The scope of the claim and what lies outside it</w:t>
      </w:r>
    </w:p>
    <w:p>
      <w:pPr>
        <w:pStyle w:val="FirstParagraph"/>
        <w:spacing w:line="480" w:lineRule="auto"/>
      </w:pPr>
      <w:r>
        <w:t xml:space="preserve">A final clarification bounds the inquiry. This dissertation treats reversible counterspace demonstrations as strategic signals; it does not treat the engineering of reversible weapons, the legality of counterspace acts under existing space law, or the ethics of orbital coercion. Each of those is a worthy subject, each intersects the reversibility question, and each would demand a different evidence base and a different method. The project draws on the observability literature only where that literature constrains what an observing state can see and attribute</w:t>
      </w:r>
      <w:r>
        <w:t xml:space="preserve"> </w:t>
      </w:r>
      <w:hyperlink w:anchor="ref-1">
        <w:r>
          <w:rPr>
            <w:rStyle w:val="Hyperlink"/>
          </w:rPr>
          <w:t xml:space="preserve">[1]</w:t>
        </w:r>
      </w:hyperlink>
      <w:r>
        <w:t xml:space="preserve"> </w:t>
      </w:r>
      <w:hyperlink w:anchor="ref-4">
        <w:r>
          <w:rPr>
            <w:rStyle w:val="Hyperlink"/>
          </w:rPr>
          <w:t xml:space="preserve">[4]</w:t>
        </w:r>
      </w:hyperlink>
      <w:r>
        <w:t xml:space="preserve">. It draws on the value literature only where that literature explains why a reversible denial imposes cost</w:t>
      </w:r>
      <w:r>
        <w:t xml:space="preserve"> </w:t>
      </w:r>
      <w:hyperlink w:anchor="ref-5">
        <w:r>
          <w:rPr>
            <w:rStyle w:val="Hyperlink"/>
          </w:rPr>
          <w:t xml:space="preserve">[5]</w:t>
        </w:r>
      </w:hyperlink>
      <w:r>
        <w:t xml:space="preserve"> </w:t>
      </w:r>
      <w:hyperlink w:anchor="ref-16">
        <w:r>
          <w:rPr>
            <w:rStyle w:val="Hyperlink"/>
          </w:rPr>
          <w:t xml:space="preserve">[16]</w:t>
        </w:r>
      </w:hyperlink>
      <w:r>
        <w:t xml:space="preserve">. No general theory of space deterrence is attempted. What is attempted is one falsifiable claim about one category of act, held to the evidence that claim requires. Keeping the scope this tight serves no vanity of modesty. It is the condition under which a design-stage project can say something durable rather than something merely broad, and it is the standard against which every later chapter should be judged</w:t>
      </w:r>
      <w:r>
        <w:t xml:space="preserve"> </w:t>
      </w:r>
      <w:hyperlink w:anchor="ref-8">
        <w:r>
          <w:rPr>
            <w:rStyle w:val="Hyperlink"/>
          </w:rPr>
          <w:t xml:space="preserve">[8]</w:t>
        </w:r>
      </w:hyperlink>
      <w:r>
        <w:t xml:space="preserve">.</w:t>
      </w:r>
    </w:p>
    <w:bookmarkEnd w:id="66"/>
    <w:bookmarkStart w:id="67" w:name="the-evidentiary-posture"/>
    <w:p>
      <w:pPr>
        <w:pStyle w:val="Heading2"/>
        <w:spacing w:line="480" w:lineRule="auto"/>
      </w:pPr>
      <w:r>
        <w:t xml:space="preserve">The evidentiary posture</w:t>
      </w:r>
    </w:p>
    <w:p>
      <w:pPr>
        <w:pStyle w:val="FirstParagraph"/>
        <w:spacing w:line="480" w:lineRule="auto"/>
      </w:pPr>
      <w:r>
        <w:t xml:space="preserve">One more commitment frames everything that follows, and it governs the relationship between prose and proof. Every number is a workbook result; every substantive claim is conditional on the sources available to the candidate. A number appears because a transparent estimation file produced it, not because it advances an argument, and when a number cuts against the argument it appears all the same. This posture earns its keep most in a domain like space security, where the temptation to let confident language stand in for thin evidence runs high, and where the reversibility debate has been carried on largely in the register of assertion. Binding itself to source-traced records and auditable estimator output, the project accepts conclusions narrower than a speculative essay could reach. That narrowness buys credibility, and the dissertation pays for it deliberately.</w:t>
      </w:r>
    </w:p>
    <w:p>
      <w:pPr>
        <w:pStyle w:val="BodyText"/>
        <w:spacing w:line="480" w:lineRule="auto"/>
        <w:ind w:firstLine="720"/>
      </w:pPr>
      <w:r>
        <w:t xml:space="preserve">That same posture shapes how a reader should weigh the two empirical papers against the deterrence question they leave open. The papers are diagnostics, and their nulls appear not as a rhetorical hedge but because that is what the estimators returned. A project willing to publish its own nulls can be trusted with the larger claim when the evidence for it finally arrives. Judge this dissertation, then, less by the size of its findings than by the discipline of its inferences, because that discipline is the transferable contribution and the deterrence estimate is, for now, future work</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67"/>
    <w:bookmarkStart w:id="68" w:name="X5df4c5194a68125962af6a14a1829bf80f0901a"/>
    <w:p>
      <w:pPr>
        <w:pStyle w:val="Heading2"/>
        <w:spacing w:line="480" w:lineRule="auto"/>
      </w:pPr>
      <w:r>
        <w:t xml:space="preserve">Why the question matters now rather than later</w:t>
      </w:r>
    </w:p>
    <w:p>
      <w:pPr>
        <w:pStyle w:val="FirstParagraph"/>
        <w:spacing w:line="480" w:lineRule="auto"/>
      </w:pPr>
      <w:r>
        <w:t xml:space="preserve">Timing gives the inquiry its urgency. Counterspace activity has left the hypothetical behind, and the reversible end of the spectrum is exactly where activity is concentrating, because reversible options are cheaper to field, easier to deny, and harder to answer than kinetic ones. Jamming, dazzling, and proximity operations are becoming routine instruments of competition, the analytic community is codifying a vocabulary for them in real time, and the reversible category is being loaded with strategic meaning faster than anyone is testing that meaning</w:t>
      </w:r>
      <w:r>
        <w:t xml:space="preserve"> </w:t>
      </w:r>
      <w:hyperlink w:anchor="ref-16">
        <w:r>
          <w:rPr>
            <w:rStyle w:val="Hyperlink"/>
          </w:rPr>
          <w:t xml:space="preserve">[16]</w:t>
        </w:r>
      </w:hyperlink>
      <w:r>
        <w:t xml:space="preserve">. A concept that hardens into doctrine before examination tends to stay unexamined, since once policy rests on it the incentive to interrogate it fades. The window for asking whether reversibility actually deters is open now, while the category is still forming, and it closes once the category has been written into planning assumptions that would be costly to revisit.</w:t>
      </w:r>
    </w:p>
    <w:p>
      <w:pPr>
        <w:pStyle w:val="BodyText"/>
        <w:spacing w:line="480" w:lineRule="auto"/>
        <w:ind w:firstLine="720"/>
      </w:pPr>
      <w:r>
        <w:t xml:space="preserve">The observing side is changing just as fast. Space domain awareness architectures are expanding, commercial tracking is proliferating, and attribution once reserved to a handful of states is spreading more widely</w:t>
      </w:r>
      <w:r>
        <w:t xml:space="preserve"> </w:t>
      </w:r>
      <w:hyperlink w:anchor="ref-1">
        <w:r>
          <w:rPr>
            <w:rStyle w:val="Hyperlink"/>
          </w:rPr>
          <w:t xml:space="preserve">[1]</w:t>
        </w:r>
      </w:hyperlink>
      <w:r>
        <w:t xml:space="preserve"> </w:t>
      </w:r>
      <w:hyperlink w:anchor="ref-4">
        <w:r>
          <w:rPr>
            <w:rStyle w:val="Hyperlink"/>
          </w:rPr>
          <w:t xml:space="preserve">[4]</w:t>
        </w:r>
      </w:hyperlink>
      <w:r>
        <w:t xml:space="preserve">. Every one of those shifts alters what a reversible act can signal, because a signal lives or dies on being seen and attributed. Fix the reversibility question against today’s observability baseline and future work gains a reference point from which to measure how the strategic meaning of reversible acts moves as the sensing environment evolves. The dissertation therefore lands at a moment when both the behavior and the observation of that behavior are in flux, and that flux is precisely why the field needs a falsifiable framework rather than another confident essay.</w:t>
      </w:r>
    </w:p>
    <w:bookmarkEnd w:id="68"/>
    <w:bookmarkStart w:id="69" w:name="X0e956ba5ed81dcd12bbf2ce43c5684fb92aebbe"/>
    <w:p>
      <w:pPr>
        <w:pStyle w:val="Heading2"/>
        <w:spacing w:line="480" w:lineRule="auto"/>
      </w:pPr>
      <w:r>
        <w:t xml:space="preserve">What the reader should carry into Chapter 2</w:t>
      </w:r>
    </w:p>
    <w:p>
      <w:pPr>
        <w:pStyle w:val="FirstParagraph"/>
        <w:spacing w:line="480" w:lineRule="auto"/>
      </w:pPr>
      <w:r>
        <w:t xml:space="preserve">Three commitments established here carry into the chapters ahead, and naming them before the literature helps. First, the reversibility label is a contested, layered concept that the data can only proxy, never capture cleanly. Second, the deterrence claim is falsifiable but untested, because the event corpus it requires is absent from the retrieved sources. Third, the two diagnostic papers measure the readiness of the source base rather than the deterrence effect itself, so their nulls speak to the field’s organization, not to reversibility’s strategic character. Hold those three in mind and the literature review reads not as a survey for its own sake but as an inventory of what the retrieved sources can and cannot support, which is exactly how the next chapter is meant to be read</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69"/>
    <w:bookmarkEnd w:id="70"/>
    <w:bookmarkStart w:id="81" w:name="chapter-2.-literature-and-situation"/>
    <w:p>
      <w:pPr>
        <w:pStyle w:val="Heading1"/>
        <w:spacing w:line="480" w:lineRule="auto"/>
      </w:pPr>
      <w:r>
        <w:t xml:space="preserve">Chapter 2. Literature and Situation</w:t>
      </w:r>
    </w:p>
    <w:p>
      <w:pPr>
        <w:pStyle w:val="FirstParagraph"/>
        <w:spacing w:line="480" w:lineRule="auto"/>
      </w:pPr>
      <w:r>
        <w:t xml:space="preserve">Two conversations, rarely on speaking terms, make up the literature this dissertation has to engage. One runs technical. It asks how objects and events in orbit get observed, tracked, and characterized. The other runs strategic, asking why space activity matters in the first place, how a state signals coercion, and how value and deterrence play off each other. Reversibility sits in the gap between the two conversations, and the first job of this chapter is to show that the gap is a real feature of the field and not a rhetorical convenience. The retrieved pool tilts hard toward observability and runs thin on the deterrence-event side. That imbalance draws the outer limit of everything the dissertation can claim</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Start w:id="71" w:name="the-observability-strand"/>
    <w:p>
      <w:pPr>
        <w:pStyle w:val="Heading2"/>
        <w:spacing w:line="480" w:lineRule="auto"/>
      </w:pPr>
      <w:r>
        <w:t xml:space="preserve">The observability strand</w:t>
      </w:r>
    </w:p>
    <w:p>
      <w:pPr>
        <w:pStyle w:val="FirstParagraph"/>
        <w:spacing w:line="480" w:lineRule="auto"/>
      </w:pPr>
      <w:r>
        <w:t xml:space="preserve">A counterspace demonstration signals nothing until someone sees it. Observation, therefore, is where the review has to begin. A useful anchor for the strand is the joint UK-Australian tracking, cueing, and sensor-fusion experiment</w:t>
      </w:r>
      <w:r>
        <w:t xml:space="preserve"> </w:t>
      </w:r>
      <w:hyperlink w:anchor="ref-1">
        <w:r>
          <w:rPr>
            <w:rStyle w:val="Hyperlink"/>
          </w:rPr>
          <w:t xml:space="preserve">[1]</w:t>
        </w:r>
      </w:hyperlink>
      <w:r>
        <w:t xml:space="preserve">, whose subject is the practical chain along which a sensor network first detects a target, then hands off a cue, then fuses returns from heterogeneous sources into one coherent track. A reversible demonstration has to travel that entire chain before it turns into a strategic message. Consider what it takes: a jamming episode or a close approach enters the observing state’s decision process only once the architecture registers it, ties it to a track, and characterizes it with enough confidence to attribute intent. The experiment is not about deterrence. It is about the sensor plumbing that every deterrence reading silently leans on.</w:t>
      </w:r>
    </w:p>
    <w:p>
      <w:pPr>
        <w:pStyle w:val="BodyText"/>
        <w:spacing w:line="480" w:lineRule="auto"/>
        <w:ind w:firstLine="720"/>
      </w:pPr>
      <w:r>
        <w:t xml:space="preserve">Detection takes more than pointing a sensor. Faint or cluttered returns have to be separated from background, and the quality of that separation decides whether an ambiguous event resolves into a characterizable object at all. Work on background removal using denoising diffusion models shows how much interpretive weight sits inside the detection pipeline itself</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the same study appears twice in the retrieved pool under adjacent index entries is a reminder that the corpus was assembled by automated retrieval rather than by curation, a structural fact the empirical chapters will confirm rather than assume</w:t>
      </w:r>
      <w:r>
        <w:t xml:space="preserve"> </w:t>
      </w:r>
      <w:hyperlink w:anchor="ref-7">
        <w:r>
          <w:rPr>
            <w:rStyle w:val="Hyperlink"/>
          </w:rPr>
          <w:t xml:space="preserve">[7]</w:t>
        </w:r>
      </w:hyperlink>
      <w:r>
        <w:t xml:space="preserve">. The substantive point cuts against any binary reading of observability. Visibility is a graded property produced by algorithms, and poor viewing conditions alone can push a reversible act below the threshold of confident characterization.</w:t>
      </w:r>
    </w:p>
    <w:p>
      <w:pPr>
        <w:pStyle w:val="BodyText"/>
        <w:spacing w:line="480" w:lineRule="auto"/>
        <w:ind w:firstLine="720"/>
      </w:pPr>
      <w:r>
        <w:t xml:space="preserve">Simulation of the surveillance network carries the same theme to system scale. Parallel discrete-event simulation of the space surveillance network models how a large sensor enterprise schedules, tasks, and processes observations under load</w:t>
      </w:r>
      <w:r>
        <w:t xml:space="preserve"> </w:t>
      </w:r>
      <w:hyperlink w:anchor="ref-2">
        <w:r>
          <w:rPr>
            <w:rStyle w:val="Hyperlink"/>
          </w:rPr>
          <w:t xml:space="preserve">[2]</w:t>
        </w:r>
      </w:hyperlink>
      <w:r>
        <w:t xml:space="preserve">. Its bearing on reversibility is indirect but real. Time a demonstration to coincide with network saturation, or aim it at a poorly covered orbital regime, and it generates a weaker observed signal than the identical act under favorable tasking. An event’s strategic content is thus partly endogenous to the observing side’s own architecture, a dependency the deterrence conversation rarely models out loud.</w:t>
      </w:r>
    </w:p>
    <w:p>
      <w:pPr>
        <w:pStyle w:val="BodyText"/>
        <w:spacing w:line="480" w:lineRule="auto"/>
        <w:ind w:firstLine="720"/>
      </w:pPr>
      <w:r>
        <w:t xml:space="preserve">Two further records round out the observability strand and show its breadth. Photometric characterization of active geostationary satellites shows that even routine, non-hostile objects demand sustained optical effort to distinguish and monitor, which sets a floor on how fast a subtle coercive maneuver could be recognized</w:t>
      </w:r>
      <w:r>
        <w:t xml:space="preserve"> </w:t>
      </w:r>
      <w:hyperlink w:anchor="ref-13">
        <w:r>
          <w:rPr>
            <w:rStyle w:val="Hyperlink"/>
          </w:rPr>
          <w:t xml:space="preserve">[13]</w:t>
        </w:r>
      </w:hyperlink>
      <w:r>
        <w:t xml:space="preserve">. Debris-impact testing of an additively manufactured mirror structure for space-based situational awareness turns attention to the resilience of the sensing platforms themselves, a reminder that the observing architecture can itself be degraded, and that its degradation would blunt the very attribution on which restraint signaling depends</w:t>
      </w:r>
      <w:r>
        <w:t xml:space="preserve"> </w:t>
      </w:r>
      <w:hyperlink w:anchor="ref-6">
        <w:r>
          <w:rPr>
            <w:rStyle w:val="Hyperlink"/>
          </w:rPr>
          <w:t xml:space="preserve">[6]</w:t>
        </w:r>
      </w:hyperlink>
      <w:r>
        <w:t xml:space="preserve"> </w:t>
      </w:r>
      <w:hyperlink w:anchor="ref-11">
        <w:r>
          <w:rPr>
            <w:rStyle w:val="Hyperlink"/>
          </w:rPr>
          <w:t xml:space="preserve">[11]</w:t>
        </w:r>
      </w:hyperlink>
      <w:r>
        <w:t xml:space="preserve">. Not one of these works tests a deterrence claim. Taken together they establish that the observability layer is rich, technical, and consequential, and that every strategic reading of reversibility inherits its limitations.</w:t>
      </w:r>
    </w:p>
    <w:bookmarkEnd w:id="71"/>
    <w:bookmarkStart w:id="72" w:name="the-maneuver-and-control-strand"/>
    <w:p>
      <w:pPr>
        <w:pStyle w:val="Heading2"/>
        <w:spacing w:line="480" w:lineRule="auto"/>
      </w:pPr>
      <w:r>
        <w:t xml:space="preserve">The maneuver and control strand</w:t>
      </w:r>
    </w:p>
    <w:p>
      <w:pPr>
        <w:pStyle w:val="FirstParagraph"/>
        <w:spacing w:line="480" w:lineRule="auto"/>
      </w:pPr>
      <w:r>
        <w:t xml:space="preserve">A second cluster concerns how satellites move and how their movement can be induced or controlled, which matters because maneuver coercion is one of the reversible behaviors the dissertation cares about. External position control and traffic management using a laser beam is the clearest example</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The concept uses directed energy to nudge an object’s position, a capability that sits uncomfortably between benign traffic management and coercive interference. That ambiguity is precisely the subject here. One physical action can be described as helpful deconfliction or as a demonstration of the power to move another state’s asset without consent, and the description does much of the strategic work.</w:t>
      </w:r>
    </w:p>
    <w:p>
      <w:pPr>
        <w:pStyle w:val="BodyText"/>
        <w:spacing w:line="480" w:lineRule="auto"/>
        <w:ind w:firstLine="720"/>
      </w:pPr>
      <w:r>
        <w:t xml:space="preserve">Differential-drag control of a satellite formation pushes the maneuver theme toward the low-cost end of the spectrum</w:t>
      </w:r>
      <w:r>
        <w:t xml:space="preserve"> </w:t>
      </w:r>
      <w:hyperlink w:anchor="ref-9">
        <w:r>
          <w:rPr>
            <w:rStyle w:val="Hyperlink"/>
          </w:rPr>
          <w:t xml:space="preserve">[9]</w:t>
        </w:r>
      </w:hyperlink>
      <w:r>
        <w:t xml:space="preserve">. Repositioning small spacecraft with atmospheric drag is reversible almost by definition, since the effect is gradual and leaves no wreckage, yet it also demonstrates sustained control over relative geometry. Long-arc orbit propagation, validated by the method of manufactured solutions and round-trip closure, supplies the numerical backbone that lets any of these maneuvers be predicted and, just as important, be seen to have been predicted by an adversary</w:t>
      </w:r>
      <w:r>
        <w:t xml:space="preserve"> </w:t>
      </w:r>
      <w:hyperlink w:anchor="ref-10">
        <w:r>
          <w:rPr>
            <w:rStyle w:val="Hyperlink"/>
          </w:rPr>
          <w:t xml:space="preserve">[10]</w:t>
        </w:r>
      </w:hyperlink>
      <w:r>
        <w:t xml:space="preserve">. Predictability cuts both ways. A maneuver an observer can propagate confidently is a maneuver whose intent can be inferred, which strengthens the signal. A maneuver that defeats propagation is deniable but mute. The control literature thus hands over the mechanics of reversible action while never asking how those mechanics are read.</w:t>
      </w:r>
    </w:p>
    <w:bookmarkEnd w:id="72"/>
    <w:bookmarkStart w:id="73" w:name="the-strategic-value-strand"/>
    <w:p>
      <w:pPr>
        <w:pStyle w:val="Heading2"/>
        <w:spacing w:line="480" w:lineRule="auto"/>
      </w:pPr>
      <w:r>
        <w:t xml:space="preserve">The strategic-value strand</w:t>
      </w:r>
    </w:p>
    <w:p>
      <w:pPr>
        <w:pStyle w:val="FirstParagraph"/>
        <w:spacing w:line="480" w:lineRule="auto"/>
      </w:pPr>
      <w:r>
        <w:t xml:space="preserve">Meaning enters with the third conversation. Work on value in the New Space Economy, taken from the end-user’s vantage, recasts satellite systems as suppliers of solutions rather than raw data, and that recasting is what finally explains why interfering with those systems counts as coercion at all</w:t>
      </w:r>
      <w:r>
        <w:t xml:space="preserve"> </w:t>
      </w:r>
      <w:hyperlink w:anchor="ref-5">
        <w:r>
          <w:rPr>
            <w:rStyle w:val="Hyperlink"/>
          </w:rPr>
          <w:t xml:space="preserve">[5]</w:t>
        </w:r>
      </w:hyperlink>
      <w:r>
        <w:t xml:space="preserve"> </w:t>
      </w:r>
      <w:hyperlink w:anchor="ref-16">
        <w:r>
          <w:rPr>
            <w:rStyle w:val="Hyperlink"/>
          </w:rPr>
          <w:t xml:space="preserve">[16]</w:t>
        </w:r>
      </w:hyperlink>
      <w:r>
        <w:t xml:space="preserve">. Locate a satellite’s value in the downstream service it enables, and a reversible denial of that service starts to look expensive even with nothing destroyed. Reversible does not mean costless on this account. It means cost without wreckage. The value literature is what lets the distinction be put precisely, and though the strand runs thin in the retrieved pool it bears real weight, because it is the one place the corpus bothers to say why an observer would respond to a counterspace act to begin with.</w:t>
      </w:r>
    </w:p>
    <w:p>
      <w:pPr>
        <w:pStyle w:val="BodyText"/>
        <w:spacing w:line="480" w:lineRule="auto"/>
        <w:ind w:firstLine="720"/>
      </w:pPr>
      <w:r>
        <w:t xml:space="preserve">Adjacent governance framing surfaces at the margins of the pool as well. Records touching integrated deterrence and the broader space economy, together with a proposal to manage orbital carrying capacity through an aviation-style class system tied to maneuverability and situational-awareness quality, gesture toward the institutional context in which reversible behavior would be judged</w:t>
      </w:r>
      <w:r>
        <w:t xml:space="preserve"> </w:t>
      </w:r>
      <w:hyperlink w:anchor="ref-16">
        <w:r>
          <w:rPr>
            <w:rStyle w:val="Hyperlink"/>
          </w:rPr>
          <w:t xml:space="preserve">[16]</w:t>
        </w:r>
      </w:hyperlink>
      <w:r>
        <w:t xml:space="preserve">. None of these is an event study. They supply the vocabulary of why space activity carries strategic weight, and they matter because a response-intensity outcome is interpretable only against some account of what is at stake.</w:t>
      </w:r>
    </w:p>
    <w:bookmarkEnd w:id="73"/>
    <w:bookmarkStart w:id="74" w:name="where-the-strands-fail-to-meet"/>
    <w:p>
      <w:pPr>
        <w:pStyle w:val="Heading2"/>
        <w:spacing w:line="480" w:lineRule="auto"/>
      </w:pPr>
      <w:r>
        <w:t xml:space="preserve">Where the strands fail to meet</w:t>
      </w:r>
    </w:p>
    <w:p>
      <w:pPr>
        <w:pStyle w:val="FirstParagraph"/>
        <w:spacing w:line="480" w:lineRule="auto"/>
      </w:pPr>
      <w:r>
        <w:t xml:space="preserve">Set the three strands side by side and the central gap is unmistakable, which is the whole point of laying them out this way. The observability literature tells us how an event becomes visible but not what its visibility implies for restraint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maneuver literature tells us how reversible action is produced but not how it is received</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value literature tells us why interference is costly but offers no event-level test of whether reversibility mutes or amplifies the response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Not one record in the pool supplies a falsifiable design that connects the reversibility label to a measured downstream reaction. That absence is the ground the dissertation claims.</w:t>
      </w:r>
    </w:p>
    <w:p>
      <w:pPr>
        <w:pStyle w:val="BodyText"/>
        <w:spacing w:line="480" w:lineRule="auto"/>
        <w:ind w:firstLine="720"/>
      </w:pPr>
      <w:r>
        <w:t xml:space="preserve">A second-order gap opens up too, this one about the pool itself. The retrieved literature is heterogeneous, drawn from at least three venue families and spanning two decades, and whether it coheres around the reversibility theme at all is far from obvious. A responsible project cannot assume that the sources it has assembled already constitute an ordered field. The two empirical papers here treat that assumption as a hypothesis rather than a premise. They ask whether the topic signal in the pool is structured by recency, citation attention, and venue, and whether citation accumulation follows the age curve a mature field would show</w:t>
      </w:r>
      <w:r>
        <w:t xml:space="preserve"> </w:t>
      </w:r>
      <w:hyperlink w:anchor="ref-16">
        <w:r>
          <w:rPr>
            <w:rStyle w:val="Hyperlink"/>
          </w:rPr>
          <w:t xml:space="preserve">[16]</w:t>
        </w:r>
      </w:hyperlink>
      <w:r>
        <w:t xml:space="preserve">. Both return nulls, and those nulls are the literature’s own verdict on its readiness.</w:t>
      </w:r>
    </w:p>
    <w:p>
      <w:pPr>
        <w:pStyle w:val="BodyText"/>
        <w:spacing w:line="480" w:lineRule="auto"/>
        <w:ind w:firstLine="720"/>
      </w:pPr>
      <w:r>
        <w:t xml:space="preserve">A specific humility governs the review that follows in later chapters. The sources illuminate the mechanism without yet supplying the deterrence evidence, and the distance between illumination and evidence is the whole reason the study exists. Pretend the observability papers had already tested restraint and the project overreaches. Ignore them and it has no account of how a reversible act becomes visible at all. The honest middle position, and the one this project takes, uses the technical strand to specify the observability constraints on signaling, uses the value strand to specify why response occurs, and reserves the deterrence claim itself for a dataset that does not yet exist</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74"/>
    <w:bookmarkStart w:id="75" w:name="Xea80dbf030a20ba022330d0e47d6131e5f79da0"/>
    <w:p>
      <w:pPr>
        <w:pStyle w:val="Heading2"/>
        <w:spacing w:line="480" w:lineRule="auto"/>
      </w:pPr>
      <w:r>
        <w:t xml:space="preserve">Method transfer from adjacent literatures</w:t>
      </w:r>
    </w:p>
    <w:p>
      <w:pPr>
        <w:pStyle w:val="FirstParagraph"/>
        <w:spacing w:line="480" w:lineRule="auto"/>
      </w:pPr>
      <w:r>
        <w:t xml:space="preserve">Because the retrieved pool contains no deterrence-event study, the dissertation borrows method rather than findings from the adjacent literatures, and which methods transfer and which do not deserves to be said plainly. From the observability strand it takes the discipline of treating characterization as probabilistic rather than certain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tracking and fusion literature never assumes an object is what it first appears to be; it propagates uncertainty through the estimation chain and reports confidence rather than a bare classification. An event study of reversible signaling should do the same, coding attribution confidence as a graded covariate rather than a binary flag, because the observability papers show that confident attribution is the exception rather than the rule in orbit</w:t>
      </w:r>
      <w:r>
        <w:t xml:space="preserve"> </w:t>
      </w:r>
      <w:hyperlink w:anchor="ref-2">
        <w:r>
          <w:rPr>
            <w:rStyle w:val="Hyperlink"/>
          </w:rPr>
          <w:t xml:space="preserve">[2]</w:t>
        </w:r>
      </w:hyperlink>
      <w:r>
        <w:t xml:space="preserve">. That methodological import serves the dissertation better than any substantive claim the observability papers could have offered.</w:t>
      </w:r>
    </w:p>
    <w:p>
      <w:pPr>
        <w:pStyle w:val="BodyText"/>
        <w:spacing w:line="480" w:lineRule="auto"/>
        <w:ind w:firstLine="720"/>
      </w:pPr>
      <w:r>
        <w:t xml:space="preserve">From the maneuver strand the dissertation takes the idea that predictability is itself a strategic variable. The orbit-propagation literature exists to make future positions computable, and its validation methods, manufactured solutions and round-trip closure, certify that a prediction can be trusted</w:t>
      </w:r>
      <w:r>
        <w:t xml:space="preserve"> </w:t>
      </w:r>
      <w:hyperlink w:anchor="ref-10">
        <w:r>
          <w:rPr>
            <w:rStyle w:val="Hyperlink"/>
          </w:rPr>
          <w:t xml:space="preserve">[10]</w:t>
        </w:r>
      </w:hyperlink>
      <w:r>
        <w:t xml:space="preserve">. Translated into signaling terms, a maneuver whose future the observer can compute is a maneuver whose intent the observer can read, so predictability and legibility travel together. The differential-drag and laser position-control concepts sharpen the point by showing how a maneuver can be made slow, subtle, and deniable, which is to say illegible on purpose</w:t>
      </w:r>
      <w:r>
        <w:t xml:space="preserve"> </w:t>
      </w:r>
      <w:hyperlink w:anchor="ref-3">
        <w:r>
          <w:rPr>
            <w:rStyle w:val="Hyperlink"/>
          </w:rPr>
          <w:t xml:space="preserve">[3]</w:t>
        </w:r>
      </w:hyperlink>
      <w:r>
        <w:t xml:space="preserve"> </w:t>
      </w:r>
      <w:hyperlink w:anchor="ref-9">
        <w:r>
          <w:rPr>
            <w:rStyle w:val="Hyperlink"/>
          </w:rPr>
          <w:t xml:space="preserve">[9]</w:t>
        </w:r>
      </w:hyperlink>
      <w:r>
        <w:t xml:space="preserve">. From this the event study inherits a coding requirement: record not only whether an act occurred but how legible it was, because legibility mediates whether an act signals anything at all.</w:t>
      </w:r>
    </w:p>
    <w:bookmarkEnd w:id="75"/>
    <w:bookmarkStart w:id="76" w:name="Xbbcb0983bbf83879f707928aa26949b0777a386"/>
    <w:p>
      <w:pPr>
        <w:pStyle w:val="Heading2"/>
        <w:spacing w:line="480" w:lineRule="auto"/>
      </w:pPr>
      <w:r>
        <w:t xml:space="preserve">Why bibliometric diagnostics are the right first move</w:t>
      </w:r>
    </w:p>
    <w:p>
      <w:pPr>
        <w:pStyle w:val="FirstParagraph"/>
        <w:spacing w:line="480" w:lineRule="auto"/>
      </w:pPr>
      <w:r>
        <w:t xml:space="preserve">Running bibliometric diagnostics before an event study is itself a methodological choice, one with precedent in how research fields assess their own maturity. A field that has consolidated tends to show recent, well-cited work clustering in a small number of venues, with a citation structure that follows recognizable accumulation curves. Measuring those properties is a standard way to ask whether a literature is ready to support synthesis. The dissertation turns that logic on its own retrieved pool. Were the reversibility theme mature, its topic signal would concentrate in recent and well-cited records, and citation counts would climb with age; the two diagnostic papers test exactly these expectations</w:t>
      </w:r>
      <w:r>
        <w:t xml:space="preserve"> </w:t>
      </w:r>
      <w:hyperlink w:anchor="ref-16">
        <w:r>
          <w:rPr>
            <w:rStyle w:val="Hyperlink"/>
          </w:rPr>
          <w:t xml:space="preserve">[16]</w:t>
        </w:r>
      </w:hyperlink>
      <w:r>
        <w:t xml:space="preserve">. Diagnosing before building is no detour from the deterrence question. It is the responsible first step, and the literature reviewed here is precisely the object the diagnostics measure.</w:t>
      </w:r>
    </w:p>
    <w:p>
      <w:pPr>
        <w:pStyle w:val="BodyText"/>
        <w:spacing w:line="480" w:lineRule="auto"/>
        <w:ind w:firstLine="720"/>
      </w:pPr>
      <w:r>
        <w:t xml:space="preserve">Placing the diagnostics inside the literature review, rather than off to the side as free-standing bibliometrics, keeps the whole project coherent. The records surveyed in this chapter are the same thirty records that populate the estimation files in Chapter 5. The observability papers, the maneuver papers, and the value papers are not background reading; they are the observations themselves. When Chapter 6 reports that the topic signal shows no structure by recency, attention, or venue, it reports a fact about the very sources catalogued here</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 review and the data are one material seen from two angles, and that unity is what lets a null diagnostic function as a genuine finding about the field rather than an empty statistical exercise.</w:t>
      </w:r>
    </w:p>
    <w:bookmarkEnd w:id="76"/>
    <w:bookmarkStart w:id="77" w:name="X2ec63900beeee465535e3f3181a89412841c24b"/>
    <w:p>
      <w:pPr>
        <w:pStyle w:val="Heading2"/>
        <w:spacing w:line="480" w:lineRule="auto"/>
      </w:pPr>
      <w:r>
        <w:t xml:space="preserve">Debris and the irreversible comparison class</w:t>
      </w:r>
    </w:p>
    <w:p>
      <w:pPr>
        <w:pStyle w:val="FirstParagraph"/>
        <w:spacing w:line="480" w:lineRule="auto"/>
      </w:pPr>
      <w:r>
        <w:t xml:space="preserve">The treatment contrast requires a comparison class of irreversible or debris-producing acts, and the retrieved pool speaks to that class too, if obliquely. Debris-impact testing of hardened situational-awareness structures is at bottom a study of what happens when orbital objects are struck, and it thereby illuminates the physical signature that separates an irreversible kinetic event from a reversible one</w:t>
      </w:r>
      <w:r>
        <w:t xml:space="preserve"> </w:t>
      </w:r>
      <w:hyperlink w:anchor="ref-6">
        <w:r>
          <w:rPr>
            <w:rStyle w:val="Hyperlink"/>
          </w:rPr>
          <w:t xml:space="preserve">[6]</w:t>
        </w:r>
      </w:hyperlink>
      <w:r>
        <w:t xml:space="preserve"> </w:t>
      </w:r>
      <w:hyperlink w:anchor="ref-11">
        <w:r>
          <w:rPr>
            <w:rStyle w:val="Hyperlink"/>
          </w:rPr>
          <w:t xml:space="preserve">[11]</w:t>
        </w:r>
      </w:hyperlink>
      <w:r>
        <w:t xml:space="preserve">. Debris is the paradigm of irreversibility. It persists, it spreads, it threatens third parties, and nothing recalls it. A kinetic anti-satellite demonstration writes its irreversibility into the orbital environment for years, which is exactly why it reads as a graver signal than a jamming episode that ends when the emitter cools. The engineering literature on debris resilience is no deterrence study, yet it supplies the material basis for the reversible-irreversible distinction the dissertation rests on, and it reminds the analyst that the comparison class is defined by lasting physical consequence rather than by intent alone.</w:t>
      </w:r>
    </w:p>
    <w:p>
      <w:pPr>
        <w:pStyle w:val="BodyText"/>
        <w:spacing w:line="480" w:lineRule="auto"/>
        <w:ind w:firstLine="720"/>
      </w:pPr>
      <w:r>
        <w:t xml:space="preserve">A governance thread runs through here too. A proposal to manage orbital carrying capacity through an aviation-style class system, keyed to maneuverability and situational-awareness quality rather than to a raw satellite count, treats debris and collision risk as the organizing hazards of the orbital commons. That framing matters because it places reversible and irreversible acts on a shared risk gradient. An irreversible act does more than harm its target; it degrades a shared resource, and the response it provokes may reflect collective as much as bilateral interest. A reversible act, imposing cost without wreckage, sits elsewhere on that gradient, and the difference is part of what the response function must capture</w:t>
      </w:r>
      <w:r>
        <w:t xml:space="preserve"> </w:t>
      </w:r>
      <w:hyperlink w:anchor="ref-16">
        <w:r>
          <w:rPr>
            <w:rStyle w:val="Hyperlink"/>
          </w:rPr>
          <w:t xml:space="preserve">[16]</w:t>
        </w:r>
      </w:hyperlink>
      <w:r>
        <w:t xml:space="preserve">. The governance literature thus supplies the systemic backdrop against which bilateral signaling is judged, one more strand the event study will have to weave in.</w:t>
      </w:r>
    </w:p>
    <w:bookmarkEnd w:id="77"/>
    <w:bookmarkStart w:id="78" w:name="summary-of-the-situation"/>
    <w:p>
      <w:pPr>
        <w:pStyle w:val="Heading2"/>
        <w:spacing w:line="480" w:lineRule="auto"/>
      </w:pPr>
      <w:r>
        <w:t xml:space="preserve">Summary of the situation</w:t>
      </w:r>
    </w:p>
    <w:p>
      <w:pPr>
        <w:pStyle w:val="FirstParagraph"/>
        <w:spacing w:line="480" w:lineRule="auto"/>
      </w:pPr>
      <w:r>
        <w:t xml:space="preserve">Pull the strands together and a pattern emerges: a literature deep on the technical side, shallow on the strategic side, at least on the one question of reversible signaling. Observability is well developed. So are maneuver mechanics. So is the physical basis of irreversibility. Not one record, for all that development, connects the reversibility label to a measured downstream response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value literature explains why a response occurs but stops short of how reversibility modulates it</w:t>
      </w:r>
      <w:r>
        <w:t xml:space="preserve"> </w:t>
      </w:r>
      <w:hyperlink w:anchor="ref-5">
        <w:r>
          <w:rPr>
            <w:rStyle w:val="Hyperlink"/>
          </w:rPr>
          <w:t xml:space="preserve">[5]</w:t>
        </w:r>
      </w:hyperlink>
      <w:r>
        <w:t xml:space="preserve">, and the governance literature supplies a systemic frame with no event-level test attached. So this is not a field holding a settled answer that the dissertation has to overturn. It is a field holding a confident intuition that has never once been put to a test, and the review has shown, in the same breath, both why that intuition is plausible and why the sources on hand cannot confirm it. The two diagnostic papers then ask whether the retrieved pool is even organized enough to guide such a test, and their answer, worked out in the chapters ahead, points the project toward primary event assembly</w:t>
      </w:r>
      <w:r>
        <w:t xml:space="preserve"> </w:t>
      </w:r>
      <w:hyperlink w:anchor="ref-16">
        <w:r>
          <w:rPr>
            <w:rStyle w:val="Hyperlink"/>
          </w:rPr>
          <w:t xml:space="preserve">[16]</w:t>
        </w:r>
      </w:hyperlink>
      <w:r>
        <w:t xml:space="preserve">.</w:t>
      </w:r>
    </w:p>
    <w:bookmarkEnd w:id="78"/>
    <w:bookmarkStart w:id="79" w:name="X6c94c8b44ed0cd95effafa7990525c3d6b46573"/>
    <w:p>
      <w:pPr>
        <w:pStyle w:val="Heading2"/>
        <w:spacing w:line="480" w:lineRule="auto"/>
      </w:pPr>
      <w:r>
        <w:t xml:space="preserve">The heterogeneity of the pool as a substantive fact</w:t>
      </w:r>
    </w:p>
    <w:p>
      <w:pPr>
        <w:pStyle w:val="FirstParagraph"/>
        <w:spacing w:line="480" w:lineRule="auto"/>
      </w:pPr>
      <w:r>
        <w:t xml:space="preserve">Treating the pool’s heterogeneity as a nuisance, a mismatch between the sources available and the question asked, would be the easy move. It reads better as a substantive fact about the field. The records span sensor-fusion experiments, orbit-propagation validation, differential-drag control, debris-impact testing, photometric characterization, solar-power structures, detonation-engine studies, propellant grain design, and space-economy value analysis, drawn across AMOS proceedings, Acta Astronautica, and a governance family</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That spread is not the shape of a mature deterrence literature. A consolidated field would return sources clustered around a shared theoretical vocabulary and a common set of empirical objects. This pool returns a cross-section of the broader space-technology and space-policy enterprise, the reversibility theme surfacing only faintly and unevenly across it. The heterogeneity is the field telling the analyst that reversible signaling has not yet crystallized into a distinct research object with its own corpus.</w:t>
      </w:r>
    </w:p>
    <w:p>
      <w:pPr>
        <w:pStyle w:val="BodyText"/>
        <w:spacing w:line="480" w:lineRule="auto"/>
        <w:ind w:firstLine="720"/>
      </w:pPr>
      <w:r>
        <w:t xml:space="preserve">This reading matters because it changes how the later nulls should be understood. Were the pool homogeneous and still showing no metadata structure, that would be a puzzle demanding explanation. Because the pool is heterogeneous, the absence of structure is exactly what one would expect, and the diagnostics confirm rather than surprise</w:t>
      </w:r>
      <w:r>
        <w:t xml:space="preserve"> </w:t>
      </w:r>
      <w:hyperlink w:anchor="ref-5">
        <w:r>
          <w:rPr>
            <w:rStyle w:val="Hyperlink"/>
          </w:rPr>
          <w:t xml:space="preserve">[5]</w:t>
        </w:r>
      </w:hyperlink>
      <w:r>
        <w:t xml:space="preserve">. So the literature review and the empirical chapters tell one coherent story. The field is broad and technically accomplished but has not organized itself around the reversibility question, and the qualitative survey here and the quantitative diagnostics later report the same underlying condition from their different vantage points.</w:t>
      </w:r>
    </w:p>
    <w:bookmarkEnd w:id="79"/>
    <w:bookmarkStart w:id="80" w:name="X142283ac1d94fa94be3f5281dc59267cb29e424"/>
    <w:p>
      <w:pPr>
        <w:pStyle w:val="Heading2"/>
        <w:spacing w:line="480" w:lineRule="auto"/>
      </w:pPr>
      <w:r>
        <w:t xml:space="preserve">Positioning the dissertation within the field</w:t>
      </w:r>
    </w:p>
    <w:p>
      <w:pPr>
        <w:pStyle w:val="FirstParagraph"/>
        <w:spacing w:line="480" w:lineRule="auto"/>
      </w:pPr>
      <w:r>
        <w:t xml:space="preserve">Given that condition, the dissertation does not stand as a synthesis of a settled literature. It stands as a first attempt to give the reversibility question a falsifiable frame of its own. It takes observability constraints from the technical strand, cost logic from the value strand, and the reversible-irreversible contrast from the debris and governance strands, then fits these together into a response function that none of the source strands states by itself</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16">
        <w:r>
          <w:rPr>
            <w:rStyle w:val="Hyperlink"/>
          </w:rPr>
          <w:t xml:space="preserve">[16]</w:t>
        </w:r>
      </w:hyperlink>
      <w:r>
        <w:t xml:space="preserve">. That assembly is the review’s constructive payoff. No single record supplies the deterrence test, the chapter has shown as much, and it has also shown which pieces of the test each strand can lend. What remains, and what the rest of the dissertation takes up, is to specify the estimator, document the data, report the diagnostics, and lay out the event study that would carry the borrowed pieces into a genuine deterrence estimate. The literature supplies materials, not a building. Drawing the plans is the dissertation’s job</w:t>
      </w:r>
      <w:r>
        <w:t xml:space="preserve"> </w:t>
      </w:r>
      <w:hyperlink w:anchor="ref-8">
        <w:r>
          <w:rPr>
            <w:rStyle w:val="Hyperlink"/>
          </w:rPr>
          <w:t xml:space="preserve">[8]</w:t>
        </w:r>
      </w:hyperlink>
      <w:r>
        <w:t xml:space="preserve">.</w:t>
      </w:r>
    </w:p>
    <w:bookmarkEnd w:id="80"/>
    <w:bookmarkEnd w:id="81"/>
    <w:bookmarkStart w:id="92" w:name="chapter-3.-theory-and-hypotheses"/>
    <w:p>
      <w:pPr>
        <w:pStyle w:val="Heading1"/>
        <w:spacing w:line="480" w:lineRule="auto"/>
      </w:pPr>
      <w:r>
        <w:t xml:space="preserve">Chapter 3. Theory and Hypotheses</w:t>
      </w:r>
    </w:p>
    <w:p>
      <w:pPr>
        <w:pStyle w:val="FirstParagraph"/>
        <w:spacing w:line="480" w:lineRule="auto"/>
      </w:pPr>
      <w:r>
        <w:t xml:space="preserve">One question comes before every other in a theory of reversible signaling. Why would an observing state answer an act that destroys nothing any differently from an act that leaves wreckage strewn across an orbit? Harmlessness will not do as the answer, since a reversible denial of a satellite service can cost the target dearly</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answer has to run through interpretation. An observer reads a reversible act against a bundle of inferences about the actor’s intent, its capability, and its appetite for escalation, and it is that reading, not the underlying physics, that fixes the response. This chapter builds the mechanism tying the reversibility label to downstream response intensity. Then it derives the predictions the dissertation can, and cannot, test at its present stage.</w:t>
      </w:r>
    </w:p>
    <w:bookmarkStart w:id="82" w:name="X39dfd938ae0b12b3d2ba1e654e5dc857d64ba01"/>
    <w:p>
      <w:pPr>
        <w:pStyle w:val="Heading2"/>
        <w:spacing w:line="480" w:lineRule="auto"/>
      </w:pPr>
      <w:r>
        <w:t xml:space="preserve">The mechanism: reversibility as a two-sided signal</w:t>
      </w:r>
    </w:p>
    <w:p>
      <w:pPr>
        <w:pStyle w:val="FirstParagraph"/>
        <w:spacing w:line="480" w:lineRule="auto"/>
      </w:pPr>
      <w:r>
        <w:t xml:space="preserve">Consider a state that observes a counterspace demonstration directed at one of its assets. The demonstration is reversible: the effect can be lifted and no debris is produced. What does the observer learn? On the restraint account, the observer learns that the initiator deliberately chose a limited option when a more destructive one was on the table, and that choice is itself a costly signal, evidence of a preference for controlled competition over open conflict. The reversible act works as a warning shot, legible precisely because it stops short of harm. If the restraint account holds, the observer’s response should stay measured, a diplomatic protest perhaps, but not doctrinal upheaval or a budget surge.</w:t>
      </w:r>
    </w:p>
    <w:p>
      <w:pPr>
        <w:pStyle w:val="BodyText"/>
        <w:spacing w:line="480" w:lineRule="auto"/>
        <w:ind w:firstLine="720"/>
      </w:pPr>
      <w:r>
        <w:t xml:space="preserve">The competing normalization account teaches the observer something far less comforting. What the initiator has really demonstrated is a capacity to impose cost again and again, cheaply, and with deniability intact, all without ever crossing the threshold that would license a hard answer. Reversibility on this reading places no ceiling on the coercion. It industrializes it. Every reversible act shaves the perceived cost of the next one, and the missing wreckage robs the target of a clean casus belli. Where the normalization account holds, an observer’s response to a reversible act should come no gentler than its response to a discrete kinetic event, and quite possibly harsher, because what the observer is reacting to is a proven capacity for sustained interference and not a lone incident.</w:t>
      </w:r>
    </w:p>
    <w:p>
      <w:pPr>
        <w:pStyle w:val="BodyText"/>
        <w:spacing w:line="480" w:lineRule="auto"/>
        <w:ind w:firstLine="720"/>
      </w:pPr>
      <w:r>
        <w:t xml:space="preserve">The mechanism therefore has reversibility entering the response function with an ambiguous sign, and the whole point of the dissertation is that the sign is an empirical question rather than a definitional one. The restraint account predicts a negative coefficient on reversibility in a model of response intensity. The normalization account predicts a coefficient at or above zero. Both are coherent, and only data can adjudicate between them.</w:t>
      </w:r>
    </w:p>
    <w:bookmarkEnd w:id="82"/>
    <w:bookmarkStart w:id="83" w:name="observability-as-a-moderator"/>
    <w:p>
      <w:pPr>
        <w:pStyle w:val="Heading2"/>
        <w:spacing w:line="480" w:lineRule="auto"/>
      </w:pPr>
      <w:r>
        <w:t xml:space="preserve">Observability as a moderator</w:t>
      </w:r>
    </w:p>
    <w:p>
      <w:pPr>
        <w:pStyle w:val="FirstParagraph"/>
        <w:spacing w:line="480" w:lineRule="auto"/>
      </w:pPr>
      <w:r>
        <w:t xml:space="preserve">The mechanism does not run in a vacuum. It runs through the observability architecture surveyed a chapter ago, and that architecture conditions the signal at every step of the way</w:t>
      </w:r>
      <w:r>
        <w:t xml:space="preserve"> </w:t>
      </w:r>
      <w:hyperlink w:anchor="ref-1">
        <w:r>
          <w:rPr>
            <w:rStyle w:val="Hyperlink"/>
          </w:rPr>
          <w:t xml:space="preserve">[1]</w:t>
        </w:r>
      </w:hyperlink>
      <w:r>
        <w:t xml:space="preserve"> </w:t>
      </w:r>
      <w:hyperlink w:anchor="ref-4">
        <w:r>
          <w:rPr>
            <w:rStyle w:val="Hyperlink"/>
          </w:rPr>
          <w:t xml:space="preserve">[4]</w:t>
        </w:r>
      </w:hyperlink>
      <w:r>
        <w:t xml:space="preserve">. Three moderators do the conditioning. Attribution clarity is the first: a reversible act nobody can confidently attribute draws a muted response, not because the observer chose restraint but because the observer cannot put a name to the culprit</w:t>
      </w:r>
      <w:r>
        <w:t xml:space="preserve"> </w:t>
      </w:r>
      <w:hyperlink w:anchor="ref-1">
        <w:r>
          <w:rPr>
            <w:rStyle w:val="Hyperlink"/>
          </w:rPr>
          <w:t xml:space="preserve">[1]</w:t>
        </w:r>
      </w:hyperlink>
      <w:r>
        <w:t xml:space="preserve">. Characterization confidence is the second: a maneuver subtle enough that the tracking and fusion pipeline resolves it only weakly may land as noise instead of message</w:t>
      </w:r>
      <w:r>
        <w:t xml:space="preserve"> </w:t>
      </w:r>
      <w:hyperlink w:anchor="ref-2">
        <w:r>
          <w:rPr>
            <w:rStyle w:val="Hyperlink"/>
          </w:rPr>
          <w:t xml:space="preserve">[2]</w:t>
        </w:r>
      </w:hyperlink>
      <w:r>
        <w:t xml:space="preserve"> </w:t>
      </w:r>
      <w:hyperlink w:anchor="ref-10">
        <w:r>
          <w:rPr>
            <w:rStyle w:val="Hyperlink"/>
          </w:rPr>
          <w:t xml:space="preserve">[10]</w:t>
        </w:r>
      </w:hyperlink>
      <w:r>
        <w:t xml:space="preserve">. Narrative framing is the third: the same event can be dressed for allies and publics as a limited warning or as a rehearsal for wider coercion, and that framing moves the response independently of the physical facts</w:t>
      </w:r>
      <w:r>
        <w:t xml:space="preserve"> </w:t>
      </w:r>
      <w:hyperlink w:anchor="ref-5">
        <w:r>
          <w:rPr>
            <w:rStyle w:val="Hyperlink"/>
          </w:rPr>
          <w:t xml:space="preserve">[5]</w:t>
        </w:r>
      </w:hyperlink>
      <w:r>
        <w:t xml:space="preserve">.</w:t>
      </w:r>
    </w:p>
    <w:p>
      <w:pPr>
        <w:pStyle w:val="BodyText"/>
        <w:spacing w:line="480" w:lineRule="auto"/>
        <w:ind w:firstLine="720"/>
      </w:pPr>
      <w:r>
        <w:t xml:space="preserve">These moderators generate a prediction that is easy to miss. Reversible acts may look like they produce restraint in the aggregate simply because they are systematically harder to see and attribute, which suppresses measured response for reasons that have nothing to do with strategic reassurance. Any test of the restraint account must therefore control for observability, or it will confound a detection artifact with a deterrence effect. This is no peripheral caveat. It sits at the center of the identification logic developed in Chapter 4, and it is why the eventual event model must code attribution status, target type, and visibility for every observation.</w:t>
      </w:r>
    </w:p>
    <w:bookmarkEnd w:id="83"/>
    <w:bookmarkStart w:id="84" w:name="X44395d9b1132b063c11a723d917d5ef7ef23291"/>
    <w:p>
      <w:pPr>
        <w:pStyle w:val="Heading2"/>
        <w:spacing w:line="480" w:lineRule="auto"/>
      </w:pPr>
      <w:r>
        <w:t xml:space="preserve">From the deterrence claim to testable predictions</w:t>
      </w:r>
    </w:p>
    <w:p>
      <w:pPr>
        <w:pStyle w:val="FirstParagraph"/>
        <w:spacing w:line="480" w:lineRule="auto"/>
      </w:pPr>
      <w:r>
        <w:t xml:space="preserve">The primary prediction is the deterrence claim itself. Once observability and context are controlled, reversible demonstrations either lower downstream response intensity or they do not. That prediction requires an event-level dataset of counterspace demonstrations paired with coded responses, and that dataset is the project’s ultimate empirical target, not its current deliverable. The design-stage honesty of the project consists in naming this gap rather than papering over it.</w:t>
      </w:r>
    </w:p>
    <w:p>
      <w:pPr>
        <w:pStyle w:val="BodyText"/>
        <w:spacing w:line="480" w:lineRule="auto"/>
        <w:ind w:firstLine="720"/>
      </w:pPr>
      <w:r>
        <w:t xml:space="preserve">What the project can test now is a set of auxiliary predictions about the source base on which the eventual event study will rest. These predictions matter because they gate the credibility of any later deterrence estimate. Should the literature that supposedly frames reversible signaling turn out to be a well-ordered field, borrowing its structure to guide event coding is defensible. Should it turn out to be a scattered set of adjacent records, the event study must be built from primary sources with far more caution. The auxiliary predictions turn that concern into hypotheses the retrieved corpus can actually answer</w:t>
      </w:r>
      <w:r>
        <w:t xml:space="preserve"> </w:t>
      </w:r>
      <w:hyperlink w:anchor="ref-16">
        <w:r>
          <w:rPr>
            <w:rStyle w:val="Hyperlink"/>
          </w:rPr>
          <w:t xml:space="preserve">[16]</w:t>
        </w:r>
      </w:hyperlink>
      <w:r>
        <w:t xml:space="preserve">.</w:t>
      </w:r>
    </w:p>
    <w:p>
      <w:pPr>
        <w:pStyle w:val="BodyText"/>
        <w:spacing w:line="480" w:lineRule="auto"/>
        <w:ind w:firstLine="720"/>
      </w:pPr>
      <w:r>
        <w:t xml:space="preserve">The first auxiliary prediction concerns cross-sectional structure. Were the reversibility-and-deterrence theme a mature research front, its strongest topic signal would concentrate in recent, well-cited records within a dominant venue family. The corresponding hypotheses are stated at the level of the retrieved source set.</w:t>
      </w:r>
    </w:p>
    <w:p>
      <w:pPr>
        <w:pStyle w:val="BodyText"/>
        <w:spacing w:line="480" w:lineRule="auto"/>
        <w:ind w:firstLine="720"/>
      </w:pPr>
      <w:r>
        <w:rPr>
          <w:b/>
          <w:bCs/>
        </w:rPr>
        <w:t xml:space="preserve">H0 (Paper 1):</w:t>
      </w:r>
      <w:r>
        <w:t xml:space="preserve"> </w:t>
      </w:r>
      <w:r>
        <w:t xml:space="preserve">The topic-signal score is unrelated to publication recency, citation attention, and venue family.</w:t>
      </w:r>
    </w:p>
    <w:p>
      <w:pPr>
        <w:pStyle w:val="BodyText"/>
        <w:spacing w:line="480" w:lineRule="auto"/>
        <w:ind w:firstLine="720"/>
      </w:pPr>
      <w:r>
        <w:rPr>
          <w:b/>
          <w:bCs/>
        </w:rPr>
        <w:t xml:space="preserve">H1 (Paper 1):</w:t>
      </w:r>
      <w:r>
        <w:t xml:space="preserve"> </w:t>
      </w:r>
      <w:r>
        <w:t xml:space="preserve">The topic-signal score increases with recency and citation attention.</w:t>
      </w:r>
    </w:p>
    <w:p>
      <w:pPr>
        <w:pStyle w:val="BodyText"/>
        <w:spacing w:line="480" w:lineRule="auto"/>
        <w:ind w:firstLine="720"/>
      </w:pPr>
      <w:r>
        <w:t xml:space="preserve">The second auxiliary prediction concerns accumulation over time. A settled field ordinarily shows older records accruing more citations, so citation count should climb with article age along a recognizable curve. Where that curve is absent, the corpus is not behaving like an age-ordered canon, and chronological seniority makes a poor filter for relevance.</w:t>
      </w:r>
    </w:p>
    <w:p>
      <w:pPr>
        <w:pStyle w:val="BodyText"/>
        <w:spacing w:line="480" w:lineRule="auto"/>
        <w:ind w:firstLine="720"/>
      </w:pPr>
      <w:r>
        <w:rPr>
          <w:b/>
          <w:bCs/>
        </w:rPr>
        <w:t xml:space="preserve">H0 (Paper 2):</w:t>
      </w:r>
      <w:r>
        <w:t xml:space="preserve"> </w:t>
      </w:r>
      <w:r>
        <w:t xml:space="preserve">Citation accumulation is unrelated to article age in the retrieved topic literature.</w:t>
      </w:r>
    </w:p>
    <w:p>
      <w:pPr>
        <w:pStyle w:val="BodyText"/>
        <w:spacing w:line="480" w:lineRule="auto"/>
        <w:ind w:firstLine="720"/>
      </w:pPr>
      <w:r>
        <w:rPr>
          <w:b/>
          <w:bCs/>
        </w:rPr>
        <w:t xml:space="preserve">H1 (Paper 2):</w:t>
      </w:r>
      <w:r>
        <w:t xml:space="preserve"> </w:t>
      </w:r>
      <w:r>
        <w:t xml:space="preserve">Citation accumulation follows a measurable age-based attention curve.</w:t>
      </w:r>
    </w:p>
    <w:bookmarkEnd w:id="84"/>
    <w:bookmarkStart w:id="85" w:name="X10307ee88a007f3be69ae05c06021da9e2acfa4"/>
    <w:p>
      <w:pPr>
        <w:pStyle w:val="Heading2"/>
        <w:spacing w:line="480" w:lineRule="auto"/>
      </w:pPr>
      <w:r>
        <w:t xml:space="preserve">Rival explanations and what each outcome would mean</w:t>
      </w:r>
    </w:p>
    <w:p>
      <w:pPr>
        <w:pStyle w:val="FirstParagraph"/>
        <w:spacing w:line="480" w:lineRule="auto"/>
      </w:pPr>
      <w:r>
        <w:t xml:space="preserve">The framework names its rivals rather than wishing them away. A signal in Paper 1 could reflect venue coverage rather than substantive centrality, since Acta Astronautica and space-economy records enter the pool through different retrieval paths than the AMOS conference records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signal in Paper 2 could reflect the idiosyncratic citation histories of a few heavily cited records rather than a genuine field-wide curve</w:t>
      </w:r>
      <w:r>
        <w:t xml:space="preserve"> </w:t>
      </w:r>
      <w:hyperlink w:anchor="ref-5">
        <w:r>
          <w:rPr>
            <w:rStyle w:val="Hyperlink"/>
          </w:rPr>
          <w:t xml:space="preserve">[5]</w:t>
        </w:r>
      </w:hyperlink>
      <w:r>
        <w:t xml:space="preserve">. Metadata availability is itself uneven, so an apparent null could spring from missing citation fields rather than from a true absence of structure. Each of these rivals is a reason to read the auxiliary results conservatively, and each is a threat the eventual deterrence model would have to confront in a sharper form.</w:t>
      </w:r>
    </w:p>
    <w:p>
      <w:pPr>
        <w:pStyle w:val="BodyText"/>
        <w:spacing w:line="480" w:lineRule="auto"/>
        <w:ind w:firstLine="720"/>
      </w:pPr>
      <w:r>
        <w:t xml:space="preserve">The theory supports an evidence ladder rather than a single verdict. A precise auxiliary coefficient would show the corpus has interpretable structure the deterrence design could lean on. A null auxiliary result would show instead that the corpus is not yet organized around the theme and that the deterrence design must be built from primary event records with independent coding. Both rungs inform. The dissertation reads a null as evidence about the readiness of the field, not as a failure of the inquiry, so long as the interpretation stays tethered to the source trail and to the specific quantities the models estimate</w:t>
      </w:r>
      <w:r>
        <w:t xml:space="preserve"> </w:t>
      </w:r>
      <w:hyperlink w:anchor="ref-7">
        <w:r>
          <w:rPr>
            <w:rStyle w:val="Hyperlink"/>
          </w:rPr>
          <w:t xml:space="preserve">[7]</w:t>
        </w:r>
      </w:hyperlink>
      <w:r>
        <w:t xml:space="preserve"> </w:t>
      </w:r>
      <w:hyperlink w:anchor="ref-8">
        <w:r>
          <w:rPr>
            <w:rStyle w:val="Hyperlink"/>
          </w:rPr>
          <w:t xml:space="preserve">[8]</w:t>
        </w:r>
      </w:hyperlink>
      <w:r>
        <w:t xml:space="preserve">. That discipline is what turns an intuitive commonplace about reversibility into a program of falsifiable work.</w:t>
      </w:r>
    </w:p>
    <w:bookmarkEnd w:id="85"/>
    <w:bookmarkStart w:id="86" w:name="formalizing-the-response-function"/>
    <w:p>
      <w:pPr>
        <w:pStyle w:val="Heading2"/>
        <w:spacing w:line="480" w:lineRule="auto"/>
      </w:pPr>
      <w:r>
        <w:t xml:space="preserve">Formalizing the response function</w:t>
      </w:r>
    </w:p>
    <w:p>
      <w:pPr>
        <w:pStyle w:val="FirstParagraph"/>
        <w:spacing w:line="480" w:lineRule="auto"/>
      </w:pPr>
      <w:r>
        <w:t xml:space="preserve">Writing the mechanism as a compact response function adds no mathematical dressing; it makes the moderators explicit and the identification requirements visible. Let the expected downstream response intensity to event (i) be a function of the reversibility indicator (R_i), a vector of observability moderators (O_i) capturing attribution clarity, characterization confidence, and visibility, a vector of context controls (C_i) capturing target type and crisis proximity, and an interaction between reversibility and observability. In reduced form, (E[Y_i] =</w:t>
      </w:r>
      <w:r>
        <w:t xml:space="preserve"> </w:t>
      </w:r>
      <w:r>
        <w:t xml:space="preserve">_0 +</w:t>
      </w:r>
      <w:r>
        <w:t xml:space="preserve"> </w:t>
      </w:r>
      <w:r>
        <w:t xml:space="preserve">_1 R_i +</w:t>
      </w:r>
      <w:r>
        <w:t xml:space="preserve"> </w:t>
      </w:r>
      <w:r>
        <w:t xml:space="preserve">_2 O_i +</w:t>
      </w:r>
      <w:r>
        <w:t xml:space="preserve"> </w:t>
      </w:r>
      <w:r>
        <w:t xml:space="preserve">_3 (R_i</w:t>
      </w:r>
      <w:r>
        <w:t xml:space="preserve"> </w:t>
      </w:r>
      <w:r>
        <w:t xml:space="preserve">O_i) +</w:t>
      </w:r>
      <w:r>
        <w:t xml:space="preserve"> </w:t>
      </w:r>
      <w:r>
        <w:t xml:space="preserve">_4 C_i). The restraint account predicts (</w:t>
      </w:r>
      <w:r>
        <w:t xml:space="preserve">_1 &lt; 0). The normalization account predicts (</w:t>
      </w:r>
      <w:r>
        <w:t xml:space="preserve">_1</w:t>
      </w:r>
      <w:r>
        <w:t xml:space="preserve"> </w:t>
      </w:r>
      <w:r>
        <w:t xml:space="preserve">). The observability confound lives in (</w:t>
      </w:r>
      <w:r>
        <w:t xml:space="preserve">_3). Should reversible acts suppress response mainly through reduced attributability, the apparent restraint effect will load onto the interaction term rather than onto (R_i) itself, and a specification that omits (O_i) will misattribute a detection artifact to strategic reassurance.</w:t>
      </w:r>
    </w:p>
    <w:p>
      <w:pPr>
        <w:pStyle w:val="BodyText"/>
        <w:spacing w:line="480" w:lineRule="auto"/>
        <w:ind w:firstLine="720"/>
      </w:pPr>
      <w:r>
        <w:t xml:space="preserve">Writing the function this way clarifies why the eventual event study cannot be a simple two-group comparison of reversible against irreversible events. Drop (O_i) from the model and (</w:t>
      </w:r>
      <w:r>
        <w:t xml:space="preserve">_1) absorbs both the strategic effect and the detection effect, which are not separable. The observability literature supplies the covariates for (O_i), one more reason the technical strand belongs in a deterrence dissertation rather than off to the side as off-topic</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value literature supplies the scale on which (Y_i) is meaningful, since a response is intense only relative to the stake the target perceives</w:t>
      </w:r>
      <w:r>
        <w:t xml:space="preserve"> </w:t>
      </w:r>
      <w:hyperlink w:anchor="ref-5">
        <w:r>
          <w:rPr>
            <w:rStyle w:val="Hyperlink"/>
          </w:rPr>
          <w:t xml:space="preserve">[5]</w:t>
        </w:r>
      </w:hyperlink>
      <w:r>
        <w:t xml:space="preserve">. The formalization thus ties every strand of the literature to a specific term in the response function, and it shows that the deterrence claim is identified only when all the terms are measured.</w:t>
      </w:r>
    </w:p>
    <w:bookmarkEnd w:id="86"/>
    <w:bookmarkStart w:id="87" w:name="boundary-conditions-of-the-mechanism"/>
    <w:p>
      <w:pPr>
        <w:pStyle w:val="Heading2"/>
        <w:spacing w:line="480" w:lineRule="auto"/>
      </w:pPr>
      <w:r>
        <w:t xml:space="preserve">Boundary conditions of the mechanism</w:t>
      </w:r>
    </w:p>
    <w:p>
      <w:pPr>
        <w:pStyle w:val="FirstParagraph"/>
        <w:spacing w:line="480" w:lineRule="auto"/>
      </w:pPr>
      <w:r>
        <w:t xml:space="preserve">The mechanism carries boundary conditions that fix where it applies. It assumes the observing state can, at least sometimes, attribute the act to a specific initiator; where attribution is impossible in principle, reversibility cannot signal restraint, because the signal has no identified sender</w:t>
      </w:r>
      <w:r>
        <w:t xml:space="preserve"> </w:t>
      </w:r>
      <w:hyperlink w:anchor="ref-1">
        <w:r>
          <w:rPr>
            <w:rStyle w:val="Hyperlink"/>
          </w:rPr>
          <w:t xml:space="preserve">[1]</w:t>
        </w:r>
      </w:hyperlink>
      <w:r>
        <w:t xml:space="preserve">. It assumes the target values the affected service enough that its denial registers as coercive; a reversible interference with a redundant or low-value asset may provoke no measurable response for reasons unrelated to reversibility</w:t>
      </w:r>
      <w:r>
        <w:t xml:space="preserve"> </w:t>
      </w:r>
      <w:hyperlink w:anchor="ref-16">
        <w:r>
          <w:rPr>
            <w:rStyle w:val="Hyperlink"/>
          </w:rPr>
          <w:t xml:space="preserve">[16]</w:t>
        </w:r>
      </w:hyperlink>
      <w:r>
        <w:t xml:space="preserve">. And it assumes a bounded response window within which downstream reactions trace to the triggering event rather than to unrelated developments; in a busy strategic environment, isolating the response to a single counterspace act is itself a coding challenge. None of these boundary conditions is a weakness of the theory. They are the conditions under which the theory makes a testable prediction, and stating them lets the eventual event study define its sample deliberately rather than by convenience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87"/>
    <w:bookmarkStart w:id="88" w:name="Xf570f8c809a9a80143e94f0896101da55cee6f9"/>
    <w:p>
      <w:pPr>
        <w:pStyle w:val="Heading2"/>
        <w:spacing w:line="480" w:lineRule="auto"/>
      </w:pPr>
      <w:r>
        <w:t xml:space="preserve">Costly signaling and the reversibility paradox</w:t>
      </w:r>
    </w:p>
    <w:p>
      <w:pPr>
        <w:pStyle w:val="FirstParagraph"/>
        <w:spacing w:line="480" w:lineRule="auto"/>
      </w:pPr>
      <w:r>
        <w:t xml:space="preserve">Placed against the classical logic of costly signaling, the theory sharpens. That logic makes a signal credible for one reason: it is expensive to send, so a bluffer would not bother sending it. A kinetic demonstration is costly in exactly this way, consuming an interceptor, exposing a capability, and polluting an orbit the sender may want for itself. Reversibility cuts against the logic. A reversible act is cheap, and cheapness, on the classical account, should make it a weak signal, easy to brush aside as cheap talk. Out of this falls the paradox the dissertation has to face. Cheap reversible acts should signal little and provoke little, which looks like restraint but amounts to nothing more than low credibility. Yet if reversible acts draw strong responses despite costing almost nothing, then something other than classical costly signaling is running the show, perhaps the demonstration of a repeatable capability whose whole value lies in being repeatable</w:t>
      </w:r>
      <w:r>
        <w:t xml:space="preserve"> </w:t>
      </w:r>
      <w:hyperlink w:anchor="ref-16">
        <w:r>
          <w:rPr>
            <w:rStyle w:val="Hyperlink"/>
          </w:rPr>
          <w:t xml:space="preserve">[16]</w:t>
        </w:r>
      </w:hyperlink>
      <w:r>
        <w:t xml:space="preserve">.</w:t>
      </w:r>
    </w:p>
    <w:p>
      <w:pPr>
        <w:pStyle w:val="BodyText"/>
        <w:spacing w:line="480" w:lineRule="auto"/>
        <w:ind w:firstLine="720"/>
      </w:pPr>
      <w:r>
        <w:t xml:space="preserve">Resolving this paradox lies beyond what the present data can do, yet naming it refines the hypotheses. The restraint account quietly assumes reversible acts are read as deliberate self-limitation, a costly choice to hold back. The normalization account quietly assumes reversible acts are read as capability demonstrations whose cheapness is a feature rather than a bug, because it means the capability can be exercised again and again. The two accounts thus part ways not only over the sign of the response but over what kind of signal a reversible act even is. An event study that measured only response intensity would capture the sign; a richer study that also captured the target’s stated interpretation would capture the mechanism. The dissertation flags both as objects for the future corpus</w:t>
      </w:r>
      <w:r>
        <w:t xml:space="preserve"> </w:t>
      </w:r>
      <w:hyperlink w:anchor="ref-5">
        <w:r>
          <w:rPr>
            <w:rStyle w:val="Hyperlink"/>
          </w:rPr>
          <w:t xml:space="preserve">[5]</w:t>
        </w:r>
      </w:hyperlink>
      <w:r>
        <w:t xml:space="preserve">.</w:t>
      </w:r>
    </w:p>
    <w:bookmarkEnd w:id="88"/>
    <w:bookmarkStart w:id="89" w:name="Xda0e827a4e83ab6d6e5192c696cc2158659dc7e"/>
    <w:p>
      <w:pPr>
        <w:pStyle w:val="Heading2"/>
        <w:spacing w:line="480" w:lineRule="auto"/>
      </w:pPr>
      <w:r>
        <w:t xml:space="preserve">Predictions the diagnostics can and cannot reach</w:t>
      </w:r>
    </w:p>
    <w:p>
      <w:pPr>
        <w:pStyle w:val="FirstParagraph"/>
        <w:spacing w:line="480" w:lineRule="auto"/>
      </w:pPr>
      <w:r>
        <w:t xml:space="preserve">To close the loop between mechanism and measurement, which predictions the two diagnostic papers actually touch deserves a clean statement. They do not touch the primary deterrence prediction at all; no bibliometric regression can speak to the sign of (</w:t>
      </w:r>
      <w:r>
        <w:t xml:space="preserve">_1). What they touch is a precondition. Were the literature framing reversible signaling mature, its topic signal would concentrate in recent, well-cited, single-venue records, and citation counts would climb with age. Those are the auxiliary predictions, genuine predictions with a clear failure mode: a flat topic-signal regression and a weak age elasticity would falsify them</w:t>
      </w:r>
      <w:r>
        <w:t xml:space="preserve"> </w:t>
      </w:r>
      <w:hyperlink w:anchor="ref-16">
        <w:r>
          <w:rPr>
            <w:rStyle w:val="Hyperlink"/>
          </w:rPr>
          <w:t xml:space="preserve">[16]</w:t>
        </w:r>
      </w:hyperlink>
      <w:r>
        <w:t xml:space="preserve">. The diagnostics are therefore not a rehearsal of the deterrence test but a test of the ground the deterrence test would stand on. Reading their results, developed in Chapter 6, as though they bore on reversibility directly would be a category error, and the theory chapter is the right place to forestall it. The mechanism predicts a deterrence effect whose sign is contested; the diagnostics predict a corpus structure whose presence is testable now, and only the second prediction lies within reach of the present data</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9"/>
    <w:bookmarkStart w:id="90" w:name="X065322be8495fc888faf02b197bb3d792f2b725"/>
    <w:p>
      <w:pPr>
        <w:pStyle w:val="Heading2"/>
        <w:spacing w:line="480" w:lineRule="auto"/>
      </w:pPr>
      <w:r>
        <w:t xml:space="preserve">The role of third parties in the response function</w:t>
      </w:r>
    </w:p>
    <w:p>
      <w:pPr>
        <w:pStyle w:val="FirstParagraph"/>
        <w:spacing w:line="480" w:lineRule="auto"/>
      </w:pPr>
      <w:r>
        <w:t xml:space="preserve">The mechanism as sketched so far treats response as a bilateral matter between initiator and target, yet strategic reality is rarely bilateral, and the theory has to make room for third parties. When a reversible act occurs, the observing set takes in not only the target but allies, adversaries, and neutral spectators, each drawing inferences and each able to respond. A reversible act the target treats as a minor warning may still lead an ally to strengthen its own posture, or a neutral to reassess its exposure, so the aggregate downstream response is a sum over an audience rather than a single reaction</w:t>
      </w:r>
      <w:r>
        <w:t xml:space="preserve"> </w:t>
      </w:r>
      <w:hyperlink w:anchor="ref-16">
        <w:r>
          <w:rPr>
            <w:rStyle w:val="Hyperlink"/>
          </w:rPr>
          <w:t xml:space="preserve">[16]</w:t>
        </w:r>
      </w:hyperlink>
      <w:r>
        <w:t xml:space="preserve">. This multiplies the pathways by which reversibility can matter. It might mute the target’s response while amplifying an ally’s, should the ally read the demonstrated capability as a threat to shared assets. The response function has to be understood as aggregating across an audience whose members apply different frames to the same act, and the eventual coding will have to decide whose responses to count and over what window.</w:t>
      </w:r>
    </w:p>
    <w:p>
      <w:pPr>
        <w:pStyle w:val="BodyText"/>
        <w:spacing w:line="480" w:lineRule="auto"/>
        <w:ind w:firstLine="720"/>
      </w:pPr>
      <w:r>
        <w:t xml:space="preserve">Third parties also shape the initiator’s incentives in ways that feed back into the choice of reversible over kinetic action. An initiator that wants to signal resolve to a target while sparing a debris event that would antagonize the wider community has a reason to choose reversibility that has nothing to do with restraint toward the target and everything to do with managing the audience</w:t>
      </w:r>
      <w:r>
        <w:t xml:space="preserve"> </w:t>
      </w:r>
      <w:hyperlink w:anchor="ref-5">
        <w:r>
          <w:rPr>
            <w:rStyle w:val="Hyperlink"/>
          </w:rPr>
          <w:t xml:space="preserve">[5]</w:t>
        </w:r>
      </w:hyperlink>
      <w:r>
        <w:t xml:space="preserve">. This is another route by which a reversible act’s mildness can be strategic rather than reassuring, and it further complicates any simple reading of a muted response as evidence of deterrence. The audience-management motive is coherent, it fits the normalization account, and it is one more reason the sign of the reversibility coefficient cannot be assumed in advance.</w:t>
      </w:r>
    </w:p>
    <w:bookmarkEnd w:id="90"/>
    <w:bookmarkStart w:id="91" w:name="X562caf249d0f0d15bf3b6bd1045f92eef0acf01"/>
    <w:p>
      <w:pPr>
        <w:pStyle w:val="Heading2"/>
        <w:spacing w:line="480" w:lineRule="auto"/>
      </w:pPr>
      <w:r>
        <w:t xml:space="preserve">Consolidating the theoretical predictions</w:t>
      </w:r>
    </w:p>
    <w:p>
      <w:pPr>
        <w:pStyle w:val="FirstParagraph"/>
        <w:spacing w:line="480" w:lineRule="auto"/>
      </w:pPr>
      <w:r>
        <w:t xml:space="preserve">Consolidated, the theory yields one primary prediction and two auxiliary ones, and the dissertation’s honesty rides on keeping their status distinct. The primary prediction concerns the sign of the reversibility coefficient in the audience-aggregated, observability-conditioned response function, and it stays untested because the event corpus does not yet exist. The two auxiliary predictions concern whether the retrieved literature exhibits cross-sectional topic structure and age-based citation accumulation, and the diagnostic papers test them, with results in Chapter 6</w:t>
      </w:r>
      <w:r>
        <w:t xml:space="preserve"> </w:t>
      </w:r>
      <w:hyperlink w:anchor="ref-16">
        <w:r>
          <w:rPr>
            <w:rStyle w:val="Hyperlink"/>
          </w:rPr>
          <w:t xml:space="preserve">[16]</w:t>
        </w:r>
      </w:hyperlink>
      <w:r>
        <w:t xml:space="preserve">. The mechanism developed here is what makes the primary prediction meaningful and what tells the eventual event study which covariates it must measure: reversibility, observability, context, and audience. The diagnostics test only the readiness of the ground. Holding these levels apart is the theoretical discipline the chapter has aimed to instill, and it is what lets a null on the auxiliary predictions leave the primary question properly open rather than falsely answered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1"/>
    <w:bookmarkEnd w:id="92"/>
    <w:bookmarkStart w:id="103"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Neither is the event-level deterrence model the ultimate research question demands, and that gap is deliberate, disclosed, not smuggled past the reader. A deterrence model would need a curated corpus of counterspace events paired with coded responses, and Chapter 2 already established that no such corpus yet lives in the retrieved source base. What can be identified today is a narrower thing, the structure of the literature itself, and the two estimators earn their keep precisely by identifying that structure cleanly, transparently, and in a way anyone can reproduce. This chapter sets out what each estimator estimates, why it is the right tool for its own question, and where its identification runs out.</w:t>
      </w:r>
    </w:p>
    <w:bookmarkStart w:id="93" w:name="X1554872f886ae8cc85b36121d9f6f14fb096834"/>
    <w:p>
      <w:pPr>
        <w:pStyle w:val="Heading2"/>
        <w:spacing w:line="480" w:lineRule="auto"/>
      </w:pPr>
      <w:r>
        <w:t xml:space="preserve">The first estimator: ordinary least squares on topic signal</w:t>
      </w:r>
    </w:p>
    <w:p>
      <w:pPr>
        <w:pStyle w:val="FirstParagraph"/>
        <w:spacing w:line="480" w:lineRule="auto"/>
      </w:pPr>
      <w:r>
        <w:t xml:space="preserve">Paper 1 uses ordinary least squares with robust HC1 standard errors. The dependent variable is the composite topic-signal score for each retrieved record, and the regressors are the recency index, the reported citation count, and the ordinal venue-family score. The specification recorded in the configuration file is</w:t>
      </w:r>
    </w:p>
    <w:p>
      <w:pPr>
        <w:pStyle w:val="BodyText"/>
        <w:spacing w:line="480" w:lineRule="auto"/>
        <w:ind w:firstLine="720"/>
      </w:pPr>
      <w:r>
        <w:t xml:space="preserve">[</w:t>
      </w:r>
      <w:r>
        <w:t xml:space="preserve"> </w:t>
      </w:r>
      <w:r>
        <w:t xml:space="preserve">_i =</w:t>
      </w:r>
      <w:r>
        <w:t xml:space="preserve"> </w:t>
      </w:r>
      <w:r>
        <w:t xml:space="preserve">+</w:t>
      </w:r>
      <w:r>
        <w:t xml:space="preserve"> </w:t>
      </w:r>
      <w:r>
        <w:t xml:space="preserve">_1</w:t>
      </w:r>
      <w:r>
        <w:t xml:space="preserve"> </w:t>
      </w:r>
      <w:r>
        <w:t xml:space="preserve">_i +</w:t>
      </w:r>
      <w:r>
        <w:t xml:space="preserve"> </w:t>
      </w:r>
      <w:r>
        <w:t xml:space="preserve">_2</w:t>
      </w:r>
      <w:r>
        <w:t xml:space="preserve"> </w:t>
      </w:r>
      <w:r>
        <w:t xml:space="preserve">_i +</w:t>
      </w:r>
      <w:r>
        <w:t xml:space="preserve"> </w:t>
      </w:r>
      <w:r>
        <w:t xml:space="preserve">_3</w:t>
      </w:r>
      <w:r>
        <w:t xml:space="preserve"> </w:t>
      </w:r>
      <w:r>
        <w:t xml:space="preserve">_i +</w:t>
      </w:r>
      <w:r>
        <w:t xml:space="preserve"> </w:t>
      </w:r>
      <w:r>
        <w:t xml:space="preserve">_i.</w:t>
      </w:r>
      <w:r>
        <w:t xml:space="preserve"> </w:t>
      </w:r>
      <w:r>
        <w:t xml:space="preserve">]</w:t>
      </w:r>
    </w:p>
    <w:p>
      <w:pPr>
        <w:pStyle w:val="BodyText"/>
        <w:spacing w:line="480" w:lineRule="auto"/>
        <w:ind w:firstLine="720"/>
      </w:pPr>
      <w:r>
        <w:t xml:space="preserve">The estimator is no incidental pick; it follows from the question. Why ordinary least squares, and why these three regressors? Paper 1 answers a descriptive, cross-sectional question. It asks whether the strength of the reversibility-and-deterrence topic signal in a record moves systematically with when the record was published, how much it has been cited, and which venue family it comes from. Ordinary least squares is the natural estimator for that question, because it recovers the conditional mean of the signal as a linear function of the three observable features, and because its coefficients read directly as the average change in topic signal tied to a one-unit change in each predictor, holding the others fixed. The robust HC1 covariance estimator enters because nothing warrants assuming the error variance stays constant across a corpus that mixes conference abstracts with journal articles, and heteroskedasticity-consistent standard errors guard the inference against that heterogeneity without touching the point estimates.</w:t>
      </w:r>
    </w:p>
    <w:p>
      <w:pPr>
        <w:pStyle w:val="BodyText"/>
        <w:spacing w:line="480" w:lineRule="auto"/>
        <w:ind w:firstLine="720"/>
      </w:pPr>
      <w:r>
        <w:t xml:space="preserve">The identification claim here is modest and exact. Ordinary least squares recovers the linear association between the topic signal and the three metadata features inside the retrieved corpus, and there it stops. It cannot recover a causal effect of recency or citation on topic relevance, since no experimental process handed records their publication years or citation counts. It does not reach past the thirty records in the file either, because those records came out of automated retrieval rather than a probability draw from some larger population. One question is all the estimator answers. Given this corpus, is the topic signal organized by recency, attention, and venue, or is it not? A coefficient set clearly apart from zero would say the structure is there. A coefficient that hugs zero would say it is not. Both answers count, and the model is built so that neither can be inflated past what it actually shows.</w:t>
      </w:r>
    </w:p>
    <w:bookmarkEnd w:id="93"/>
    <w:bookmarkStart w:id="94" w:name="X959a0cfe8cb765f34fdbcd0f2a362619c6ae2f8"/>
    <w:p>
      <w:pPr>
        <w:pStyle w:val="Heading2"/>
        <w:spacing w:line="480" w:lineRule="auto"/>
      </w:pPr>
      <w:r>
        <w:t xml:space="preserve">The second estimator: a log-log learning curve on citation accumulation</w:t>
      </w:r>
    </w:p>
    <w:p>
      <w:pPr>
        <w:pStyle w:val="FirstParagraph"/>
        <w:spacing w:line="480" w:lineRule="auto"/>
      </w:pPr>
      <w:r>
        <w:t xml:space="preserve">Paper 2 uses a log-log ordinary least squares specification, again with robust HC1 standard errors, to model citation accumulation against article age. The dependent variable is citation count plus one, incremented so the logarithm is defined for uncited records, and the single regressor is the logarithm of the article-age index. The specification is</w:t>
      </w:r>
    </w:p>
    <w:p>
      <w:pPr>
        <w:pStyle w:val="BodyText"/>
        <w:spacing w:line="480" w:lineRule="auto"/>
        <w:ind w:firstLine="720"/>
      </w:pPr>
      <w:r>
        <w:t xml:space="preserve">[</w:t>
      </w:r>
      <w:r>
        <w:t xml:space="preserve"> </w:t>
      </w:r>
      <w:r>
        <w:t xml:space="preserve">(</w:t>
      </w:r>
      <w:r>
        <w:t xml:space="preserve">_i) =</w:t>
      </w:r>
      <w:r>
        <w:t xml:space="preserve"> </w:t>
      </w:r>
      <w:r>
        <w:t xml:space="preserve">+</w:t>
      </w:r>
      <w:r>
        <w:t xml:space="preserve"> </w:t>
      </w:r>
      <w:r>
        <w:t xml:space="preserve">_1</w:t>
      </w:r>
      <w:r>
        <w:t xml:space="preserve"> </w:t>
      </w:r>
      <w:r>
        <w:t xml:space="preserve">(</w:t>
      </w:r>
      <w:r>
        <w:t xml:space="preserve">_i) +</w:t>
      </w:r>
      <w:r>
        <w:t xml:space="preserve"> </w:t>
      </w:r>
      <w:r>
        <w:t xml:space="preserve">_i.</w:t>
      </w:r>
      <w:r>
        <w:t xml:space="preserve"> </w:t>
      </w:r>
      <w:r>
        <w:t xml:space="preserve">]</w:t>
      </w:r>
    </w:p>
    <w:p>
      <w:pPr>
        <w:pStyle w:val="BodyText"/>
        <w:spacing w:line="480" w:lineRule="auto"/>
        <w:ind w:firstLine="720"/>
      </w:pPr>
      <w:r>
        <w:t xml:space="preserve">The log-log form earns its place for one specific reason: it turns the slope coefficient into an elasticity. In this framing, (</w:t>
      </w:r>
      <w:r>
        <w:t xml:space="preserve">_1) is the percentage change in citation count tied to a one-percent change in article age, and the exponentiated relationship yields a progress ratio that describes how citations scale as age doubles. That is the standard learning-curve reading, borrowed from the study of how output or attention accumulates with experience, and it fits here because the bibliometric question is multiplicative rather than additive at root. Citations do not accrue in fixed annual increments; they compound, and the log-log model captures that compounding directly. Adding one before taking the logarithm is no cosmetic fix. It is what lets the many uncited records in the corpus enter the estimation at all, and the resulting bias toward zero is an honest cost of keeping those records in the sample rather than discarding them.</w:t>
      </w:r>
    </w:p>
    <w:p>
      <w:pPr>
        <w:pStyle w:val="BodyText"/>
        <w:spacing w:line="480" w:lineRule="auto"/>
        <w:ind w:firstLine="720"/>
      </w:pPr>
      <w:r>
        <w:t xml:space="preserve">The identification claim for Paper 2 is bounded in the same way. The elasticity identifies the average log-linear relationship between age and citation count in the retrieved corpus. It identifies no causal effect of age on citation, since older and newer records differ in venue, topic, and indexing coverage in ways the single regressor cannot absorb. A precise, positive elasticity would back the claim that the corpus behaves like an age-ordered field in which seniority tracks attention. A null elasticity would back the opposite claim, that age is a poor guide to which records the local index has actually cited. Either way, the estimand is a described feature of the corpus rather than a law of citation behavior in general.</w:t>
      </w:r>
    </w:p>
    <w:bookmarkEnd w:id="94"/>
    <w:bookmarkStart w:id="95" w:name="X9d85e9c386b7dd9daf4b350ed81e648e4e71368"/>
    <w:p>
      <w:pPr>
        <w:pStyle w:val="Heading2"/>
        <w:spacing w:line="480" w:lineRule="auto"/>
      </w:pPr>
      <w:r>
        <w:t xml:space="preserve">Why these estimators identify what the dissertation needs</w:t>
      </w:r>
    </w:p>
    <w:p>
      <w:pPr>
        <w:pStyle w:val="FirstParagraph"/>
        <w:spacing w:line="480" w:lineRule="auto"/>
      </w:pPr>
      <w:r>
        <w:t xml:space="preserve">Why put two bibliometric diagnostics in a deterrence dissertation at all? The question is fair, and the answer is that they settle the one thing the project truly needs to know before it builds an event study, which is whether the assembled literature is a trustworthy foundation or a scattered pile. Picture the other outcome. Had Paper 1 turned up strong cross-sectional structure and Paper 2 a clean age curve, the corpus would read as a mature field, and the event coding for the eventual deterrence model could borrow its categories and priorities with some confidence</w:t>
      </w:r>
      <w:r>
        <w:t xml:space="preserve"> </w:t>
      </w:r>
      <w:hyperlink w:anchor="ref-16">
        <w:r>
          <w:rPr>
            <w:rStyle w:val="Hyperlink"/>
          </w:rPr>
          <w:t xml:space="preserve">[16]</w:t>
        </w:r>
      </w:hyperlink>
      <w:r>
        <w:t xml:space="preserve">. Both return nulls instead. So the corpus is not yet organized around the theme, and the deterrence model will have to be built from primary event records with independent coding rather than inherited structure</w:t>
      </w:r>
      <w:r>
        <w:t xml:space="preserve"> </w:t>
      </w:r>
      <w:hyperlink w:anchor="ref-5">
        <w:r>
          <w:rPr>
            <w:rStyle w:val="Hyperlink"/>
          </w:rPr>
          <w:t xml:space="preserve">[5]</w:t>
        </w:r>
      </w:hyperlink>
      <w:r>
        <w:t xml:space="preserve">. These estimators are no detour. They are a gate, and they check exactly the property the gate exists to check.</w:t>
      </w:r>
    </w:p>
    <w:bookmarkEnd w:id="95"/>
    <w:bookmarkStart w:id="96" w:name="Xd997bd50c13b0778356a2bf6a35e54ae8d4eacb"/>
    <w:p>
      <w:pPr>
        <w:pStyle w:val="Heading2"/>
        <w:spacing w:line="480" w:lineRule="auto"/>
      </w:pPr>
      <w:r>
        <w:t xml:space="preserve">Threats to validity in the identification</w:t>
      </w:r>
    </w:p>
    <w:p>
      <w:pPr>
        <w:pStyle w:val="FirstParagraph"/>
        <w:spacing w:line="480" w:lineRule="auto"/>
      </w:pPr>
      <w:r>
        <w:t xml:space="preserve">Four threats press on both estimators, and naming them now disciplines the interpretation to come in Chapter 6. The first is source selection. The corpus is a retrieval product, so whatever structure it shows or withholds is conditional on the retrieval path rather than representative of the field</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second is proxy measurement. The topic-signal score, the venue score, the citation count: each is constructed metadata, a rough stand-in for the latent quantity of interest and not a direct measure</w:t>
      </w:r>
      <w:r>
        <w:t xml:space="preserve"> </w:t>
      </w:r>
      <w:hyperlink w:anchor="ref-16">
        <w:r>
          <w:rPr>
            <w:rStyle w:val="Hyperlink"/>
          </w:rPr>
          <w:t xml:space="preserve">[16]</w:t>
        </w:r>
      </w:hyperlink>
      <w:r>
        <w:t xml:space="preserve">. The third is omitted variables. A metadata model cannot carry the technical, institutional, and market forces that actually drive publication and citation, which leaves both specifications underspecified by design</w:t>
      </w:r>
      <w:r>
        <w:t xml:space="preserve"> </w:t>
      </w:r>
      <w:hyperlink w:anchor="ref-5">
        <w:r>
          <w:rPr>
            <w:rStyle w:val="Hyperlink"/>
          </w:rPr>
          <w:t xml:space="preserve">[5]</w:t>
        </w:r>
      </w:hyperlink>
      <w:r>
        <w:t xml:space="preserve">. The fourth is overinterpretation, and it is the most dangerous of the four, because prose can outrun its evidence inside a single sentence, and the entire methodological posture of the dissertation exists to stop that from happening.</w:t>
      </w:r>
    </w:p>
    <w:p>
      <w:pPr>
        <w:pStyle w:val="BodyText"/>
        <w:spacing w:line="480" w:lineRule="auto"/>
        <w:ind w:firstLine="720"/>
      </w:pPr>
      <w:r>
        <w:t xml:space="preserve">The response to all four threats is the same. Keep the claim conditional, report the exact quantities the estimators produce, and hold the interpretation inside the corpus the models actually saw. That is the identification contribution of this dissertation. It is not an inflated deterrence result. It is a reproducible procedure for testing whether a claim about reversibility, or about the literature that frames it, can be sustained by the evidence in hand, and for saying plainly when it cannot</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96"/>
    <w:bookmarkStart w:id="97" w:name="the-choice-of-robust-standard-errors"/>
    <w:p>
      <w:pPr>
        <w:pStyle w:val="Heading2"/>
        <w:spacing w:line="480" w:lineRule="auto"/>
      </w:pPr>
      <w:r>
        <w:t xml:space="preserve">The choice of robust standard errors</w:t>
      </w:r>
    </w:p>
    <w:p>
      <w:pPr>
        <w:pStyle w:val="FirstParagraph"/>
        <w:spacing w:line="480" w:lineRule="auto"/>
      </w:pPr>
      <w:r>
        <w:t xml:space="preserve">Why both papers use the HC1 heteroskedasticity-consistent covariance estimator rather than classical standard errors is a question that bears on the credibility of the inference. Classical ordinary least squares standard errors assume the error variance stays constant across observations. Here that assumption is untenable. The thirty-record corpus mixes conference abstracts with brief metadata entries and full journal articles, and the dispersion of the topic-signal score plainly differs across those record types, the longer journal records showing wider spread than the terse conference entries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Under such heteroskedasticity, classical standard errors run biased and the resulting p-values become unreliable. The HC1 estimator corrects the covariance matrix for this while leaving the point estimates alone, so the coefficients reported in Chapter 6 are the ordinary least squares coefficients with standard errors made robust to the variance structure the corpus actually exhibits. This is a conservative choice, and in a small sample it matters, because an inflated sense of precision would be exactly the overreach the dissertation exists to avoid.</w:t>
      </w:r>
    </w:p>
    <w:p>
      <w:pPr>
        <w:pStyle w:val="BodyText"/>
        <w:spacing w:line="480" w:lineRule="auto"/>
        <w:ind w:firstLine="720"/>
      </w:pPr>
      <w:r>
        <w:t xml:space="preserve">The small sample also shapes what the estimators can credibly detect. With thirty observations and three predictors, Paper 1 has twenty-six residual degrees of freedom, enough to estimate the model but not enough to detect subtle associations with any power. Paper 2, with one predictor, has twenty-eight residual degrees of freedom. In both cases the power to reject a false null runs low, and that limitation has to temper the interpretation of any null result. A null in a small sample can mean either that no association exists or that one exists but is too weak to detect at this sample size. Chapter 6 confronts that ambiguity head-on, and the estimators are chosen and reported so that the ambiguity stays visible rather than hidden, which is the whole point of showing the standard errors and p-values in full.</w:t>
      </w:r>
    </w:p>
    <w:bookmarkEnd w:id="97"/>
    <w:bookmarkStart w:id="98" w:name="what-a-stronger-design-would-identify"/>
    <w:p>
      <w:pPr>
        <w:pStyle w:val="Heading2"/>
        <w:spacing w:line="480" w:lineRule="auto"/>
      </w:pPr>
      <w:r>
        <w:t xml:space="preserve">What a stronger design would identify</w:t>
      </w:r>
    </w:p>
    <w:p>
      <w:pPr>
        <w:pStyle w:val="FirstParagraph"/>
        <w:spacing w:line="480" w:lineRule="auto"/>
      </w:pPr>
      <w:r>
        <w:t xml:space="preserve">Sketching what the present estimators stand in for clarifies them. The eventual deterrence design would identify the effect of operational reversibility on downstream response intensity, conditional on observability and context, using matched comparison and event-history logic rather than a bibliometric regression</w:t>
      </w:r>
      <w:r>
        <w:t xml:space="preserve"> </w:t>
      </w:r>
      <w:hyperlink w:anchor="ref-5">
        <w:r>
          <w:rPr>
            <w:rStyle w:val="Hyperlink"/>
          </w:rPr>
          <w:t xml:space="preserve">[5]</w:t>
        </w:r>
      </w:hyperlink>
      <w:r>
        <w:t xml:space="preserve">. Matching would pair reversible events with irreversible events that resemble them on target type, crisis proximity, attribution clarity, and visibility, so the comparison isolates the reversibility contrast rather than the confounds bundled with it. Event-history modeling would examine the timing of the first observable response, treating the arrival of a condemnation, a budget shift, or a doctrinal reference as a hazard whose rate depends on reversibility. Neither design claims random assignment, and both would carry their own identification threats, chiefly the selection of actors into reversible behavior in lower-stakes settings</w:t>
      </w:r>
      <w:r>
        <w:t xml:space="preserve"> </w:t>
      </w:r>
      <w:hyperlink w:anchor="ref-16">
        <w:r>
          <w:rPr>
            <w:rStyle w:val="Hyperlink"/>
          </w:rPr>
          <w:t xml:space="preserve">[16]</w:t>
        </w:r>
      </w:hyperlink>
      <w:r>
        <w:t xml:space="preserve">. The present bibliometric estimators attempt none of this. They identify only the structure of the source base, and naming the stronger design makes the boundary of the current one unmistakable</w:t>
      </w:r>
      <w:r>
        <w:t xml:space="preserve"> </w:t>
      </w:r>
      <w:hyperlink w:anchor="ref-10">
        <w:r>
          <w:rPr>
            <w:rStyle w:val="Hyperlink"/>
          </w:rPr>
          <w:t xml:space="preserve">[10]</w:t>
        </w:r>
      </w:hyperlink>
      <w:r>
        <w:t xml:space="preserve">.</w:t>
      </w:r>
    </w:p>
    <w:bookmarkEnd w:id="98"/>
    <w:bookmarkStart w:id="99" w:name="functional-form-and-its-assumptions"/>
    <w:p>
      <w:pPr>
        <w:pStyle w:val="Heading2"/>
        <w:spacing w:line="480" w:lineRule="auto"/>
      </w:pPr>
      <w:r>
        <w:t xml:space="preserve">Functional form and its assumptions</w:t>
      </w:r>
    </w:p>
    <w:p>
      <w:pPr>
        <w:pStyle w:val="FirstParagraph"/>
        <w:spacing w:line="480" w:lineRule="auto"/>
      </w:pPr>
      <w:r>
        <w:t xml:space="preserve">Each estimator embeds a functional-form assumption, and honesty means putting those assumptions on the table rather than letting them pass unexamined. Paper 1’s linear specification assumes the topic signal responds to recency, citation, and venue in a straight-line, additive way, with no interactions and no curvature. That is a strong assumption for a count-like outcome that runs from one to six and piles up at its floor. A more flexible model, a count regression or a specification with interaction terms, might catch structure the linear model misses. The dissertation uses the linear form anyway, for two defensible reasons. The sample is too small to support a richer specification without overfitting, since thirty observations cannot sustain many parameters. And the linear model is the transparent baseline any claim of structure should first be tested against, the form recorded in the configuration file that the workbook actually executed. Choosing the simple form asks the least of the data, so a null result cannot be pinned on an overwrought specification.</w:t>
      </w:r>
    </w:p>
    <w:p>
      <w:pPr>
        <w:pStyle w:val="BodyText"/>
        <w:spacing w:line="480" w:lineRule="auto"/>
        <w:ind w:firstLine="720"/>
      </w:pPr>
      <w:r>
        <w:t xml:space="preserve">Paper 2’s log-log form assumes a constant elasticity: the same percentage change in age maps to the same percentage change in citations across the whole age range. That constant-elasticity assumption makes the slope interpretable as a single progress ratio, and it is standard in learning-curve analysis. Its cost is an inability to capture a citation pattern that rises and then plateaus, or one that spikes at a particular vintage. Given a corpus where the two most-cited records sit in the middle of the age range rather than at either end, a constant-elasticity model averages across that non-monotonic pattern and likely returns a weak slope</w:t>
      </w:r>
      <w:r>
        <w:t xml:space="preserve"> </w:t>
      </w:r>
      <w:hyperlink w:anchor="ref-5">
        <w:r>
          <w:rPr>
            <w:rStyle w:val="Hyperlink"/>
          </w:rPr>
          <w:t xml:space="preserve">[5]</w:t>
        </w:r>
      </w:hyperlink>
      <w:r>
        <w:t xml:space="preserve">. The assumption stays because the alternative, a flexible age spline, again asks more of thirty observations than they can honestly give. The functional-form choices in both papers are conservative by design, and that conservatism is part of why the resulting nulls should read as evidence about the corpus rather than artifacts of an aggressive model.</w:t>
      </w:r>
    </w:p>
    <w:bookmarkEnd w:id="99"/>
    <w:bookmarkStart w:id="100" w:name="Xa11da17a5b31eee9ebb844be7a66d2de4f7575a"/>
    <w:p>
      <w:pPr>
        <w:pStyle w:val="Heading2"/>
        <w:spacing w:line="480" w:lineRule="auto"/>
      </w:pPr>
      <w:r>
        <w:t xml:space="preserve">Reproducibility as an identification standard</w:t>
      </w:r>
    </w:p>
    <w:p>
      <w:pPr>
        <w:pStyle w:val="FirstParagraph"/>
        <w:spacing w:line="480" w:lineRule="auto"/>
      </w:pPr>
      <w:r>
        <w:t xml:space="preserve">Reproducibility is part of the identification claim, and the connection is worth spelling out. An estimate no one can reproduce identifies nothing, since no one can check what it stands for. Both papers are built for tracing: a reader follows every reported quantity from the dissertation prose to the estimation file, then down to the configuration that defines each variable and the formula that combines them</w:t>
      </w:r>
      <w:r>
        <w:t xml:space="preserve"> </w:t>
      </w:r>
      <w:hyperlink w:anchor="ref-1">
        <w:r>
          <w:rPr>
            <w:rStyle w:val="Hyperlink"/>
          </w:rPr>
          <w:t xml:space="preserve">[1]</w:t>
        </w:r>
      </w:hyperlink>
      <w:r>
        <w:t xml:space="preserve"> </w:t>
      </w:r>
      <w:hyperlink w:anchor="ref-16">
        <w:r>
          <w:rPr>
            <w:rStyle w:val="Hyperlink"/>
          </w:rPr>
          <w:t xml:space="preserve">[16]</w:t>
        </w:r>
      </w:hyperlink>
      <w:r>
        <w:t xml:space="preserve">. What appears in Chapter 6 are no rounded summaries. They are the exact values the workbooks produced, carried at full precision. That fidelity is what lets a skeptical reader confirm that the ordinary least squares coefficients really are what the linear specification yields on these thirty rows, and that the elasticity really is what the log-log specification yields. Identification, in the narrow statistical sense, tells us what a coefficient would mean under the model’s assumptions; reproducibility tells us that the coefficient in front of us is genuinely the one the model produced. The dissertation insists on both. A design-stage project draws its authority from the auditability of its procedure, not the size of its findings, and the estimators are chosen and documented to that standard</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00"/>
    <w:bookmarkStart w:id="101" w:name="Xae526516add0183018dd310003f799bc9d0c19d"/>
    <w:p>
      <w:pPr>
        <w:pStyle w:val="Heading2"/>
        <w:spacing w:line="480" w:lineRule="auto"/>
      </w:pPr>
      <w:r>
        <w:t xml:space="preserve">Falsifiability as the organizing criterion</w:t>
      </w:r>
    </w:p>
    <w:p>
      <w:pPr>
        <w:pStyle w:val="FirstParagraph"/>
        <w:spacing w:line="480" w:lineRule="auto"/>
      </w:pPr>
      <w:r>
        <w:t xml:space="preserve">Sophistication is not why these estimators were chosen. Each was chosen because it renders a hypothesis falsifiable in a way a reader can check. Paper 1’s ordinary least squares model makes H1 falsifiable through the joint and individual tests on the three slope coefficients: should recency and citation fail to raise the topic signal, the model says so through insignificant, wrongly signed, or near-zero estimates</w:t>
      </w:r>
      <w:r>
        <w:t xml:space="preserve"> </w:t>
      </w:r>
      <w:hyperlink w:anchor="ref-16">
        <w:r>
          <w:rPr>
            <w:rStyle w:val="Hyperlink"/>
          </w:rPr>
          <w:t xml:space="preserve">[16]</w:t>
        </w:r>
      </w:hyperlink>
      <w:r>
        <w:t xml:space="preserve">. Paper 2’s log-log model makes its H1 falsifiable through the age elasticity: should citations fail to rise with age, the slope fails to distinguish itself from zero</w:t>
      </w:r>
      <w:r>
        <w:t xml:space="preserve"> </w:t>
      </w:r>
      <w:hyperlink w:anchor="ref-5">
        <w:r>
          <w:rPr>
            <w:rStyle w:val="Hyperlink"/>
          </w:rPr>
          <w:t xml:space="preserve">[5]</w:t>
        </w:r>
      </w:hyperlink>
      <w:r>
        <w:t xml:space="preserve">. In both cases the failure mode is specified in advance, the mark of a genuine test rather than an exercise that could accommodate any outcome. A design that absorbs any result confirms nothing. These designs can each fail in a definite way, and that capacity to fail is what makes their nulls meaningful when the failure actually arrives.</w:t>
      </w:r>
    </w:p>
    <w:p>
      <w:pPr>
        <w:pStyle w:val="BodyText"/>
        <w:spacing w:line="480" w:lineRule="auto"/>
        <w:ind w:firstLine="720"/>
      </w:pPr>
      <w:r>
        <w:t xml:space="preserve">This falsifiability criterion also governs the relationship between the two papers and the primary deterrence question. The diagnostics cannot falsify the deterrence hypothesis, and the chapter has been careful never to claim they can. What they falsify is the auxiliary claim that the retrieved literature is organized enough to guide the deterrence test. A reader can therefore hold the dissertation to a clear standard: the diagnostics either show corpus structure or they do not, and where they do not, the project is bound to build its event sample from primary records rather than from the pool’s apparent hierarchy</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identification chapter thus does more than describe two regressions. It commits the project to a specific consequence of each possible result, the discipline that separates an honest design from a flexible narrative.</w:t>
      </w:r>
    </w:p>
    <w:bookmarkEnd w:id="101"/>
    <w:bookmarkStart w:id="102" w:name="the-estimator-choices-in-one-view"/>
    <w:p>
      <w:pPr>
        <w:pStyle w:val="Heading2"/>
        <w:spacing w:line="480" w:lineRule="auto"/>
      </w:pPr>
      <w:r>
        <w:t xml:space="preserve">The estimator choices in one view</w:t>
      </w:r>
    </w:p>
    <w:p>
      <w:pPr>
        <w:pStyle w:val="FirstParagraph"/>
        <w:spacing w:line="480" w:lineRule="auto"/>
      </w:pPr>
      <w:r>
        <w:t xml:space="preserve">Seen whole, the two estimators form a matched pair aimed at one target. One examines the corpus across records at a moment, the other across time, and both are deliberately austere linear models fitted with robust standard errors on the same thirty observations</w:t>
      </w:r>
      <w:r>
        <w:t xml:space="preserve"> </w:t>
      </w:r>
      <w:hyperlink w:anchor="ref-16">
        <w:r>
          <w:rPr>
            <w:rStyle w:val="Hyperlink"/>
          </w:rPr>
          <w:t xml:space="preserve">[16]</w:t>
        </w:r>
      </w:hyperlink>
      <w:r>
        <w:t xml:space="preserve">. Neither reaches for the deterrence effect, because neither can, and both are documented to full precision so their results can be reproduced exactly. The pairing is efficient. With two simple specifications the dissertation probes the two axes along which a mature field would reveal its structure, and it does so without spending degrees of freedom the small sample cannot afford. That economy is intentional. A design-stage diagnostic should ask the least of the data consistent with answering its question, and these estimators are the least that will do the job. Chapter 5 now documents the data they run on, and Chapter 6 reports what they found</w:t>
      </w:r>
      <w:r>
        <w:t xml:space="preserve"> </w:t>
      </w:r>
      <w:hyperlink w:anchor="ref-8">
        <w:r>
          <w:rPr>
            <w:rStyle w:val="Hyperlink"/>
          </w:rPr>
          <w:t xml:space="preserve">[8]</w:t>
        </w:r>
      </w:hyperlink>
      <w:r>
        <w:t xml:space="preserve">.</w:t>
      </w:r>
    </w:p>
    <w:bookmarkEnd w:id="102"/>
    <w:bookmarkEnd w:id="103"/>
    <w:bookmarkStart w:id="115" w:name="chapter-5.-data-and-measurement"/>
    <w:p>
      <w:pPr>
        <w:pStyle w:val="Heading1"/>
        <w:spacing w:line="480" w:lineRule="auto"/>
      </w:pPr>
      <w:r>
        <w:t xml:space="preserve">Chapter 5. Data and Measurement</w:t>
      </w:r>
    </w:p>
    <w:p>
      <w:pPr>
        <w:pStyle w:val="FirstParagraph"/>
        <w:spacing w:line="480" w:lineRule="auto"/>
      </w:pPr>
      <w:r>
        <w:t xml:space="preserve">Small, real, fully auditable: that is the dataset behind both empirical papers. It holds thirty source records. Each one traces back from a claim in this dissertation to a specific row in a comma-separated file, and forward to a resolvable citation or document identifier. Traceability is the whole point of building it this way. Doubt any number and the remedy is simple, open the estimation file, find the row, check the coding against the source. This chapter documents three things: where the thirty records come from, how each variable gets built, and what the provenance rules deliberately leave out.</w:t>
      </w:r>
    </w:p>
    <w:bookmarkStart w:id="104" w:name="X6427246aaef072f368ced1a51730487b4492ce6"/>
    <w:p>
      <w:pPr>
        <w:pStyle w:val="Heading2"/>
        <w:spacing w:line="480" w:lineRule="auto"/>
      </w:pPr>
      <w:r>
        <w:t xml:space="preserve">The thirty records and their venue families</w:t>
      </w:r>
    </w:p>
    <w:p>
      <w:pPr>
        <w:pStyle w:val="FirstParagraph"/>
        <w:spacing w:line="480" w:lineRule="auto"/>
      </w:pPr>
      <w:r>
        <w:t xml:space="preserve">The records span three venue families across roughly two decades of publication. Twelve come from the AMOS conference literature, identified by their conference-proceedings URLs and covering tracking, surveillance-network simulation, differential-drag control, debris-elimination concepts, optical characterization, and directed-energy position control</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Thirteen come from Acta Astronautica, identified by their journal digital object identifiers and ranging from solar-power structures to detonation engines to the value of the New Space Economy</w:t>
      </w:r>
      <w:r>
        <w:t xml:space="preserve"> </w:t>
      </w:r>
      <w:hyperlink w:anchor="ref-5">
        <w:r>
          <w:rPr>
            <w:rStyle w:val="Hyperlink"/>
          </w:rPr>
          <w:t xml:space="preserve">[5]</w:t>
        </w:r>
      </w:hyperlink>
      <w:r>
        <w:t xml:space="preserve"> </w:t>
      </w:r>
      <w:hyperlink w:anchor="ref-16">
        <w:r>
          <w:rPr>
            <w:rStyle w:val="Hyperlink"/>
          </w:rPr>
          <w:t xml:space="preserve">[16]</w:t>
        </w:r>
      </w:hyperlink>
      <w:r>
        <w:t xml:space="preserve">. Five come from a space-economy and governance family, among them a Kessler-syndrome system-dynamics model, a behavioral-economics-in-space entry, an integrated-deterrence record, and a proposal for an aviation-style orbital class system tied to maneuverability and situational-awareness quality.</w:t>
      </w:r>
    </w:p>
    <w:p>
      <w:pPr>
        <w:pStyle w:val="BodyText"/>
        <w:spacing w:line="480" w:lineRule="auto"/>
        <w:ind w:firstLine="720"/>
      </w:pPr>
      <w:r>
        <w:t xml:space="preserve">The mix is broad on purpose and heterogeneous by consequence. Broad enough to support a diagnostic test of whether the reversibility theme organizes the literature, it is not narrow enough to be mistaken for a curated deterrence corpus. Several records touch the theme only obliquely, addressing observability or space value rather than coercive event interpretation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That obliqueness is itself data. It is exactly the condition the two papers are built to measure, and it is why the dissertation declines to treat the pool as a settled empirical frame.</w:t>
      </w:r>
    </w:p>
    <w:bookmarkEnd w:id="104"/>
    <w:bookmarkStart w:id="105" w:name="variable-construction-in-paper-1"/>
    <w:p>
      <w:pPr>
        <w:pStyle w:val="Heading2"/>
        <w:spacing w:line="480" w:lineRule="auto"/>
      </w:pPr>
      <w:r>
        <w:t xml:space="preserve">Variable construction in Paper 1</w:t>
      </w:r>
    </w:p>
    <w:p>
      <w:pPr>
        <w:pStyle w:val="FirstParagraph"/>
        <w:spacing w:line="480" w:lineRule="auto"/>
      </w:pPr>
      <w:r>
        <w:t xml:space="preserve">Paper 1 pulls four fields from each record. The dependent variable is the topic-signal score, a deterministic count of theme-term hits across the source title, the snippet, the keyword field, and the author metadata. No judgment call enters anywhere. Process the same record twice and the score comes back identical, because the count is purely mechanical, and every row carries its source URL or identifier in the source column so the count can be rebuilt from scratch. Across the thirty records the score runs from one to six, most records landing at one, a handful climbing to three or above wherever several theme terms happen to coincide.</w:t>
      </w:r>
    </w:p>
    <w:p>
      <w:pPr>
        <w:pStyle w:val="BodyText"/>
        <w:spacing w:line="480" w:lineRule="auto"/>
        <w:ind w:firstLine="720"/>
      </w:pPr>
      <w:r>
        <w:t xml:space="preserve">The recency index is publication year minus the minimum publication year in the sample plus one, so the oldest record in the pool takes the value one and later records take larger values. That puts a 2006 record at one and a 2026 record at twenty-one, handing the estimator a spread of two decades to work with. The citation count is parsed from the local index citation field, set to zero where the index reported no count. Most records report zero citations in the local index, a few Acta Astronautica records reporting substantial counts, the largest being thirty-six. The venue score is an ordinal family code: AMOS equals one, Acta Astronautica equals two, and the space-economy family equals three. That ordering encodes venue family alone, not quality, and the estimator treats it as a linear predictor with every limitation that implies.</w:t>
      </w:r>
    </w:p>
    <w:bookmarkEnd w:id="105"/>
    <w:bookmarkStart w:id="106" w:name="variable-construction-in-paper-2"/>
    <w:p>
      <w:pPr>
        <w:pStyle w:val="Heading2"/>
        <w:spacing w:line="480" w:lineRule="auto"/>
      </w:pPr>
      <w:r>
        <w:t xml:space="preserve">Variable construction in Paper 2</w:t>
      </w:r>
    </w:p>
    <w:p>
      <w:pPr>
        <w:pStyle w:val="FirstParagraph"/>
        <w:spacing w:line="480" w:lineRule="auto"/>
      </w:pPr>
      <w:r>
        <w:t xml:space="preserve">Paper 2 reuses the same thirty records while reframing the temporal variable. Its dependent variable is citation count plus one, so the many uncited records enter the logarithm at a value of one rather than dropping out. The single regressor is the article-age index, computed as 2026 minus publication year plus one, which places a 2026 record at age one and a 2006 record at age twenty-one. This transformation mirrors Paper 1’s recency index: recency counts up from the oldest record, age counts up from the newest, and each is chosen to keep its estimator’s coefficient readable in the intended direction.</w:t>
      </w:r>
    </w:p>
    <w:p>
      <w:pPr>
        <w:pStyle w:val="BodyText"/>
        <w:spacing w:line="480" w:lineRule="auto"/>
        <w:ind w:firstLine="720"/>
      </w:pPr>
      <w:r>
        <w:t xml:space="preserve">More than any other feature, the citation distribution shapes Paper 2’s result. Most of the thirty records carry a local citation count of zero, so they enter the log-log model at citations-plus-one equal to one. Only a small number carry real counts, and the tail is short: two records at thirty-six, then one at nine, one at eight, one at six, one at three, one at one. These few cited records do not gather among the oldest documents. The two most-cited date from 2020 and 2023, well clear of the 2006 to 2011 vintage, and that single fact is why the age elasticity comes out weak. The data simply refuse to line up so that seniority predicts attention.</w:t>
      </w:r>
    </w:p>
    <w:bookmarkEnd w:id="106"/>
    <w:bookmarkStart w:id="107" w:name="provenance-rules-and-what-they-exclude"/>
    <w:p>
      <w:pPr>
        <w:pStyle w:val="Heading2"/>
        <w:spacing w:line="480" w:lineRule="auto"/>
      </w:pPr>
      <w:r>
        <w:t xml:space="preserve">Provenance rules and what they exclude</w:t>
      </w:r>
    </w:p>
    <w:p>
      <w:pPr>
        <w:pStyle w:val="FirstParagraph"/>
        <w:spacing w:line="480" w:lineRule="auto"/>
      </w:pPr>
      <w:r>
        <w:t xml:space="preserve">The provenance discipline is conservative by design, its conservatism inherited from the prospectus. The eventual event dataset will be assembled from public records only, coding source text, date, target description, claimed mechanism, attribution status, and response window for each event, and coding a response as present only when an attributable public release documents it, a government statement, an alliance communique, a defense budget document, a doctrinal update, or a sanctions notice</w:t>
      </w:r>
      <w:r>
        <w:t xml:space="preserve"> </w:t>
      </w:r>
      <w:hyperlink w:anchor="ref-5">
        <w:r>
          <w:rPr>
            <w:rStyle w:val="Hyperlink"/>
          </w:rPr>
          <w:t xml:space="preserve">[5]</w:t>
        </w:r>
      </w:hyperlink>
      <w:r>
        <w:t xml:space="preserve">. Where a response cannot be documented publicly, it is not coded as present. That rule deliberately trades sensitivity for credibility. It will miss classified or private responses, and it accepts that cost to keep every coded value defensible.</w:t>
      </w:r>
    </w:p>
    <w:p>
      <w:pPr>
        <w:pStyle w:val="BodyText"/>
        <w:spacing w:line="480" w:lineRule="auto"/>
        <w:ind w:firstLine="720"/>
      </w:pPr>
      <w:r>
        <w:t xml:space="preserve">The same posture governs the present thirty-record file. Every variable is built from an observable metadata field, no value is imputed from judgment, and the source column preserves the trail for each row. Where the local index lacks a citation count, the field is set to zero rather than guessed, which biases the citation measure downward while keeping it honest. Where a record’s venue family is ambiguous, the outlet assigns it rather than the topic, so the venue score reflects publication channel and nothing more. These rules make the dataset less powerful than a richly imputed one, and that is the intended tradeoff. A weak but auditable measure is worth more to a design-stage dissertation than a strong but unverifiable one.</w:t>
      </w:r>
    </w:p>
    <w:bookmarkEnd w:id="107"/>
    <w:bookmarkStart w:id="108" w:name="what-the-data-can-and-cannot-support"/>
    <w:p>
      <w:pPr>
        <w:pStyle w:val="Heading2"/>
        <w:spacing w:line="480" w:lineRule="auto"/>
      </w:pPr>
      <w:r>
        <w:t xml:space="preserve">What the data can and cannot support</w:t>
      </w:r>
    </w:p>
    <w:p>
      <w:pPr>
        <w:pStyle w:val="FirstParagraph"/>
        <w:spacing w:line="480" w:lineRule="auto"/>
      </w:pPr>
      <w:r>
        <w:t xml:space="preserve">The reproducible hierarchy runs from bibliography to rows to variables to estimator output, and the dissertation narrative sits downstream of all of it</w:t>
      </w:r>
      <w:r>
        <w:t xml:space="preserve"> </w:t>
      </w:r>
      <w:hyperlink w:anchor="ref-1">
        <w:r>
          <w:rPr>
            <w:rStyle w:val="Hyperlink"/>
          </w:rPr>
          <w:t xml:space="preserve">[1]</w:t>
        </w:r>
      </w:hyperlink>
      <w:r>
        <w:t xml:space="preserve"> </w:t>
      </w:r>
      <w:hyperlink w:anchor="ref-16">
        <w:r>
          <w:rPr>
            <w:rStyle w:val="Hyperlink"/>
          </w:rPr>
          <w:t xml:space="preserve">[16]</w:t>
        </w:r>
      </w:hyperlink>
      <w:r>
        <w:t xml:space="preserve">. Read against that hierarchy, the thirty-record file can support two kinds of claim. It can say whether the topic signal in the retrieved records is organized by recency, attention, and venue, and it can say whether citation accumulation in those records tracks article age. It can say nothing about the strategic effect of reversible counterspace demonstrations, because it holds no counterspace events and no coded responses. Chapter 6 honors that boundary. It reports the estimator output exactly and reads it as evidence about the measured record, never as a smuggled claim about deterrence in orbit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8"/>
    <w:bookmarkStart w:id="109" w:name="X75a4f394829e5d2c3cfa936a72e905f3eb75a7a"/>
    <w:p>
      <w:pPr>
        <w:pStyle w:val="Heading2"/>
        <w:spacing w:line="480" w:lineRule="auto"/>
      </w:pPr>
      <w:r>
        <w:t xml:space="preserve">Descriptive structure of the two variables</w:t>
      </w:r>
    </w:p>
    <w:p>
      <w:pPr>
        <w:pStyle w:val="FirstParagraph"/>
        <w:spacing w:line="480" w:lineRule="auto"/>
      </w:pPr>
      <w:r>
        <w:t xml:space="preserve">Before the estimators run, the raw distributions repay description, because they explain the results in advance. The topic-signal score sits heavily concentrated at its floor. Most of the thirty records carry a score of one, a smaller group carries two, and only a handful reach three or above, the maximum at six. That concentration leaves the outcome in Paper 1 with limited variance to explain, part of why any predictor will struggle to account for much of it. A regressor cannot explain variation that is barely present, and a floor-heavy outcome mechanically depresses the achievable fit. The descriptive shape of the topic-signal score thus foreshadows the flat model fit Chapter 6 reports, and it does so for a reason internal to the measurement rather than any deep fact about reversibility.</w:t>
      </w:r>
    </w:p>
    <w:p>
      <w:pPr>
        <w:pStyle w:val="BodyText"/>
        <w:spacing w:line="480" w:lineRule="auto"/>
        <w:ind w:firstLine="720"/>
      </w:pPr>
      <w:r>
        <w:t xml:space="preserve">The citation distribution that drives Paper 2 runs more skewed still. The overwhelming majority of records carry zero citations in the local index and therefore enter the log-log model at citations-plus-one equal to one. A thin tail of cited records carries the entire signal: two records at thirty-six citations, then single records at nine, eight, six, three, and one. Two properties of this tail matter. It is short, so a handful of records dominate the fit, and it is unsorted by age, since the two most-cited records date from 2020 and 2023 rather than from the oldest vintage. A learning curve looks for citations rising with age, yet here the citations sit in the middle of the age range, not at its old end. The elasticity Chapter 6 reports as weak and negative is the direct arithmetic consequence of this distribution, and describing it here makes that result legible rather than surprising.</w:t>
      </w:r>
    </w:p>
    <w:bookmarkEnd w:id="109"/>
    <w:bookmarkStart w:id="110" w:name="cross-checking-the-two-files"/>
    <w:p>
      <w:pPr>
        <w:pStyle w:val="Heading2"/>
        <w:spacing w:line="480" w:lineRule="auto"/>
      </w:pPr>
      <w:r>
        <w:t xml:space="preserve">Cross-checking the two files</w:t>
      </w:r>
    </w:p>
    <w:p>
      <w:pPr>
        <w:pStyle w:val="FirstParagraph"/>
        <w:spacing w:line="480" w:lineRule="auto"/>
      </w:pPr>
      <w:r>
        <w:t xml:space="preserve">The two estimation files are not independent datasets; they are two views of the same thirty records, and their internal consistency is itself a provenance check. Paper 1’s recency index and Paper 2’s age index are exact complements. For every record, recency index plus age index equals a constant offset fixed by the sample’s year range, because one counts up from the oldest year and the other counts up from the newest. A record from 2006 sits at recency one and age twenty-one; a record from 2026 sits at recency twenty-one and age one. The shared columns, citation count and source identifier, match row for row across the two files. That correspondence is deliberate and verifiable, and it lets an auditor confirm that the two papers rest on a single, coherent dataset rather than two separately assembled pools that might silently disagree</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cross-file consistency does more than reassure. It lets the two nulls in Chapter 6 read as genuinely complementary rather than redundant, since each probes the same records along a different axis. Paper 1 asks a cross-sectional question about topic-signal structure; Paper 2 asks a longitudinal question about citation accumulation. Because both draw on identical records, a null in each is a statement about the same corpus seen along two orthogonal axes, and their agreement carries information that two nulls from unrelated datasets could not. The measurement design is what makes the convergence of the results meaningful, and the conservative provenance rules are what let a skeptical reader trust that convergence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10"/>
    <w:bookmarkStart w:id="111" w:name="the-topic-signal-score-examined-closely"/>
    <w:p>
      <w:pPr>
        <w:pStyle w:val="Heading2"/>
        <w:spacing w:line="480" w:lineRule="auto"/>
      </w:pPr>
      <w:r>
        <w:t xml:space="preserve">The topic-signal score examined closely</w:t>
      </w:r>
    </w:p>
    <w:p>
      <w:pPr>
        <w:pStyle w:val="FirstParagraph"/>
        <w:spacing w:line="480" w:lineRule="auto"/>
      </w:pPr>
      <w:r>
        <w:t xml:space="preserve">Because the topic-signal score is the outcome of the headline paper, it earns scrutiny as a construct rather than acceptance as a black box. The score counts theme-term hits across four metadata fields: title, snippet, keyword, and author. Each field contributes differently. Titles are terse, and theme terms in them signal topical fit strongly; snippets run longer and noisier; keyword fields vary in completeness across venue families; author metadata rarely carries theme terms at all. The upshot is a score dominated by title and snippet hits, with keyword contributions concentrated in the journal records that populate their keyword fields fully. This construction carries a knowable bias. Venue families that supply richer metadata can accrue higher scores for reasons of indexing convention rather than substantive relevance, which leaves the venue-score coefficient in Paper 1 partly entangled with metadata completeness. That entanglement is a limitation, stated here so the flat venue coefficient in Chapter 6 reads with the entanglement in mind rather than as a clean substantive null</w:t>
      </w:r>
      <w:r>
        <w:t xml:space="preserve"> </w:t>
      </w:r>
      <w:hyperlink w:anchor="ref-16">
        <w:r>
          <w:rPr>
            <w:rStyle w:val="Hyperlink"/>
          </w:rPr>
          <w:t xml:space="preserve">[16]</w:t>
        </w:r>
      </w:hyperlink>
      <w:r>
        <w:t xml:space="preserve">.</w:t>
      </w:r>
    </w:p>
    <w:p>
      <w:pPr>
        <w:pStyle w:val="BodyText"/>
        <w:spacing w:line="480" w:lineRule="auto"/>
        <w:ind w:firstLine="720"/>
      </w:pPr>
      <w:r>
        <w:t xml:space="preserve">The mechanical, deterministic nature of the score is its saving grace. Because the same record always yields the same count, the measure is perfectly reliable in the test-retest sense, whatever its validity limits. An analyst can reconstruct any record’s score from its metadata and the theme-term list, and disagreement about the score can only be disagreement about the term list, not about the counting. For a design-stage diagnostic that trades power for auditability, that reliability is the right property to prize. A subtler, human-coded relevance judgment might carry more validity while sacrificing the reproducibility that lets the whole chain be checked, and the dissertation has chosen reproducibility deliberately</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11"/>
    <w:bookmarkStart w:id="112" w:name="X908d1370ba3d0a7fd50cd8fe79d0f294d210547"/>
    <w:p>
      <w:pPr>
        <w:pStyle w:val="Heading2"/>
        <w:spacing w:line="480" w:lineRule="auto"/>
      </w:pPr>
      <w:r>
        <w:t xml:space="preserve">Provenance as a defense against conceptual drift</w:t>
      </w:r>
    </w:p>
    <w:p>
      <w:pPr>
        <w:pStyle w:val="FirstParagraph"/>
        <w:spacing w:line="480" w:lineRule="auto"/>
      </w:pPr>
      <w:r>
        <w:t xml:space="preserve">The conservative provenance rules serve a purpose beyond credibility; they guard against conceptual drift, the characteristic failure mode of a project whose source base is loosely organized. When a corpus is heterogeneous, the definition of the phenomenon tends to expand quietly to fit whatever the sources happen to contain, until the dissertation is measuring something broader and vaguer than the reversible-signaling question it began with. The rule that every variable be built from an observable field, that no value be imputed from judgment, and that the source trail be preserved for every row is what pins the definition down</w:t>
      </w:r>
      <w:r>
        <w:t xml:space="preserve"> </w:t>
      </w:r>
      <w:hyperlink w:anchor="ref-5">
        <w:r>
          <w:rPr>
            <w:rStyle w:val="Hyperlink"/>
          </w:rPr>
          <w:t xml:space="preserve">[5]</w:t>
        </w:r>
      </w:hyperlink>
      <w:r>
        <w:t xml:space="preserve">. It forces the project to measure what the records actually say rather than what the analyst wishes they said. Paired with the finding, developed later, that the corpus lacks metadata structure, this discipline keeps the dissertation from mistaking a scattered pile of adjacent records for a settled empirical frame. The provenance rules and the diagnostic nulls reinforce each other: the rules prevent drift, and the nulls confirm that drift would have been a real danger had the rules been relaxed</w:t>
      </w:r>
      <w:r>
        <w:t xml:space="preserve"> </w:t>
      </w:r>
      <w:hyperlink w:anchor="ref-16">
        <w:r>
          <w:rPr>
            <w:rStyle w:val="Hyperlink"/>
          </w:rPr>
          <w:t xml:space="preserve">[16]</w:t>
        </w:r>
      </w:hyperlink>
      <w:r>
        <w:t xml:space="preserve">.</w:t>
      </w:r>
    </w:p>
    <w:p>
      <w:pPr>
        <w:pStyle w:val="BodyText"/>
        <w:spacing w:line="480" w:lineRule="auto"/>
        <w:ind w:firstLine="720"/>
      </w:pPr>
      <w:r>
        <w:t xml:space="preserve">The dataset reads best as a deliberately austere instrument. Small. Reliant on rough proxies. Unwilling to impute. Every one of those properties narrows what the instrument can find, and every one was chosen so that whatever it does find can be trusted line by line. That austerity is the measurement contribution of the dissertation, and it is the foundation the exact results of the next chapter come to rest on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12"/>
    <w:bookmarkStart w:id="113" w:name="venue-coding-and-its-interpretive-limits"/>
    <w:p>
      <w:pPr>
        <w:pStyle w:val="Heading2"/>
        <w:spacing w:line="480" w:lineRule="auto"/>
      </w:pPr>
      <w:r>
        <w:t xml:space="preserve">Venue coding and its interpretive limits</w:t>
      </w:r>
    </w:p>
    <w:p>
      <w:pPr>
        <w:pStyle w:val="FirstParagraph"/>
        <w:spacing w:line="480" w:lineRule="auto"/>
      </w:pPr>
      <w:r>
        <w:t xml:space="preserve">The venue score deserves a closer look, since it is the variable most likely to be misread. It assigns AMOS the value one, Acta Astronautica the value two, and the space-economy family the value three, and the estimator treats it as a linear predictor. That linearity encodes an ordering, but an ordering of venue family, not of quality, relevance, or rigor</w:t>
      </w:r>
      <w:r>
        <w:t xml:space="preserve"> </w:t>
      </w:r>
      <w:hyperlink w:anchor="ref-1">
        <w:r>
          <w:rPr>
            <w:rStyle w:val="Hyperlink"/>
          </w:rPr>
          <w:t xml:space="preserve">[1]</w:t>
        </w:r>
      </w:hyperlink>
      <w:r>
        <w:t xml:space="preserve"> </w:t>
      </w:r>
      <w:hyperlink w:anchor="ref-16">
        <w:r>
          <w:rPr>
            <w:rStyle w:val="Hyperlink"/>
          </w:rPr>
          <w:t xml:space="preserve">[16]</w:t>
        </w:r>
      </w:hyperlink>
      <w:r>
        <w:t xml:space="preserve">. Nothing in the coding claims an Acta Astronautica record is twice as anything as an AMOS record, or that a space-economy record is three times as central. The numbers are labels arranged for the regression, and a one-unit move in venue score means only a move from one family to the next in the assigned sequence. Reading the venue coefficient as though the score measured prestige would be a mistake, and stating the limit here forecloses that mistake before Chapter 6 reports the coefficient.</w:t>
      </w:r>
    </w:p>
    <w:p>
      <w:pPr>
        <w:pStyle w:val="BodyText"/>
        <w:spacing w:line="480" w:lineRule="auto"/>
        <w:ind w:firstLine="720"/>
      </w:pPr>
      <w:r>
        <w:t xml:space="preserve">The venue variable also carries the metadata-completeness entanglement noted earlier. Journal records tend to populate their keyword fields more fully than conference records, which can inflate the topic-signal counts of the journal families for reasons of indexing convention</w:t>
      </w:r>
      <w:r>
        <w:t xml:space="preserve"> </w:t>
      </w:r>
      <w:hyperlink w:anchor="ref-16">
        <w:r>
          <w:rPr>
            <w:rStyle w:val="Hyperlink"/>
          </w:rPr>
          <w:t xml:space="preserve">[16]</w:t>
        </w:r>
      </w:hyperlink>
      <w:r>
        <w:t xml:space="preserve">. Because venue family and metadata completeness move together, the venue coefficient in Paper 1 cannot cleanly separate a substantive venue effect from a completeness artifact. This is a real limitation of the design, and the honest response keeps the variable while interpreting its coefficient with the entanglement acknowledged. When Chapter 6 reports a flat, insignificant venue effect, that flatness is at least reassuring on this point: whatever completeness entanglement exists, it is too small to manufacture a spurious venue signal in these thirty records.</w:t>
      </w:r>
    </w:p>
    <w:bookmarkEnd w:id="113"/>
    <w:bookmarkStart w:id="114" w:name="from-dataset-to-results"/>
    <w:p>
      <w:pPr>
        <w:pStyle w:val="Heading2"/>
        <w:spacing w:line="480" w:lineRule="auto"/>
      </w:pPr>
      <w:r>
        <w:t xml:space="preserve">From dataset to results</w:t>
      </w:r>
    </w:p>
    <w:p>
      <w:pPr>
        <w:pStyle w:val="FirstParagraph"/>
        <w:spacing w:line="480" w:lineRule="auto"/>
      </w:pPr>
      <w:r>
        <w:t xml:space="preserve">The dataset is now fully specified, and the path to the results is short. Thirty records, traced to sources, populate two estimation files that share their underlying observations and differ only in how they frame the temporal variable</w:t>
      </w:r>
      <w:r>
        <w:t xml:space="preserve"> </w:t>
      </w:r>
      <w:hyperlink w:anchor="ref-1">
        <w:r>
          <w:rPr>
            <w:rStyle w:val="Hyperlink"/>
          </w:rPr>
          <w:t xml:space="preserve">[1]</w:t>
        </w:r>
      </w:hyperlink>
      <w:r>
        <w:t xml:space="preserve">. Paper 1 regresses the deterministic topic-signal score on recency, citation, and venue; Paper 2 regresses log citation-count-plus-one on log age. Every variable has been defined from an observable field, every rough proxy has been flagged, and every provenance rule has been stated. The measurement chapter has done its work if the reader can now open either file, reconstruct any value, and understand exactly what each coefficient in the next chapter will and will not mean</w:t>
      </w:r>
      <w:r>
        <w:t xml:space="preserve"> </w:t>
      </w:r>
      <w:hyperlink w:anchor="ref-7">
        <w:r>
          <w:rPr>
            <w:rStyle w:val="Hyperlink"/>
          </w:rPr>
          <w:t xml:space="preserve">[7]</w:t>
        </w:r>
      </w:hyperlink>
      <w:r>
        <w:t xml:space="preserve">. On that foundation, Chapter 6 reports the estimator output to full precision and reads the signs and magnitudes, holding the interpretation inside the corpus the models actually saw and letting it drift nowhere near the deterrence claim the data cannot support</w:t>
      </w:r>
      <w:r>
        <w:t xml:space="preserve"> </w:t>
      </w:r>
      <w:hyperlink w:anchor="ref-8">
        <w:r>
          <w:rPr>
            <w:rStyle w:val="Hyperlink"/>
          </w:rPr>
          <w:t xml:space="preserve">[8]</w:t>
        </w:r>
      </w:hyperlink>
      <w:r>
        <w:t xml:space="preserve">.</w:t>
      </w:r>
    </w:p>
    <w:bookmarkEnd w:id="114"/>
    <w:bookmarkEnd w:id="115"/>
    <w:bookmarkStart w:id="126"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then reads the signs, the magnitudes, and the precision. Nothing here is rounded away or dressed up. The numbers are what they are, and what they are is a pair of clean nulls that tell a consistent story about the readiness of the source base.</w:t>
      </w:r>
    </w:p>
    <w:bookmarkStart w:id="116" w:name="Xfc3db0f447e7c081cb08e4e3da8f32fae76a105"/>
    <w:p>
      <w:pPr>
        <w:pStyle w:val="Heading2"/>
        <w:spacing w:line="480" w:lineRule="auto"/>
      </w:pPr>
      <w:r>
        <w:t xml:space="preserve">Paper 1: cross-sectional structure of the topic signal</w:t>
      </w:r>
    </w:p>
    <w:p>
      <w:pPr>
        <w:pStyle w:val="FirstParagraph"/>
        <w:spacing w:line="480" w:lineRule="auto"/>
      </w:pPr>
      <w:r>
        <w:t xml:space="preserve">Paper 1 estimates the ordinary least squares model of topic-signal score on recency index, citation count, and venue score, with robust HC1 standard errors, on thirty observations. The fit comes out essentially flat. The reported R-squared is 0.002447387379354793, and the adjusted R-squared is -0.11265483715379654. The model F statistic is 0.026127827591795095 with a p-value of 0.9941518163438845.</w:t>
      </w:r>
    </w:p>
    <w:p>
      <w:pPr>
        <w:pStyle w:val="BodyText"/>
        <w:spacing w:line="480" w:lineRule="auto"/>
        <w:ind w:firstLine="720"/>
      </w:pPr>
      <w:r>
        <w:t xml:space="preserve">Read those fit statistics first. They frame everything that follows. An R-squared of roughly 0.0024 means the three regressors together account for about one quarter of one percent of the variation in the topic-signal score, which is to say almost nothing. The adjusted R-squared runs negative, the telltale sign of a specification that explains so little the penalty for its parameters outweighs the variance it manages to capture. And the F statistic of about 0.026, carrying a p-value near 0.994, means the joint hypothesis that all three slope coefficients are zero survives at any conventional level. Take the model whole and it cannot be told apart from a model with no predictors in it at all.</w:t>
      </w:r>
    </w:p>
    <w:p>
      <w:pPr>
        <w:pStyle w:val="BodyText"/>
        <w:spacing w:line="480" w:lineRule="auto"/>
        <w:ind w:firstLine="720"/>
      </w:pPr>
      <w:r>
        <w:t xml:space="preserve">The coefficient estimates confirm the same verdict term by term. The intercept is 1.9997996700054035, with a robust standard error of 0.8422595303490286 and a p-value of 0.01758096562386737. The coefficient on the recency index is -0.005198546763334123, with a robust standard error of 0.05326819524595834 and a p-value of 0.9222563211906749. The coefficient on citation count is -0.004946958136297615, with a robust standard error of 0.02411264341541886 and a p-value of 0.8374468539336649. The coefficient on venue score is -0.0227273659690429, with a robust standard error of 0.31800284264631534 and a p-value of 0.9430244437897941.</w:t>
      </w:r>
    </w:p>
    <w:p>
      <w:pPr>
        <w:pStyle w:val="BodyText"/>
        <w:spacing w:line="480" w:lineRule="auto"/>
        <w:ind w:firstLine="720"/>
      </w:pPr>
      <w:r>
        <w:t xml:space="preserve">The intercept is the only estimate that clears conventional significance, and it is the least interesting one. Its value near two says merely that a record with all three predictors at zero would carry a topic-signal score of about two, unremarkable given that most records in the sample score one and a handful score higher. The three predictors the hypotheses actually concern all carry coefficients small, negative, and statistically indistinguishable from zero. Recency does not raise the topic signal; its point estimate sits a hair below zero with a p-value above 0.92. Citation attention does not raise it either; its coefficient runs slightly negative with a p-value above 0.83. Nor does venue family; its coefficient is negative with a p-value above 0.94.</w:t>
      </w:r>
    </w:p>
    <w:p>
      <w:pPr>
        <w:pStyle w:val="BodyText"/>
        <w:spacing w:line="480" w:lineRule="auto"/>
        <w:ind w:firstLine="720"/>
      </w:pPr>
      <w:r>
        <w:t xml:space="preserve">The substantive reading is direct. H1 for Paper 1 predicted the topic-signal score would climb with recency and citation attention. It does not climb. Every slope points the wrong way for that prediction, and not one is precise enough to matter, so the null stands untouched. The retrieved literature shows no meaningful metadata structure by recency, by citation attention, or by venue family. Look for the reversibility-and-deterrence theme and you find it concentrated in no vintage of records, in no citation tier, in no single venue family. It is diffuse.</w:t>
      </w:r>
    </w:p>
    <w:bookmarkEnd w:id="116"/>
    <w:bookmarkStart w:id="117" w:name="X8b502577337bfccb224d2a3377953bc283f3d4a"/>
    <w:p>
      <w:pPr>
        <w:pStyle w:val="Heading2"/>
        <w:spacing w:line="480" w:lineRule="auto"/>
      </w:pPr>
      <w:r>
        <w:t xml:space="preserve">Paper 2: citation accumulation against article age</w:t>
      </w:r>
    </w:p>
    <w:p>
      <w:pPr>
        <w:pStyle w:val="FirstParagraph"/>
        <w:spacing w:line="480" w:lineRule="auto"/>
      </w:pPr>
      <w:r>
        <w:t xml:space="preserve">Paper 2 estimates the log-log learning curve of citation count plus one on the article-age index, again with robust HC1 standard errors, on the same thirty observations. The reported R-squared is 0.01011820267111696. The estimated elasticity is -0.11639546848268884, and the implied progress ratio is 0.9224895871174429 for each doubling of age. The intercept coefficient is 0.7158257386508309, with a standard error of 0.3405700568448086 and a p-value of 0.03556678692534934. The coefficient on the log of the age index is -0.11639546848268884, with a standard error of 0.14233959731022283 and a p-value of 0.4135109365971822.</w:t>
      </w:r>
    </w:p>
    <w:p>
      <w:pPr>
        <w:pStyle w:val="BodyText"/>
        <w:spacing w:line="480" w:lineRule="auto"/>
        <w:ind w:firstLine="720"/>
      </w:pPr>
      <w:r>
        <w:t xml:space="preserve">The fit comes out nearly flat again. An R-squared of about 0.010 means article age accounts for roughly one percent of the variation in logged citation counts. The intercept clears conventional significance with a p-value of about 0.036, yet as in Paper 1 the intercept is not where the hypothesis lives. The hypothesis lives in the slope, and the slope is the elasticity of citation accumulation with respect to age.</w:t>
      </w:r>
    </w:p>
    <w:p>
      <w:pPr>
        <w:pStyle w:val="BodyText"/>
        <w:spacing w:line="480" w:lineRule="auto"/>
        <w:ind w:firstLine="720"/>
      </w:pPr>
      <w:r>
        <w:t xml:space="preserve">That elasticity is -0.11639546848268884, negative and small, and its p-value of about 0.414 places it well inside the range statistically indistinguishable from zero. The implied progress ratio of about 0.922 says that each doubling of article age goes with citation counts about eight percent lower rather than higher, the opposite of what conventional bibliometrics would predict, though the imprecision of the estimate means this reversal should not be over-read. The honest statement is that the point estimate runs negative while the interval comfortably includes zero.</w:t>
      </w:r>
    </w:p>
    <w:p>
      <w:pPr>
        <w:pStyle w:val="BodyText"/>
        <w:spacing w:line="480" w:lineRule="auto"/>
        <w:ind w:firstLine="720"/>
      </w:pPr>
      <w:r>
        <w:t xml:space="preserve">The substantive reading mirrors Paper 1. H1 for Paper 2 predicted that citation accumulation would follow a measurable age-based attention curve, older records accruing more citations. The data show no such curve. The age elasticity does not distinguish itself from zero, so the null stands. Chapter 5 already flagged why: the two most-cited records in the pool date from 2020 and 2023, not from the oldest 2006-to-2011 vintage, so seniority and attention run decoupled in this corpus. The model confirms what the citation distribution foreshadowed.</w:t>
      </w:r>
    </w:p>
    <w:bookmarkEnd w:id="117"/>
    <w:bookmarkStart w:id="118" w:name="the-two-nulls-read-together"/>
    <w:p>
      <w:pPr>
        <w:pStyle w:val="Heading2"/>
        <w:spacing w:line="480" w:lineRule="auto"/>
      </w:pPr>
      <w:r>
        <w:t xml:space="preserve">The two nulls read together</w:t>
      </w:r>
    </w:p>
    <w:p>
      <w:pPr>
        <w:pStyle w:val="FirstParagraph"/>
        <w:spacing w:line="480" w:lineRule="auto"/>
      </w:pPr>
      <w:r>
        <w:t xml:space="preserve">Set the two results side by side. Paper 1 turns up no cross-sectional structure in the topic signal, whether by recency, attention, or venue. Paper 2 turns up no temporal structure in citation accumulation by age. The diagnostics probe different axes of one corpus, the first cross-sectional and the second longitudinal, and they land on a single conclusion. The retrieved literature is not a settled, well-ordered field organized around the reversibility-and-deterrence theme. It is a heterogeneous pool of adjacent records that happen to share a domain, nothing more.</w:t>
      </w:r>
    </w:p>
    <w:p>
      <w:pPr>
        <w:pStyle w:val="BodyText"/>
        <w:spacing w:line="480" w:lineRule="auto"/>
        <w:ind w:firstLine="720"/>
      </w:pPr>
      <w:r>
        <w:t xml:space="preserve">That convergence is the chapter’s principal empirical result, and a null here informs rather than empties. Had either diagnostic found strong structure, the eventual deterrence event study could have borrowed the corpus’s categories and priorities. Because neither does, the event study must instead be built from primary event records with independent coding, and the dissertation’s design-stage caution stands vindicated by its own data</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results tell future work exactly what it needs to hear. Chronological seniority is no shortcut for selecting relevant sources, venue family is no proxy for topical centrality, and citation attention in this pool does not track the theme. Source selection for the next stage has to put event-level relevance first, because the metadata offers no reliable structure to lean on</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is a modest finding, precisely reported, and it is the safeguard that keeps the whole dissertation from overreaching</w:t>
      </w:r>
      <w:r>
        <w:t xml:space="preserve"> </w:t>
      </w:r>
      <w:hyperlink w:anchor="ref-8">
        <w:r>
          <w:rPr>
            <w:rStyle w:val="Hyperlink"/>
          </w:rPr>
          <w:t xml:space="preserve">[8]</w:t>
        </w:r>
      </w:hyperlink>
      <w:r>
        <w:t xml:space="preserve">.</w:t>
      </w:r>
    </w:p>
    <w:bookmarkEnd w:id="118"/>
    <w:bookmarkStart w:id="119" w:name="Xbcc95b8a1556c4958d8fb0ab638541c2555f480"/>
    <w:p>
      <w:pPr>
        <w:pStyle w:val="Heading2"/>
        <w:spacing w:line="480" w:lineRule="auto"/>
      </w:pPr>
      <w:r>
        <w:t xml:space="preserve">Magnitude in context, not just significance</w:t>
      </w:r>
    </w:p>
    <w:p>
      <w:pPr>
        <w:pStyle w:val="FirstParagraph"/>
        <w:spacing w:line="480" w:lineRule="auto"/>
      </w:pPr>
      <w:r>
        <w:t xml:space="preserve">Statistical significance is the wrong place to stop, so weigh the magnitudes on their own terms. In Paper 1, the recency coefficient of -0.005198546763334123 says that moving across the entire twenty-year span of the corpus, from the oldest record at recency one to the newest at recency twenty-one, would shift the predicted topic-signal score by roughly one tenth of a point on a scale running from one to six. That movement is negligible even before its imprecision enters the picture. The citation coefficient of -0.004946958136297615 implies that a record with the largest observed citation count, thirty-six, would carry a predicted topic signal about eighteen hundredths of a point lower than an uncited record, again a trivial displacement. The venue coefficient of -0.0227273659690429 implies that moving from the AMOS family at venue score one to the space-economy family at venue score three would lower the predicted signal by about five hundredths of a point. Not one of these effects is large enough to matter substantively even if it were estimated precisely, and none is estimated precisely. The economic insignificance and the statistical insignificance point the same way.</w:t>
      </w:r>
    </w:p>
    <w:p>
      <w:pPr>
        <w:pStyle w:val="BodyText"/>
        <w:spacing w:line="480" w:lineRule="auto"/>
        <w:ind w:firstLine="720"/>
      </w:pPr>
      <w:r>
        <w:t xml:space="preserve">Paper 2’s magnitude tells a parallel story. An elasticity of -0.11639546848268884 and a progress ratio of 0.9224895871174429 mean that doubling a record’s age goes with a citation count roughly eight percent lower. Set against the scatter in the data, where a 2020 record and a 2023 record hold the two highest citation counts while the oldest 2006 record sits at zero, an eight-percent decline per doubling is both small and pointed opposite to the bibliometric prior. Taken at face value, the point estimate would gently contradict the idea that older records accrue more citations. Its wide standard error of 0.14233959731022283 forbids taking it at face value. The responsible reading holds age and citation effectively decoupled in this corpus, with a hint of a negative tilt the data are too thin to confirm.</w:t>
      </w:r>
    </w:p>
    <w:bookmarkEnd w:id="119"/>
    <w:bookmarkStart w:id="120" w:name="Xfba6d640305dec1a7474e7d6028feb4f584860b"/>
    <w:p>
      <w:pPr>
        <w:pStyle w:val="Heading2"/>
        <w:spacing w:line="480" w:lineRule="auto"/>
      </w:pPr>
      <w:r>
        <w:t xml:space="preserve">Why the fit statistics are the real headline</w:t>
      </w:r>
    </w:p>
    <w:p>
      <w:pPr>
        <w:pStyle w:val="FirstParagraph"/>
        <w:spacing w:line="480" w:lineRule="auto"/>
      </w:pPr>
      <w:r>
        <w:t xml:space="preserve">Coefficient p-values can pull attention away from the more fundamental fact, which is how little either model explains at all. Paper 1’s R-squared of 0.002447387379354793 and negative adjusted R-squared of -0.11265483715379654 say that the three metadata features jointly capture essentially none of the variance in the topic signal, and that adjusting for the parameters spent leaves the model worse than an intercept alone. Paper 2’s R-squared of 0.01011820267111696 is barely better. These are not models that explain a modest amount; they explain almost nothing. That near-total absence of explanatory structure is the finding. It tells the project that the retrieved literature has no metadata skeleton to build on, and it is a more robust conclusion than any single coefficient, because it rides not on the precision of one term but on the joint behavior of the whole specification</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field ready for synthesis would not produce fit statistics this flat. This one does, and the chapter reports it without flinching</w:t>
      </w:r>
      <w:r>
        <w:t xml:space="preserve"> </w:t>
      </w:r>
      <w:hyperlink w:anchor="ref-7">
        <w:r>
          <w:rPr>
            <w:rStyle w:val="Hyperlink"/>
          </w:rPr>
          <w:t xml:space="preserve">[7]</w:t>
        </w:r>
      </w:hyperlink>
      <w:r>
        <w:t xml:space="preserve">.</w:t>
      </w:r>
    </w:p>
    <w:bookmarkEnd w:id="120"/>
    <w:bookmarkStart w:id="121" w:name="Xc688bd180e468ff7a712ffa72434dd21e6090eb"/>
    <w:p>
      <w:pPr>
        <w:pStyle w:val="Heading2"/>
        <w:spacing w:line="480" w:lineRule="auto"/>
      </w:pPr>
      <w:r>
        <w:t xml:space="preserve">Reconciling the negative signs with the hypotheses</w:t>
      </w:r>
    </w:p>
    <w:p>
      <w:pPr>
        <w:pStyle w:val="FirstParagraph"/>
        <w:spacing w:line="480" w:lineRule="auto"/>
      </w:pPr>
      <w:r>
        <w:t xml:space="preserve">A careful reader will notice that every slope in both papers comes back negative, and the pattern deserves comment even though none of the slopes is significant. Recency, citation, and venue all enter Paper 1 with small negative coefficients, where H1 had predicted recency and citation would enter positive. Read the signs literally and they say newer, more-cited, higher-venue records carry slightly lower topic signal, the exact reverse of the maturity story. Building anything on that would be a mistake. The standard errors run an order of magnitude larger than the coefficients, the joint F-test p-value is 0.9941518163438845, and at that point the signs are noise; the honest reading holds the predictors uninformative rather than perversely informative. The negativity is a coincidence thrown up by a flat surface, not a finding. Reporting it, then refusing to interpret it, is itself part of the discipline the dissertation practices.</w:t>
      </w:r>
    </w:p>
    <w:p>
      <w:pPr>
        <w:pStyle w:val="BodyText"/>
        <w:spacing w:line="480" w:lineRule="auto"/>
        <w:ind w:firstLine="720"/>
      </w:pPr>
      <w:r>
        <w:t xml:space="preserve">Paper 2’s negative elasticity of -0.11639546848268884 invites the same caution with one added wrinkle. Here the negative sign is at least explicable, because the citation mass sits in mid-vintage records rather than old ones, so a model looking for citations rising with age finds them falling instead</w:t>
      </w:r>
      <w:r>
        <w:t xml:space="preserve"> </w:t>
      </w:r>
      <w:hyperlink w:anchor="ref-5">
        <w:r>
          <w:rPr>
            <w:rStyle w:val="Hyperlink"/>
          </w:rPr>
          <w:t xml:space="preserve">[5]</w:t>
        </w:r>
      </w:hyperlink>
      <w:r>
        <w:t xml:space="preserve">. The explanation makes the sign intelligible, yet the p-value of 0.4135109365971822 still forbids treating it as real. The correct statement is that the corpus shows, if anything, a faint tendency for mid-age records to be the most cited, a tendency too weak to certify. The progress ratio of 0.9224895871174429 quantifies that faint tendency without endorsing it.</w:t>
      </w:r>
    </w:p>
    <w:bookmarkEnd w:id="121"/>
    <w:bookmarkStart w:id="122" w:name="the-intercepts-and-what-they-do-not-mean"/>
    <w:p>
      <w:pPr>
        <w:pStyle w:val="Heading2"/>
        <w:spacing w:line="480" w:lineRule="auto"/>
      </w:pPr>
      <w:r>
        <w:t xml:space="preserve">The intercepts and what they do not mean</w:t>
      </w:r>
    </w:p>
    <w:p>
      <w:pPr>
        <w:pStyle w:val="FirstParagraph"/>
        <w:spacing w:line="480" w:lineRule="auto"/>
      </w:pPr>
      <w:r>
        <w:t xml:space="preserve">Both models return significant intercepts, and heading off the temptation to read anything strategic into them is worth a moment. Paper 1’s intercept of 1.9997996700054035, significant at a p-value of 0.01758096562386737, is the predicted topic signal for a hypothetical record with recency, citation, and venue all at zero, a record older than the oldest in the sample, uncited, and outside the venue coding. That is an extrapolation beyond the data, and its significance reflects only that topic-signal scores cluster around one to two, not any substantive claim about reversibility</w:t>
      </w:r>
      <w:r>
        <w:t xml:space="preserve"> </w:t>
      </w:r>
      <w:hyperlink w:anchor="ref-16">
        <w:r>
          <w:rPr>
            <w:rStyle w:val="Hyperlink"/>
          </w:rPr>
          <w:t xml:space="preserve">[16]</w:t>
        </w:r>
      </w:hyperlink>
      <w:r>
        <w:t xml:space="preserve">. Paper 2’s intercept of 0.7158257386508309, significant at a p-value of 0.03556678692534934, is the predicted log citation-count-plus-one at log-age zero, again an edge extrapolation. In both cases the significant term is the one the hypotheses do not concern, while the terms the hypotheses do concern are the insignificant slopes. Naming this explicitly heads off the common error of pointing to a significant intercept as though it rescued a model whose substantive coefficients are flat. Neither intercept rescues anything. They are anchors, not results, and the results are the nulls on the slopes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22"/>
    <w:bookmarkStart w:id="123" w:name="a-power-aware-reading-of-the-nulls"/>
    <w:p>
      <w:pPr>
        <w:pStyle w:val="Heading2"/>
        <w:spacing w:line="480" w:lineRule="auto"/>
      </w:pPr>
      <w:r>
        <w:t xml:space="preserve">A power-aware reading of the nulls</w:t>
      </w:r>
    </w:p>
    <w:p>
      <w:pPr>
        <w:pStyle w:val="FirstParagraph"/>
        <w:spacing w:line="480" w:lineRule="auto"/>
      </w:pPr>
      <w:r>
        <w:t xml:space="preserve">A responsible results chapter has to distinguish two things a null can mean, and the small sample makes the distinction live. A flat coefficient can mean no association exists in the population, or it can mean an association exists but the sample is too small to detect it. With thirty observations, both papers hold limited power to detect modest effects, so the nulls here cannot be read as proof that recency, citation, venue, or age are strictly unrelated to the outcomes</w:t>
      </w:r>
      <w:r>
        <w:t xml:space="preserve"> </w:t>
      </w:r>
      <w:hyperlink w:anchor="ref-16">
        <w:r>
          <w:rPr>
            <w:rStyle w:val="Hyperlink"/>
          </w:rPr>
          <w:t xml:space="preserve">[16]</w:t>
        </w:r>
      </w:hyperlink>
      <w:r>
        <w:t xml:space="preserve">. What they can be read as is an absence of any association strong enough to surface in this corpus at this sample size, which is the operationally relevant statement. A source base whose structure is too faint to detect in thirty records is, for the practical purpose of guiding source selection, a source base without usable structure. The power limitation and the substantive conclusion therefore point the same way, though they are logically distinct, and stating both keeps the interpretation honest.</w:t>
      </w:r>
    </w:p>
    <w:p>
      <w:pPr>
        <w:pStyle w:val="BodyText"/>
        <w:spacing w:line="480" w:lineRule="auto"/>
        <w:ind w:firstLine="720"/>
      </w:pPr>
      <w:r>
        <w:t xml:space="preserve">The magnitudes reinforce the power-aware reading rather than undercutting it. Even at face value, the largest of the point estimates moves the outcome by a fraction of a scale point across the full range of the predictor, so an undetected effect, had one existed, would have to be small enough to be practically irrelevant to source selection anyway</w:t>
      </w:r>
      <w:r>
        <w:t xml:space="preserve"> </w:t>
      </w:r>
      <w:hyperlink w:anchor="ref-5">
        <w:r>
          <w:rPr>
            <w:rStyle w:val="Hyperlink"/>
          </w:rPr>
          <w:t xml:space="preserve">[5]</w:t>
        </w:r>
      </w:hyperlink>
      <w:r>
        <w:t xml:space="preserve">. A null that coincides with tiny point estimates informs more than a null sitting atop large but imprecise ones, because the former rules out both statistical and substantive importance while the latter rules out only the statistical. Both papers land in the more informative case: the estimates are small and imprecise together, so nothing of consequence hides in the interval.</w:t>
      </w:r>
    </w:p>
    <w:bookmarkEnd w:id="123"/>
    <w:bookmarkStart w:id="124" w:name="what-the-results-license-and-forbid"/>
    <w:p>
      <w:pPr>
        <w:pStyle w:val="Heading2"/>
        <w:spacing w:line="480" w:lineRule="auto"/>
      </w:pPr>
      <w:r>
        <w:t xml:space="preserve">What the results license and forbid</w:t>
      </w:r>
    </w:p>
    <w:p>
      <w:pPr>
        <w:pStyle w:val="FirstParagraph"/>
        <w:spacing w:line="480" w:lineRule="auto"/>
      </w:pPr>
      <w:r>
        <w:t xml:space="preserve">The chapter closes by saying plainly what its numbers permit and what they rule out. Permitted: the conclusion that the retrieved literature, coded as it is, offers no metadata structure by recency, citation attention, venue family, or article age, and with it the operational inference that source selection for the event study has to run from topical and event-level relevance rather than from these metadata shortcuts</w:t>
      </w:r>
      <w:r>
        <w:t xml:space="preserve"> </w:t>
      </w:r>
      <w:hyperlink w:anchor="ref-1">
        <w:r>
          <w:rPr>
            <w:rStyle w:val="Hyperlink"/>
          </w:rPr>
          <w:t xml:space="preserve">[1]</w:t>
        </w:r>
      </w:hyperlink>
      <w:r>
        <w:t xml:space="preserve"> </w:t>
      </w:r>
      <w:hyperlink w:anchor="ref-7">
        <w:r>
          <w:rPr>
            <w:rStyle w:val="Hyperlink"/>
          </w:rPr>
          <w:t xml:space="preserve">[7]</w:t>
        </w:r>
      </w:hyperlink>
      <w:r>
        <w:t xml:space="preserve">. Ruled out: any statement whatever about reversible counterspace demonstrations, restraint, or escalation, because the models hold no counterspace events and no coded responses to speak of. A reader who tries to squeeze a deterrence conclusion from these regressions has gone past what the data can bear, and the chapter is written to make that overreach visibly unwarranted</w:t>
      </w:r>
      <w:r>
        <w:t xml:space="preserve"> </w:t>
      </w:r>
      <w:hyperlink w:anchor="ref-16">
        <w:r>
          <w:rPr>
            <w:rStyle w:val="Hyperlink"/>
          </w:rPr>
          <w:t xml:space="preserve">[16]</w:t>
        </w:r>
      </w:hyperlink>
      <w:r>
        <w:t xml:space="preserve">. The results are precisely what they are: two carefully reported nulls that describe the readiness of a source base and, in the same stroke, discipline the design of the work that has to follow</w:t>
      </w:r>
      <w:r>
        <w:t xml:space="preserve"> </w:t>
      </w:r>
      <w:hyperlink w:anchor="ref-8">
        <w:r>
          <w:rPr>
            <w:rStyle w:val="Hyperlink"/>
          </w:rPr>
          <w:t xml:space="preserve">[8]</w:t>
        </w:r>
      </w:hyperlink>
      <w:r>
        <w:t xml:space="preserve">.</w:t>
      </w:r>
    </w:p>
    <w:bookmarkEnd w:id="124"/>
    <w:bookmarkStart w:id="125" w:name="robustness-of-the-reported-figures"/>
    <w:p>
      <w:pPr>
        <w:pStyle w:val="Heading2"/>
        <w:spacing w:line="480" w:lineRule="auto"/>
      </w:pPr>
      <w:r>
        <w:t xml:space="preserve">Robustness of the reported figures</w:t>
      </w:r>
    </w:p>
    <w:p>
      <w:pPr>
        <w:pStyle w:val="FirstParagraph"/>
        <w:spacing w:line="480" w:lineRule="auto"/>
      </w:pPr>
      <w:r>
        <w:t xml:space="preserve">One more assurance belongs in a results chapter, and it concerns the stability of the reported figures themselves. The coefficients, standard errors, and fit statistics above are transcribed to full precision from the estimation output rather than rounded to convenient approximations, so a reader reproducing the models on the thirty-record files should recover the identical values</w:t>
      </w:r>
      <w:r>
        <w:t xml:space="preserve"> </w:t>
      </w:r>
      <w:hyperlink w:anchor="ref-16">
        <w:r>
          <w:rPr>
            <w:rStyle w:val="Hyperlink"/>
          </w:rPr>
          <w:t xml:space="preserve">[16]</w:t>
        </w:r>
      </w:hyperlink>
      <w:r>
        <w:t xml:space="preserve">. That exact reproducibility is a form of robustness. It removes any ambiguity about what was estimated and rules out transcription drift as a source of the nulls. The nulls are no artifacts of selective rounding or of a favorable reporting choice, because there is no rounding and no choice; the workbook produced these numbers and the chapter reports them verbatim. In a domain where confident prose so often outruns its arithmetic, that fidelity is worth stating plainly, because it is what lets a skeptical reader treat the two nulls as facts about the corpus rather than conclusions the author preferred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25"/>
    <w:bookmarkEnd w:id="126"/>
    <w:bookmarkStart w:id="136" w:name="chapter-7.-discussion-and-limitations"/>
    <w:p>
      <w:pPr>
        <w:pStyle w:val="Heading1"/>
        <w:spacing w:line="480" w:lineRule="auto"/>
      </w:pPr>
      <w:r>
        <w:t xml:space="preserve">Chapter 7. Discussion and Limitations</w:t>
      </w:r>
    </w:p>
    <w:p>
      <w:pPr>
        <w:pStyle w:val="FirstParagraph"/>
        <w:spacing w:line="480" w:lineRule="auto"/>
      </w:pPr>
      <w:r>
        <w:t xml:space="preserve">The two nulls from the previous chapter invite misreading in both directions, and this chapter exists to read them the right way. They show neither that reversibility fails to deter nor that it succeeds. What they show is narrower and more useful than either verdict: the literature assembled around the reversibility question is not yet an ordered field, so the deterrence claim cannot be tested out of metadata structure and has to wait for a purpose-built event dataset instead. The chapter first draws out what the findings actually mean. Then it catalogues the threats to validity that any future deterrence reading will have to survive.</w:t>
      </w:r>
    </w:p>
    <w:bookmarkStart w:id="127" w:name="what-the-findings-actually-mean"/>
    <w:p>
      <w:pPr>
        <w:pStyle w:val="Heading2"/>
        <w:spacing w:line="480" w:lineRule="auto"/>
      </w:pPr>
      <w:r>
        <w:t xml:space="preserve">What the findings actually mean</w:t>
      </w:r>
    </w:p>
    <w:p>
      <w:pPr>
        <w:pStyle w:val="FirstParagraph"/>
        <w:spacing w:line="480" w:lineRule="auto"/>
      </w:pPr>
      <w:r>
        <w:t xml:space="preserve">Start with what the diagnostics settle. Paper 1’s flat cross-sectional fit means the topic signal in the retrieved records is not organized by recency, citation attention, or venue family</w:t>
      </w:r>
      <w:r>
        <w:t xml:space="preserve"> </w:t>
      </w:r>
      <w:hyperlink w:anchor="ref-16">
        <w:r>
          <w:rPr>
            <w:rStyle w:val="Hyperlink"/>
          </w:rPr>
          <w:t xml:space="preserve">[16]</w:t>
        </w:r>
      </w:hyperlink>
      <w:r>
        <w:t xml:space="preserve">. Paper 2’s weak age elasticity means citation accumulation in the same records does not follow a seniority curve</w:t>
      </w:r>
      <w:r>
        <w:t xml:space="preserve"> </w:t>
      </w:r>
      <w:hyperlink w:anchor="ref-5">
        <w:r>
          <w:rPr>
            <w:rStyle w:val="Hyperlink"/>
          </w:rPr>
          <w:t xml:space="preserve">[5]</w:t>
        </w:r>
      </w:hyperlink>
      <w:r>
        <w:t xml:space="preserve">. Both results describe the corpus, and the corpus alone. Read at that level, they disappoint no one. They are exactly the kind of thing a candidate should learn before investing in a large event-coding effort, because they tell her the assembled literature will not hand her a ready-made frame for reversible signaling.</w:t>
      </w:r>
    </w:p>
    <w:p>
      <w:pPr>
        <w:pStyle w:val="BodyText"/>
        <w:spacing w:line="480" w:lineRule="auto"/>
        <w:ind w:firstLine="720"/>
      </w:pPr>
      <w:r>
        <w:t xml:space="preserve">The deeper meaning is about method. A field that behaves like a settled canon lets a researcher borrow its structure, trusting that the heavily cited, recent, prestigious records mark the theoretical center. This corpus does none of that. Its two most-cited records are mid-vintage rather than old, the venue families do not sort by topical relevance, and the theme terms scatter across records mostly about observability and space value rather than coercion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A researcher who leaned on this pool’s apparent hierarchy would be leaning on noise. The findings redirect the project’s energy toward primary event assembly, which is where the real deterrence evidence has to come from.</w:t>
      </w:r>
    </w:p>
    <w:p>
      <w:pPr>
        <w:pStyle w:val="BodyText"/>
        <w:spacing w:line="480" w:lineRule="auto"/>
        <w:ind w:firstLine="720"/>
      </w:pPr>
      <w:r>
        <w:t xml:space="preserve">A substantive lesson also hides in the corpus composition. The literature runs heavy on how orbital events become visible and light on how they are strategically received. That imbalance is no accident of retrieval; it reflects the actual state of the field, in which the technical community has built out observability far ahead of the strategic community’s ability to code and interpret coercive events. The reversibility debate outruns its evidence base. The dissertation’s diagnostics quantify that gap rather than merely asserting it, and quantifying it is a genuine contribution even with the deterrence coefficient itself unestimated.</w:t>
      </w:r>
    </w:p>
    <w:bookmarkEnd w:id="127"/>
    <w:bookmarkStart w:id="128" w:name="threats-to-validity"/>
    <w:p>
      <w:pPr>
        <w:pStyle w:val="Heading2"/>
        <w:spacing w:line="480" w:lineRule="auto"/>
      </w:pPr>
      <w:r>
        <w:t xml:space="preserve">Threats to validity</w:t>
      </w:r>
    </w:p>
    <w:p>
      <w:pPr>
        <w:pStyle w:val="FirstParagraph"/>
        <w:spacing w:line="480" w:lineRule="auto"/>
      </w:pPr>
      <w:r>
        <w:t xml:space="preserve">Every claim in this dissertation is conditional, and honesty means naming the conditions. The threats fall into several families, and they compound rather than cancel.</w:t>
      </w:r>
    </w:p>
    <w:p>
      <w:pPr>
        <w:pStyle w:val="BodyText"/>
        <w:spacing w:line="480" w:lineRule="auto"/>
        <w:ind w:firstLine="720"/>
      </w:pPr>
      <w:r>
        <w:t xml:space="preserve">Attribution ambiguity comes first, and it is the most consequential threat to the eventual deterrence design. Reversible actions are often harder to attribute than kinetic ones. They leave no debris, and frequently no unambiguous physical trace at all</w:t>
      </w:r>
      <w:r>
        <w:t xml:space="preserve"> </w:t>
      </w:r>
      <w:hyperlink w:anchor="ref-1">
        <w:r>
          <w:rPr>
            <w:rStyle w:val="Hyperlink"/>
          </w:rPr>
          <w:t xml:space="preserve">[1]</w:t>
        </w:r>
      </w:hyperlink>
      <w:r>
        <w:t xml:space="preserve">. Suppose reversible acts turn out to be systematically less attributable; then any observed pattern of milder response to them could be a detection artifact wearing the costume of a deterrence effect. The observing state answers weakly because it cannot confidently name the actor, not because anything reassured it. A deterrence model that neglects to control for attribution status will fold these two very different mechanisms into one, and the observability literature surveyed earlier stands as a reminder of just how much interpretive work happens before an event is even characterized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Selection into treatment is the second threat. Actors may reach for reversible options precisely in lower-stakes contexts, reserving kinetic demonstrations for higher-stakes confrontations. Where reversibility is chosen because the strategic temperature is already low, reversible acts will draw milder responses for reasons that have nothing to do with the reversibility itself. The treatment is not randomly assigned; it is selected, and selected in a way correlated with the outcome. Matching on target type, crisis proximity, and prior tension is the partial remedy, yet matching can only balance observed covariates, and the strategic context of a counterspace decision is only partly observable from public records.</w:t>
      </w:r>
    </w:p>
    <w:p>
      <w:pPr>
        <w:pStyle w:val="BodyText"/>
        <w:spacing w:line="480" w:lineRule="auto"/>
        <w:ind w:firstLine="720"/>
      </w:pPr>
      <w:r>
        <w:t xml:space="preserve">Public observability bias is the third threat and cuts straight at the outcome measure. The provenance rules code a response as present only when an attributable public release documents it</w:t>
      </w:r>
      <w:r>
        <w:t xml:space="preserve"> </w:t>
      </w:r>
      <w:hyperlink w:anchor="ref-5">
        <w:r>
          <w:rPr>
            <w:rStyle w:val="Hyperlink"/>
          </w:rPr>
          <w:t xml:space="preserve">[5]</w:t>
        </w:r>
      </w:hyperlink>
      <w:r>
        <w:t xml:space="preserve">. Classified responses, private diplomatic demarches, and covert posture changes stay invisible to this coding, and they are not missing at random. A state may answer a reversible provocation through quiet channels precisely because the provocation was quiet, which would make reversible acts appear to draw less response than they actually do. The conservative coding buys credibility at the cost of a systematic undercount that may itself correlate with treatment.</w:t>
      </w:r>
    </w:p>
    <w:p>
      <w:pPr>
        <w:pStyle w:val="BodyText"/>
        <w:spacing w:line="480" w:lineRule="auto"/>
        <w:ind w:firstLine="720"/>
      </w:pPr>
      <w:r>
        <w:t xml:space="preserve">Small-N event structure is the fourth threat, structural rather than fixable. Consequential counterspace demonstrations are rare, so the eventual event universe will be small. Small samples yield wide intervals, limited power to detect moderate effects, and fragility to the coding of any single influential event. The two diagnostic papers already run on only thirty records, and the event study will run not much larger. Any deterrence estimate that emerges will have to report its uncertainty honestly rather than claim precision the sample cannot deliver.</w:t>
      </w:r>
    </w:p>
    <w:p>
      <w:pPr>
        <w:pStyle w:val="BodyText"/>
        <w:spacing w:line="480" w:lineRule="auto"/>
        <w:ind w:firstLine="720"/>
      </w:pPr>
      <w:r>
        <w:t xml:space="preserve">Category ambiguity is the fifth threat. The reversible-versus-irreversible dichotomy is cleaner in theory than in practice. Some actions are partially reversible, some are reversible in principle but not in the moment, and some get reclassified after the fact as their effects become clear. A binary treatment indicator imposes a sharp line on a graded reality, and where that line falls will move the estimate. The dissertation’s eventual coding will have to document its reversibility judgments case by case and test whether the results survive plausible reclassification of the borderline events.</w:t>
      </w:r>
    </w:p>
    <w:bookmarkEnd w:id="128"/>
    <w:bookmarkStart w:id="129" w:name="X9928654afc61724ea80b25048c91faff9f5e3d3"/>
    <w:p>
      <w:pPr>
        <w:pStyle w:val="Heading2"/>
        <w:spacing w:line="480" w:lineRule="auto"/>
      </w:pPr>
      <w:r>
        <w:t xml:space="preserve">Limitations specific to the present diagnostics</w:t>
      </w:r>
    </w:p>
    <w:p>
      <w:pPr>
        <w:pStyle w:val="FirstParagraph"/>
        <w:spacing w:line="480" w:lineRule="auto"/>
      </w:pPr>
      <w:r>
        <w:t xml:space="preserve">Beyond the threats to the future design, the two papers carry their own limitations, and Chapter 4 named them as identification threats for a reason. The corpus is a retrieval product, so its structure or lack of structure is conditional on the retrieval path rather than representative of the field</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topic-signal score, the venue score, and the citation count are constructed proxies, each a rough stand-in for a latent quantity</w:t>
      </w:r>
      <w:r>
        <w:t xml:space="preserve"> </w:t>
      </w:r>
      <w:hyperlink w:anchor="ref-16">
        <w:r>
          <w:rPr>
            <w:rStyle w:val="Hyperlink"/>
          </w:rPr>
          <w:t xml:space="preserve">[16]</w:t>
        </w:r>
      </w:hyperlink>
      <w:r>
        <w:t xml:space="preserve">. The metadata models are underspecified by design, leaving out the technical, institutional, and market forces that actually drive publication and citation</w:t>
      </w:r>
      <w:r>
        <w:t xml:space="preserve"> </w:t>
      </w:r>
      <w:hyperlink w:anchor="ref-5">
        <w:r>
          <w:rPr>
            <w:rStyle w:val="Hyperlink"/>
          </w:rPr>
          <w:t xml:space="preserve">[5]</w:t>
        </w:r>
      </w:hyperlink>
      <w:r>
        <w:t xml:space="preserve">. And the citation field is set to zero where the local index reported no count, which biases the citation measures downward and may itself be part of why both citation coefficients came out flat.</w:t>
      </w:r>
    </w:p>
    <w:p>
      <w:pPr>
        <w:pStyle w:val="BodyText"/>
        <w:spacing w:line="480" w:lineRule="auto"/>
        <w:ind w:firstLine="720"/>
      </w:pPr>
      <w:r>
        <w:t xml:space="preserve">None of these limitations undermines the diagnostic conclusion, for the simple reason that the conclusion is itself a statement about limits. The papers claim one thing only, that this corpus shows no usable structure, and rough proxies do not weaken the claim, because a rough proxy stumbling onto strong structure would surprise far more than one finding none. What the limitations actually do is bound the generalization. The nulls describe the retrieved pool and nothing wider; they pass no verdict on the whole space-security literature, and a differently retrieved corpus might well behave otherwise. The dissertation draws the boundary and then stays inside it</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That restraint is exactly the virtue the reversibility debate so often goes without, and practicing it here is itself part of the argument.</w:t>
      </w:r>
    </w:p>
    <w:bookmarkEnd w:id="129"/>
    <w:bookmarkStart w:id="130" w:name="what-the-data-cannot-show-stated-plainly"/>
    <w:p>
      <w:pPr>
        <w:pStyle w:val="Heading2"/>
        <w:spacing w:line="480" w:lineRule="auto"/>
      </w:pPr>
      <w:r>
        <w:t xml:space="preserve">What the data cannot show, stated plainly</w:t>
      </w:r>
    </w:p>
    <w:p>
      <w:pPr>
        <w:pStyle w:val="FirstParagraph"/>
        <w:spacing w:line="480" w:lineRule="auto"/>
      </w:pPr>
      <w:r>
        <w:t xml:space="preserve">Bluntness about the questions this dissertation cannot answer is worth the space, because a design-stage project earns trust by naming them rather than gesturing past them. The data cannot show whether any actual reversible counterspace demonstration produced restraint or escalation, because the thirty-record file holds no counterspace events and no coded responses. The data cannot show the sign of the reversibility coefficient in the response function, because that function has not been estimated. The data cannot rank reversible against irreversible acts on any strategic dimension, cannot speak to a single named incident, and cannot adjudicate between the restraint and normalization accounts developed in Chapter 3. Every one of those is a live and important question, and every one waits on the event corpus that Chapter 8 specifies</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What the data can show is narrow and honest: the retrieved literature offers no metadata structure a synthesis could lean on. That is a statement about readiness, not about deterrence. Conflating the two would be the exact error the dissertation exists to avoid. A reader who wants a verdict on reversibility will not find one here, and the integrity of the project rests on that absence staying visible rather than disguised by confident prose about a coefficient that was never estimated</w:t>
      </w:r>
      <w:r>
        <w:t xml:space="preserve"> </w:t>
      </w:r>
      <w:hyperlink w:anchor="ref-8">
        <w:r>
          <w:rPr>
            <w:rStyle w:val="Hyperlink"/>
          </w:rPr>
          <w:t xml:space="preserve">[8]</w:t>
        </w:r>
      </w:hyperlink>
      <w:r>
        <w:t xml:space="preserve">.</w:t>
      </w:r>
    </w:p>
    <w:bookmarkEnd w:id="130"/>
    <w:bookmarkStart w:id="131" w:name="X83796efebb35f1c50d046e047cbbb4211f2bc92"/>
    <w:p>
      <w:pPr>
        <w:pStyle w:val="Heading2"/>
        <w:spacing w:line="480" w:lineRule="auto"/>
      </w:pPr>
      <w:r>
        <w:t xml:space="preserve">The asymmetry between a null finding and a null field</w:t>
      </w:r>
    </w:p>
    <w:p>
      <w:pPr>
        <w:pStyle w:val="FirstParagraph"/>
        <w:spacing w:line="480" w:lineRule="auto"/>
      </w:pPr>
      <w:r>
        <w:t xml:space="preserve">A subtle distinction is worth drawing out, because it governs how the results should travel. A null statistical finding and a null field are not the same thing. The diagnostics returned null statistical findings: coefficients indistinguishable from zero, fits close to flat. From those, the dissertation infers that the retrieved corpus is not yet an ordered field around the reversibility theme. That inference is warranted for this pool, yet it is an inference about a retrieval product, not a proof that no ordered literature on reversible signaling could ever be assembled</w:t>
      </w:r>
      <w:r>
        <w:t xml:space="preserve"> </w:t>
      </w:r>
      <w:hyperlink w:anchor="ref-1">
        <w:r>
          <w:rPr>
            <w:rStyle w:val="Hyperlink"/>
          </w:rPr>
          <w:t xml:space="preserve">[1]</w:t>
        </w:r>
      </w:hyperlink>
      <w:r>
        <w:t xml:space="preserve"> </w:t>
      </w:r>
      <w:hyperlink w:anchor="ref-7">
        <w:r>
          <w:rPr>
            <w:rStyle w:val="Hyperlink"/>
          </w:rPr>
          <w:t xml:space="preserve">[7]</w:t>
        </w:r>
      </w:hyperlink>
      <w:r>
        <w:t xml:space="preserve">. A differently constructed corpus, drawing on classified event reporting, on the grey literature of national security studies, or on primary diplomatic records, might well show structure that automated retrieval over this source base cannot see. The nulls therefore license a redirection of method, toward primary event assembly, rather than a pessimistic verdict on the whole research program.</w:t>
      </w:r>
    </w:p>
    <w:p>
      <w:pPr>
        <w:pStyle w:val="BodyText"/>
        <w:spacing w:line="480" w:lineRule="auto"/>
        <w:ind w:firstLine="720"/>
      </w:pPr>
      <w:r>
        <w:t xml:space="preserve">This asymmetry also disciplines how others should cite the finding. Calling the reversibility literature barren would misuse the result, because the diagnostics measured a specific retrieved pool under specific coding rules</w:t>
      </w:r>
      <w:r>
        <w:t xml:space="preserve"> </w:t>
      </w:r>
      <w:hyperlink w:anchor="ref-16">
        <w:r>
          <w:rPr>
            <w:rStyle w:val="Hyperlink"/>
          </w:rPr>
          <w:t xml:space="preserve">[16]</w:t>
        </w:r>
      </w:hyperlink>
      <w:r>
        <w:t xml:space="preserve">. Saying that this pool, coded conservatively, offers no reliable metadata shortcut for selecting deterrence-relevant sources, and that future work should therefore build its sample from event-level relevance rather than from citation, recency, or venue, would use it fairly. Keeping those two statements distinct is part of the scholarly hygiene the dissertation aims to model, and it is why the limitations chapter runs as long and as explicit as the results chapter before it</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31"/>
    <w:bookmarkStart w:id="132" w:name="X4ef0110dcdaeab667f784df249acaee7e7484bb"/>
    <w:p>
      <w:pPr>
        <w:pStyle w:val="Heading2"/>
        <w:spacing w:line="480" w:lineRule="auto"/>
      </w:pPr>
      <w:r>
        <w:t xml:space="preserve">Implications for how the reversibility debate is conducted</w:t>
      </w:r>
    </w:p>
    <w:p>
      <w:pPr>
        <w:pStyle w:val="FirstParagraph"/>
        <w:spacing w:line="480" w:lineRule="auto"/>
      </w:pPr>
      <w:r>
        <w:t xml:space="preserve">Step back from the statistics and the findings carry a message for the debate itself. Space-security discourse routinely sorts counterspace behavior into reversible and irreversible bins, then reasons from the sorting as though it settled the strategic question. The diagnostics show that the literature underwriting that sorting is, at least in this retrieved form, unconsolidated. That should make participants in the debate more cautious about treating the reversible category as a stable analytic object with known strategic properties</w:t>
      </w:r>
      <w:r>
        <w:t xml:space="preserve"> </w:t>
      </w:r>
      <w:hyperlink w:anchor="ref-16">
        <w:r>
          <w:rPr>
            <w:rStyle w:val="Hyperlink"/>
          </w:rPr>
          <w:t xml:space="preserve">[16]</w:t>
        </w:r>
      </w:hyperlink>
      <w:r>
        <w:t xml:space="preserve">. A category that structures policy recommendations ought to rest on evidence that it behaves as claimed, and the present work finds no metadata basis for confidence that the reversible label yet organizes even the scholarly conversation, let alone the strategic reality. The appropriate response keeps the category, which is analytically useful, while holding its strategic implications open pending the event study.</w:t>
      </w:r>
    </w:p>
    <w:p>
      <w:pPr>
        <w:pStyle w:val="BodyText"/>
        <w:spacing w:line="480" w:lineRule="auto"/>
        <w:ind w:firstLine="720"/>
      </w:pPr>
      <w:r>
        <w:t xml:space="preserve">This bears directly on how quickly reversibility should be written into doctrine or arms-control language. If the stabilizing character of reversible acts is an untested hypothesis rather than an established fact, codifying it prematurely risks building policy on an intuition the first rigorous test could overturn</w:t>
      </w:r>
      <w:r>
        <w:t xml:space="preserve"> </w:t>
      </w:r>
      <w:hyperlink w:anchor="ref-5">
        <w:r>
          <w:rPr>
            <w:rStyle w:val="Hyperlink"/>
          </w:rPr>
          <w:t xml:space="preserve">[5]</w:t>
        </w:r>
      </w:hyperlink>
      <w:r>
        <w:t xml:space="preserve">. The normalization account, in which reversibility industrializes deniable coercion, is coherent enough that its possibility should stay the hand of anyone tempted to treat reversible options as inherently benign. Which account is right, the dissertation cannot say. What it can say, and does, is that the question is genuinely open, and that treating it as closed is unwarranted given the state of the evidence.</w:t>
      </w:r>
    </w:p>
    <w:bookmarkEnd w:id="132"/>
    <w:bookmarkStart w:id="133" w:name="the-value-of-a-well-specified-negative"/>
    <w:p>
      <w:pPr>
        <w:pStyle w:val="Heading2"/>
        <w:spacing w:line="480" w:lineRule="auto"/>
      </w:pPr>
      <w:r>
        <w:t xml:space="preserve">The value of a well-specified negative</w:t>
      </w:r>
    </w:p>
    <w:p>
      <w:pPr>
        <w:pStyle w:val="FirstParagraph"/>
        <w:spacing w:line="480" w:lineRule="auto"/>
      </w:pPr>
      <w:r>
        <w:t xml:space="preserve">A broader methodological point deserves stating here, about the worth of a well-specified negative, because negatives get undervalued so routinely. A vague project that returned an inconclusive result would teach nothing at all, because nobody could tell whether the inconclusiveness sprang from the phenomenon or from the sloppiness of the inquiry. A tightly specified project that returns a clean null teaches a great deal, precisely because the specification rules out the second explanation and leaves only the first</w:t>
      </w:r>
      <w:r>
        <w:t xml:space="preserve"> </w:t>
      </w:r>
      <w:hyperlink w:anchor="ref-8">
        <w:r>
          <w:rPr>
            <w:rStyle w:val="Hyperlink"/>
          </w:rPr>
          <w:t xml:space="preserve">[8]</w:t>
        </w:r>
      </w:hyperlink>
      <w:r>
        <w:t xml:space="preserve">. This dissertation is built to make its nulls informative in exactly that way. Simple estimators, documented variables, a fully traced sample, conservative functional forms: put those together and when the models return flat fits and insignificant slopes, the reader can pin the results on the corpus rather than the method</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negative earned this carefully is a contribution, and the limitations wrapped around it are what confer that status, not what diminish it. So the dissertation’s willingness to dwell on its own boundaries is not defensive at all. It is the very mechanism that makes a modest empirical result trustworthy enough to guide the next, larger phase of the work</w:t>
      </w:r>
      <w:r>
        <w:t xml:space="preserve"> </w:t>
      </w:r>
      <w:hyperlink w:anchor="ref-10">
        <w:r>
          <w:rPr>
            <w:rStyle w:val="Hyperlink"/>
          </w:rPr>
          <w:t xml:space="preserve">[10]</w:t>
        </w:r>
      </w:hyperlink>
      <w:r>
        <w:t xml:space="preserve">.</w:t>
      </w:r>
    </w:p>
    <w:bookmarkEnd w:id="133"/>
    <w:bookmarkStart w:id="134" w:name="Xee51f933767e3105d7dd3bf5beec5470df64a86"/>
    <w:p>
      <w:pPr>
        <w:pStyle w:val="Heading2"/>
        <w:spacing w:line="480" w:lineRule="auto"/>
      </w:pPr>
      <w:r>
        <w:t xml:space="preserve">Generalizability and the retrieval boundary</w:t>
      </w:r>
    </w:p>
    <w:p>
      <w:pPr>
        <w:pStyle w:val="FirstParagraph"/>
        <w:spacing w:line="480" w:lineRule="auto"/>
      </w:pPr>
      <w:r>
        <w:t xml:space="preserve">Of every limit on external validity, the retrieval boundary is the one that matters most. The thirty records came out of a specific automated retrieval over a specific set of sources, so their behavior generalizes to the population of similarly retrieved records and no further, certainly not to the entire universe of writing on reversible counterspace signaling</w:t>
      </w:r>
      <w:r>
        <w:t xml:space="preserve"> </w:t>
      </w:r>
      <w:hyperlink w:anchor="ref-1">
        <w:r>
          <w:rPr>
            <w:rStyle w:val="Hyperlink"/>
          </w:rPr>
          <w:t xml:space="preserve">[1]</w:t>
        </w:r>
      </w:hyperlink>
      <w:r>
        <w:t xml:space="preserve"> </w:t>
      </w:r>
      <w:hyperlink w:anchor="ref-7">
        <w:r>
          <w:rPr>
            <w:rStyle w:val="Hyperlink"/>
          </w:rPr>
          <w:t xml:space="preserve">[7]</w:t>
        </w:r>
      </w:hyperlink>
      <w:r>
        <w:t xml:space="preserve">. Change the retrieval strategy, change the source base, change the theme-term list, and a differently structured pool could come back. The dissertation neither buries this nor blows it up. It says the nulls describe the retrieved corpus, and that any claim about the broader field would take a broader and differently constructed sample. This is the ordinary limit of any bibliometric diagnostic, and acknowledging it is what holds the conclusion proportionate to the evidence. The finding is real for what it measured. It is silent about what it did not.</w:t>
      </w:r>
    </w:p>
    <w:p>
      <w:pPr>
        <w:pStyle w:val="BodyText"/>
        <w:spacing w:line="480" w:lineRule="auto"/>
        <w:ind w:firstLine="720"/>
      </w:pPr>
      <w:r>
        <w:t xml:space="preserve">The retrieval boundary also meets the design-stage character of the project in a way worth naming. Because the pool was assembled to seed a dissertation rather than to census a field, its heterogeneity is partly a feature of how it was built</w:t>
      </w:r>
      <w:r>
        <w:t xml:space="preserve"> </w:t>
      </w:r>
      <w:hyperlink w:anchor="ref-16">
        <w:r>
          <w:rPr>
            <w:rStyle w:val="Hyperlink"/>
          </w:rPr>
          <w:t xml:space="preserve">[16]</w:t>
        </w:r>
      </w:hyperlink>
      <w:r>
        <w:t xml:space="preserve">. That leaves the null no less informative for the project’s own purposes, since the project must work from the sources it actually has, though it cautions against reading the null as a diagnosis of the field’s health in general. The right inference is local and practical: this pool cannot guide selection, so the event study must select differently. The wrong inference is global and pessimistic: that reversible signaling is an empty research area. The chapter has taken care to license the first and forbid the second.</w:t>
      </w:r>
    </w:p>
    <w:bookmarkEnd w:id="134"/>
    <w:bookmarkStart w:id="135" w:name="threats-that-compound-rather-than-cancel"/>
    <w:p>
      <w:pPr>
        <w:pStyle w:val="Heading2"/>
        <w:spacing w:line="480" w:lineRule="auto"/>
      </w:pPr>
      <w:r>
        <w:t xml:space="preserve">Threats that compound rather than cancel</w:t>
      </w:r>
    </w:p>
    <w:p>
      <w:pPr>
        <w:pStyle w:val="FirstParagraph"/>
        <w:spacing w:line="480" w:lineRule="auto"/>
      </w:pPr>
      <w:r>
        <w:t xml:space="preserve">A final analytic point about the threats to validity is that they compound. Attribution ambiguity, selection into treatment, public observability bias, small-N structure, and category ambiguity do not offset one another; several of them bias the eventual deterrence estimate in the same direction, toward finding spurious restraint</w:t>
      </w:r>
      <w:r>
        <w:t xml:space="preserve"> </w:t>
      </w:r>
      <w:hyperlink w:anchor="ref-1">
        <w:r>
          <w:rPr>
            <w:rStyle w:val="Hyperlink"/>
          </w:rPr>
          <w:t xml:space="preserve">[1]</w:t>
        </w:r>
      </w:hyperlink>
      <w:r>
        <w:t xml:space="preserve"> </w:t>
      </w:r>
      <w:hyperlink w:anchor="ref-5">
        <w:r>
          <w:rPr>
            <w:rStyle w:val="Hyperlink"/>
          </w:rPr>
          <w:t xml:space="preserve">[5]</w:t>
        </w:r>
      </w:hyperlink>
      <w:r>
        <w:t xml:space="preserve">. Reversible acts are harder to attribute, get chosen in lower-stakes settings, and draw responses more likely to be handled quietly, and each of those pushes measured response for reversible acts downward for reasons unrelated to any genuine deterrence effect. A design that failed to address them jointly could easily manufacture support for the restraint account out of pure artifact. The eventual event study must therefore treat these threats as a system, controlling for attribution and observability, matching on context, and testing sensitivity to reclassification, rather than dispatching each in isolation. Recognizing that the threats align rather than cancel is itself a contribution of the limitations analysis, because it tells the next phase where the danger of a false positive concentrates and why the observability covariates are not optional</w:t>
      </w:r>
      <w:r>
        <w:t xml:space="preserve"> </w:t>
      </w:r>
      <w:hyperlink w:anchor="ref-16">
        <w:r>
          <w:rPr>
            <w:rStyle w:val="Hyperlink"/>
          </w:rPr>
          <w:t xml:space="preserve">[16]</w:t>
        </w:r>
      </w:hyperlink>
      <w:r>
        <w:t xml:space="preserve">. The discussion thus does more than list caveats. It maps the failure surface the deterrence estimate will have to cross, and it hands the map to the work that comes next</w:t>
      </w:r>
      <w:r>
        <w:t xml:space="preserve"> </w:t>
      </w:r>
      <w:hyperlink w:anchor="ref-8">
        <w:r>
          <w:rPr>
            <w:rStyle w:val="Hyperlink"/>
          </w:rPr>
          <w:t xml:space="preserve">[8]</w:t>
        </w:r>
      </w:hyperlink>
      <w:r>
        <w:t xml:space="preserve">.</w:t>
      </w:r>
    </w:p>
    <w:bookmarkEnd w:id="135"/>
    <w:bookmarkEnd w:id="136"/>
    <w:bookmarkStart w:id="181"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test whether reversibility deters. It ends without that answer. The honesty of ending without it is the whole point. What the project hands over instead is the machinery that makes the deterrence question askable at all: a falsifiable hypothesis, an identification strategy, a conservative provenance plan, and a pair of diagnostics that gauge the readiness of the source base rather than pretend the base is ready. The contribution is real for a plain reason. It never exceeds what the evidence can carry.</w:t>
      </w:r>
    </w:p>
    <w:bookmarkStart w:id="137" w:name="the-contribution-restated"/>
    <w:p>
      <w:pPr>
        <w:pStyle w:val="Heading2"/>
        <w:spacing w:line="480" w:lineRule="auto"/>
      </w:pPr>
      <w:r>
        <w:t xml:space="preserve">The contribution, restated</w:t>
      </w:r>
    </w:p>
    <w:p>
      <w:pPr>
        <w:pStyle w:val="FirstParagraph"/>
        <w:spacing w:line="480" w:lineRule="auto"/>
      </w:pPr>
      <w:r>
        <w:t xml:space="preserve">One falsifiable claim was set out in Chapter 1, and the dissertation held to it throughout. Once observability and context are controlled, reversible counterspace demonstrations either lower downstream response intensity or they do not, and the sign of the reversibility coefficient is what decides between the restraint account and the normalization account</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claim is testable. It names an outcome codeable from public records, a treatment assignable from operational facts, and a set of controls that pull a genuine deterrence effect apart from a detection artifact. Turning a rhetorical commonplace into a claim that can fail is the dissertation’s primary intellectual act. That act is finished whether or not the coefficient has yet been estimated.</w:t>
      </w:r>
    </w:p>
    <w:p>
      <w:pPr>
        <w:pStyle w:val="BodyText"/>
        <w:spacing w:line="480" w:lineRule="auto"/>
        <w:ind w:firstLine="720"/>
      </w:pPr>
      <w:r>
        <w:t xml:space="preserve">The two empirical papers supply the second half of the contribution, and their value accumulates. Paper 1 draws out what cross-sectional variation in the retained records can teach. It estimates an ordinary least squares model with robust HC1 standard errors on thirty observations, with an R-squared of 0.002447387379354793 and a model F statistic of 0.026127827591795095 at a p-value of 0.9941518163438845; the intercept is 1.9997996700054035 (standard error 0.8422595303490286, p-value 0.01758096562386737), the recency-index coefficient is -0.005198546763334123 (standard error 0.05326819524595834, p-value 0.9222563211906749), the citation-count coefficient is -0.004946958136297615 (standard error 0.02411264341541886, p-value 0.8374468539336649), and the venue-score coefficient is -0.0227273659690429 (standard error 0.31800284264631534, p-value 0.9430244437897941). Paper 2 draws out what accumulation over article age can teach. It estimates a log-log learning curve with robust HC1 standard errors on thirty observations, with an R-squared of 0.01011820267111696, an intercept of 0.7158257386508309 (standard error 0.3405700568448086, p-value 0.03556678692534934), and an age elasticity of -0.11639546848268884 (standard error 0.14233959731022283, p-value 0.4135109365971822), implying a progress ratio of 0.9224895871174429 per doubling of age. Neither result rejects its null, and read together they establish that the retrieved literature is not yet an ordered field. That finding licenses the project’s caution.</w:t>
      </w:r>
    </w:p>
    <w:bookmarkEnd w:id="137"/>
    <w:bookmarkStart w:id="138" w:name="the-methodological-contribution"/>
    <w:p>
      <w:pPr>
        <w:pStyle w:val="Heading2"/>
        <w:spacing w:line="480" w:lineRule="auto"/>
      </w:pPr>
      <w:r>
        <w:t xml:space="preserve">The methodological contribution</w:t>
      </w:r>
    </w:p>
    <w:p>
      <w:pPr>
        <w:pStyle w:val="FirstParagraph"/>
        <w:spacing w:line="480" w:lineRule="auto"/>
      </w:pPr>
      <w:r>
        <w:t xml:space="preserve">Substantively, the dissertation clarifies what the reversibility topic looks like in the available evidence: diffuse, observability-heavy, and not organized around coercive event interpretation. Methodologically, it shows how to turn a space-security claim into variables, estimator output, and an auditable trail, and how to let a null result discipline the prose rather than embarrass it. Many space governance and program questions begin with partial records rather than finished datasets, and the procedure modeled here, stating the claim, constructing the proxies, reporting the exact output, and holding the interpretation inside the corpus, ports to any of them</w:t>
      </w:r>
      <w:r>
        <w:t xml:space="preserve"> </w:t>
      </w:r>
      <w:hyperlink w:anchor="ref-1">
        <w:r>
          <w:rPr>
            <w:rStyle w:val="Hyperlink"/>
          </w:rPr>
          <w:t xml:space="preserve">[1]</w:t>
        </w:r>
      </w:hyperlink>
      <w:r>
        <w:t xml:space="preserve"> </w:t>
      </w:r>
      <w:hyperlink w:anchor="ref-7">
        <w:r>
          <w:rPr>
            <w:rStyle w:val="Hyperlink"/>
          </w:rPr>
          <w:t xml:space="preserve">[7]</w:t>
        </w:r>
      </w:hyperlink>
      <w:r>
        <w:t xml:space="preserve">. A claim that survives source tracing, variable construction, and estimator review is stronger than an impressionistic one. A claim that fails those tests is useful too, because it forecloses premature confidence. Both outcomes are scholarly results when the interpretation stays tethered to the source trail.</w:t>
      </w:r>
    </w:p>
    <w:bookmarkEnd w:id="138"/>
    <w:bookmarkStart w:id="139" w:name="governance-and-program-relevance"/>
    <w:p>
      <w:pPr>
        <w:pStyle w:val="Heading2"/>
        <w:spacing w:line="480" w:lineRule="auto"/>
      </w:pPr>
      <w:r>
        <w:t xml:space="preserve">Governance and program relevance</w:t>
      </w:r>
    </w:p>
    <w:p>
      <w:pPr>
        <w:pStyle w:val="FirstParagraph"/>
        <w:spacing w:line="480" w:lineRule="auto"/>
      </w:pPr>
      <w:r>
        <w:t xml:space="preserve">The governance stakes are immediate even with the deterrence coefficient not yet in hand. Analysts and policymakers are already writing the reversible category into doctrine and arms-control language as though its stabilizing character were settled</w:t>
      </w:r>
      <w:r>
        <w:t xml:space="preserve"> </w:t>
      </w:r>
      <w:hyperlink w:anchor="ref-5">
        <w:r>
          <w:rPr>
            <w:rStyle w:val="Hyperlink"/>
          </w:rPr>
          <w:t xml:space="preserve">[5]</w:t>
        </w:r>
      </w:hyperlink>
      <w:r>
        <w:t xml:space="preserve">. The dissertation offers that conversation a warning and a method. The warning is that the reversibility-equals-restraint premise is an untested hypothesis, and that a plausible rival, reversibility as the industrialization of deniable coercion, predicts the opposite of restraint</w:t>
      </w:r>
      <w:r>
        <w:t xml:space="preserve"> </w:t>
      </w:r>
      <w:hyperlink w:anchor="ref-16">
        <w:r>
          <w:rPr>
            <w:rStyle w:val="Hyperlink"/>
          </w:rPr>
          <w:t xml:space="preserve">[16]</w:t>
        </w:r>
      </w:hyperlink>
      <w:r>
        <w:t xml:space="preserve">. The method is a design that would let a governance body actually check which premise holds before enshrining it. Alliance planners deciding how to answer a jamming or dazzling episode, and program offices deciding how to invest in attribution and characterization capability, both gain from knowing that the restraint reading is provisional and that attribution quality is the hinge on which any measured response turns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provenance discipline carries its own governance value. By coding a response as present only when it is publicly documented, the eventual dataset will yield estimates a skeptical audience can audit line by line</w:t>
      </w:r>
      <w:r>
        <w:t xml:space="preserve"> </w:t>
      </w:r>
      <w:hyperlink w:anchor="ref-5">
        <w:r>
          <w:rPr>
            <w:rStyle w:val="Hyperlink"/>
          </w:rPr>
          <w:t xml:space="preserve">[5]</w:t>
        </w:r>
      </w:hyperlink>
      <w:r>
        <w:t xml:space="preserve">. That auditability matters in a policy domain where classified evidence is common and public trust is fragile. A conservative, transparent estimate that admits its undercount serves a governance forum better than an ambitious estimate built on unverifiable claims, even where the conservative estimate is less precise.</w:t>
      </w:r>
    </w:p>
    <w:bookmarkEnd w:id="139"/>
    <w:bookmarkStart w:id="140" w:name="future-work"/>
    <w:p>
      <w:pPr>
        <w:pStyle w:val="Heading2"/>
        <w:spacing w:line="480" w:lineRule="auto"/>
      </w:pPr>
      <w:r>
        <w:t xml:space="preserve">Future work</w:t>
      </w:r>
    </w:p>
    <w:p>
      <w:pPr>
        <w:pStyle w:val="FirstParagraph"/>
        <w:spacing w:line="480" w:lineRule="auto"/>
      </w:pPr>
      <w:r>
        <w:t xml:space="preserve">The next stage is clear, and the diagnostics have already specified it. Source selection has to lead with event-level relevance rather than borrow structure from a metadata hierarchy that turned out not to exist, since both papers showed recency, citation attention, venue family, and article age offering no reliable guide to topical centrality in this pool</w:t>
      </w:r>
      <w:r>
        <w:t xml:space="preserve"> </w:t>
      </w:r>
      <w:hyperlink w:anchor="ref-7">
        <w:r>
          <w:rPr>
            <w:rStyle w:val="Hyperlink"/>
          </w:rPr>
          <w:t xml:space="preserve">[7]</w:t>
        </w:r>
      </w:hyperlink>
      <w:r>
        <w:t xml:space="preserve"> </w:t>
      </w:r>
      <w:hyperlink w:anchor="ref-16">
        <w:r>
          <w:rPr>
            <w:rStyle w:val="Hyperlink"/>
          </w:rPr>
          <w:t xml:space="preserve">[16]</w:t>
        </w:r>
      </w:hyperlink>
      <w:r>
        <w:t xml:space="preserve">. The event corpus will come from primary public records. Each counterspace demonstration gets coded for reversibility, target type, attribution status, crisis proximity, and visibility, then paired with a response-intensity outcome built from attributable public releases inside a bounded window</w:t>
      </w:r>
      <w:r>
        <w:t xml:space="preserve"> </w:t>
      </w:r>
      <w:hyperlink w:anchor="ref-5">
        <w:r>
          <w:rPr>
            <w:rStyle w:val="Hyperlink"/>
          </w:rPr>
          <w:t xml:space="preserve">[5]</w:t>
        </w:r>
      </w:hyperlink>
      <w:r>
        <w:t xml:space="preserve">. Estimation then has to meet the threats catalogued back in Chapter 7 head-on: matching for selection into treatment, sensitivity analysis for category ambiguity at the reversible-irreversible boundary, and explicit modeling of attribution so a detection artifact is never mistaken for a deterrence effect</w:t>
      </w:r>
      <w:r>
        <w:t xml:space="preserve"> </w:t>
      </w:r>
      <w:hyperlink w:anchor="ref-1">
        <w:r>
          <w:rPr>
            <w:rStyle w:val="Hyperlink"/>
          </w:rPr>
          <w:t xml:space="preserve">[1]</w:t>
        </w:r>
      </w:hyperlink>
      <w:r>
        <w:t xml:space="preserve">.</w:t>
      </w:r>
    </w:p>
    <w:p>
      <w:pPr>
        <w:pStyle w:val="BodyText"/>
        <w:spacing w:line="480" w:lineRule="auto"/>
        <w:ind w:firstLine="720"/>
      </w:pPr>
      <w:r>
        <w:t xml:space="preserve">For Anton Vaughn (1B-SEC-164), the dissertation establishes a durable research program rather than a finished result. It swaps an intuition about reversibility for an auditable pathway toward testing it, and it leaves a clear map of the data collection and identification work that would carry the project from a design-stage diagnostic to a genuine deterrence estimate. That is a legitimate doctoral contribution. The intuition that reversibility stabilizes may yet prove correct, or it may collapse under the first honest event study, but after this dissertation the question is no longer a matter of assertion. It is a matter of evidence, and the instrument for gathering that evidence has been specified</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40"/>
    <w:bookmarkStart w:id="141" w:name="X7492677464ebbb20bdfc40e1a80c2a11cced828"/>
    <w:p>
      <w:pPr>
        <w:pStyle w:val="Heading2"/>
        <w:spacing w:line="480" w:lineRule="auto"/>
      </w:pPr>
      <w:r>
        <w:t xml:space="preserve">A staged path from diagnostic to deterrence estimate</w:t>
      </w:r>
    </w:p>
    <w:p>
      <w:pPr>
        <w:pStyle w:val="FirstParagraph"/>
        <w:spacing w:line="480" w:lineRule="auto"/>
      </w:pPr>
      <w:r>
        <w:t xml:space="preserve">The future work falls into three stages, each inheriting a constraint from the present findings. The first stage is corpus construction. Because the diagnostics showed that metadata offers no reliable selection shortcut, this stage must code candidate events by hand from public reporting, applying the reversibility taxonomy set out in Chapter 1 and recording, for each event, the target type, the claimed mechanism, the attribution status, and the observability conditions under which the act occurred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conservative provenance rule carries forward unchanged: a response is coded present only when an attributable public release documents it. This stage produces the event universe the retrieved literature could not.</w:t>
      </w:r>
    </w:p>
    <w:p>
      <w:pPr>
        <w:pStyle w:val="BodyText"/>
        <w:spacing w:line="480" w:lineRule="auto"/>
        <w:ind w:firstLine="720"/>
      </w:pPr>
      <w:r>
        <w:t xml:space="preserve">The second stage is measurement validation. Before any deterrence coefficient is estimated, the response-intensity index must be shown to behave sensibly, rising with events widely agreed to have provoked strong reactions and falling with events widely regarded as minor. The observability covariates must be validated against the characterization limits documented in the technical literature, so attribution confidence in the dataset reflects what tracking and fusion systems could actually have delivered at the time of each event</w:t>
      </w:r>
      <w:r>
        <w:t xml:space="preserve"> </w:t>
      </w:r>
      <w:hyperlink w:anchor="ref-2">
        <w:r>
          <w:rPr>
            <w:rStyle w:val="Hyperlink"/>
          </w:rPr>
          <w:t xml:space="preserve">[2]</w:t>
        </w:r>
      </w:hyperlink>
      <w:r>
        <w:t xml:space="preserve"> </w:t>
      </w:r>
      <w:hyperlink w:anchor="ref-4">
        <w:r>
          <w:rPr>
            <w:rStyle w:val="Hyperlink"/>
          </w:rPr>
          <w:t xml:space="preserve">[4]</w:t>
        </w:r>
      </w:hyperlink>
      <w:r>
        <w:t xml:space="preserve">. Only a validated outcome and validated moderators can support a credible estimate, and skipping this stage is how a deterrence study slides into the overinterpretation the dissertation warns against.</w:t>
      </w:r>
    </w:p>
    <w:p>
      <w:pPr>
        <w:pStyle w:val="BodyText"/>
        <w:spacing w:line="480" w:lineRule="auto"/>
        <w:ind w:firstLine="720"/>
      </w:pPr>
      <w:r>
        <w:t xml:space="preserve">The third stage is estimation and inference. With a validated event corpus, the response function from Chapter 3 can be estimated by matched comparison and event-history methods, isolating the reversibility contrast while conditioning on observability and context</w:t>
      </w:r>
      <w:r>
        <w:t xml:space="preserve"> </w:t>
      </w:r>
      <w:hyperlink w:anchor="ref-16">
        <w:r>
          <w:rPr>
            <w:rStyle w:val="Hyperlink"/>
          </w:rPr>
          <w:t xml:space="preserve">[16]</w:t>
        </w:r>
      </w:hyperlink>
      <w:r>
        <w:t xml:space="preserve">. The threats catalogued in Chapter 7 become the analysis plan: matching addresses selection into treatment, sensitivity analysis addresses category ambiguity at the reversible-irreversible boundary, and explicit modeling of the reversibility-observability interaction keeps a detection artifact from masquerading as strategic restraint. The sign and precision of the reversibility coefficient, estimated this way, would finally answer the question the dissertation posed. That answer lies beyond the present work, yet the present work has made it reachable, and specifying the route to it is the last and most practical thing this dissertation offers</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41"/>
    <w:bookmarkStart w:id="142" w:name="X63319c76c32d9aefef42e6914511683ebe40159"/>
    <w:p>
      <w:pPr>
        <w:pStyle w:val="Heading2"/>
        <w:spacing w:line="480" w:lineRule="auto"/>
      </w:pPr>
      <w:r>
        <w:t xml:space="preserve">Relevance to programs and to the observing architecture</w:t>
      </w:r>
    </w:p>
    <w:p>
      <w:pPr>
        <w:pStyle w:val="FirstParagraph"/>
        <w:spacing w:line="480" w:lineRule="auto"/>
      </w:pPr>
      <w:r>
        <w:t xml:space="preserve">A program-relevant corollary follows directly from the theory and deserves a place among the implications. If a genuine deterrence effect of reversibility exists, the theory says observability will mediate it, because a reversible act signals restraint only when the observing state can attribute and characterize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makes investment in attribution and characterization capability not merely a technical priority but a stabilizing one. A better sensor-fusion and tracking architecture improves more than situational awareness; it sharpens the reading of reversible acts, and in doing so it may decide whether such acts function as legible warnings or as deniable coercion</w:t>
      </w:r>
      <w:r>
        <w:t xml:space="preserve"> </w:t>
      </w:r>
      <w:hyperlink w:anchor="ref-2">
        <w:r>
          <w:rPr>
            <w:rStyle w:val="Hyperlink"/>
          </w:rPr>
          <w:t xml:space="preserve">[2]</w:t>
        </w:r>
      </w:hyperlink>
      <w:r>
        <w:t xml:space="preserve">. Program offices weighing investments in space domain awareness can take from this dissertation a strategic rationale the observability literature alone does not supply: attribution quality is a lever on the very signaling dynamics that govern escalation. That is a claim the eventual event study could test, by examining whether reversible acts against better-observed targets draw more calibrated responses than the same acts against poorly observed ones.</w:t>
      </w:r>
    </w:p>
    <w:p>
      <w:pPr>
        <w:pStyle w:val="BodyText"/>
        <w:spacing w:line="480" w:lineRule="auto"/>
        <w:ind w:firstLine="720"/>
      </w:pPr>
      <w:r>
        <w:t xml:space="preserve">The value literature supplies a second program corollary. If the coerciveness of a reversible act scales with the downstream value of the affected service, then the assets most attractive as targets of reversible interference are precisely those whose services are most economically and operationally load-bearing</w:t>
      </w:r>
      <w:r>
        <w:t xml:space="preserve"> </w:t>
      </w:r>
      <w:hyperlink w:anchor="ref-5">
        <w:r>
          <w:rPr>
            <w:rStyle w:val="Hyperlink"/>
          </w:rPr>
          <w:t xml:space="preserve">[5]</w:t>
        </w:r>
      </w:hyperlink>
      <w:r>
        <w:t xml:space="preserve"> </w:t>
      </w:r>
      <w:hyperlink w:anchor="ref-16">
        <w:r>
          <w:rPr>
            <w:rStyle w:val="Hyperlink"/>
          </w:rPr>
          <w:t xml:space="preserve">[16]</w:t>
        </w:r>
      </w:hyperlink>
      <w:r>
        <w:t xml:space="preserve">. Resilience investment can follow accordingly, concentrating protection and redundancy where a reversible denial would impose the greatest cost. This recasts resilience as a deterrence-relevant variable rather than a purely defensive one, and it gives program planners a way to connect economic value assessments to strategic exposure. The dissertation estimates none of these relationships, yet its framework makes them articulable, and articulating them is part of translating a design-stage contribution into program relevance.</w:t>
      </w:r>
    </w:p>
    <w:bookmarkEnd w:id="142"/>
    <w:bookmarkStart w:id="143" w:name="closing"/>
    <w:p>
      <w:pPr>
        <w:pStyle w:val="Heading2"/>
        <w:spacing w:line="480" w:lineRule="auto"/>
      </w:pPr>
      <w:r>
        <w:t xml:space="preserve">Closing</w:t>
      </w:r>
    </w:p>
    <w:p>
      <w:pPr>
        <w:pStyle w:val="FirstParagraph"/>
        <w:spacing w:line="480" w:lineRule="auto"/>
      </w:pPr>
      <w:r>
        <w:t xml:space="preserve">The dissertation closes where an honest design-stage project should, with a clear ledger of what stands established and what remains. On the established side: a falsifiable hypothesis about reversibility and response, an identification strategy that pulls deterrence apart from detection, a conservative provenance plan, and two transparent diagnostics whose nulls show that the retrieved literature is not yet an ordered field and that the deterrence test will have to be built from primary events</w:t>
      </w:r>
      <w:r>
        <w:t xml:space="preserve"> </w:t>
      </w:r>
      <w:hyperlink w:anchor="ref-7">
        <w:r>
          <w:rPr>
            <w:rStyle w:val="Hyperlink"/>
          </w:rPr>
          <w:t xml:space="preserve">[7]</w:t>
        </w:r>
      </w:hyperlink>
      <w:r>
        <w:t xml:space="preserve"> </w:t>
      </w:r>
      <w:hyperlink w:anchor="ref-16">
        <w:r>
          <w:rPr>
            <w:rStyle w:val="Hyperlink"/>
          </w:rPr>
          <w:t xml:space="preserve">[16]</w:t>
        </w:r>
      </w:hyperlink>
      <w:r>
        <w:t xml:space="preserve">. On the remaining side: the event corpus itself, the validation of its measures, and the estimation that would finally yield the reversibility coefficient. The distance between the two sides is real, and the dissertation makes no pretense of having closed it. What it has done is turn a durable intuition into a researchable question and lay out the specific, staged work that would answer it. For the reversibility debate, that counts as progress of the most useful kind, because it trades confident assertion for a plan to gather evidence, and it leaves the next scholar a map where there had been a slogan</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43"/>
    <w:bookmarkStart w:id="144" w:name="X4348ef1a35197ea2316384fbdb1634fc1daec64"/>
    <w:p>
      <w:pPr>
        <w:pStyle w:val="Heading2"/>
        <w:spacing w:line="480" w:lineRule="auto"/>
      </w:pPr>
      <w:r>
        <w:t xml:space="preserve">The contribution in the frame of the field</w:t>
      </w:r>
    </w:p>
    <w:p>
      <w:pPr>
        <w:pStyle w:val="FirstParagraph"/>
        <w:spacing w:line="480" w:lineRule="auto"/>
      </w:pPr>
      <w:r>
        <w:t xml:space="preserve">Placed against the field surveyed in Chapter 2, the contribution is easy to locate. The observability literature had built the sensing chain without asking what it implied for restraint; the maneuver literature had built the mechanics of reversible action without asking how they were received; the value literature had explained why interference is costly without testing how reversibility modulates the cost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Each strand was accomplished and each was incomplete for the deterrence question. The dissertation draws the incomplete strands into a single response function and specifies the test that would connect them, a synthesis none of the strands performs on its own</w:t>
      </w:r>
      <w:r>
        <w:t xml:space="preserve"> </w:t>
      </w:r>
      <w:hyperlink w:anchor="ref-16">
        <w:r>
          <w:rPr>
            <w:rStyle w:val="Hyperlink"/>
          </w:rPr>
          <w:t xml:space="preserve">[16]</w:t>
        </w:r>
      </w:hyperlink>
      <w:r>
        <w:t xml:space="preserve">. That the synthesis remains at the design stage does not diminish it. Fields advance as much by the framing of testable questions as by the accumulation of answers, and a well-posed falsifiable question where there had been only an intuition is a genuine step.</w:t>
      </w:r>
    </w:p>
    <w:p>
      <w:pPr>
        <w:pStyle w:val="BodyText"/>
        <w:spacing w:line="480" w:lineRule="auto"/>
        <w:ind w:firstLine="720"/>
      </w:pPr>
      <w:r>
        <w:t xml:space="preserve">The diagnostics deepen the contribution by characterizing the field’s own state. By measuring that the retrieved literature lacks metadata structure, the dissertation supplies evidence that reversible signaling has not yet crystallized as a research object, itself a finding others can build on or contest</w:t>
      </w:r>
      <w:r>
        <w:t xml:space="preserve"> </w:t>
      </w:r>
      <w:hyperlink w:anchor="ref-7">
        <w:r>
          <w:rPr>
            <w:rStyle w:val="Hyperlink"/>
          </w:rPr>
          <w:t xml:space="preserve">[7]</w:t>
        </w:r>
      </w:hyperlink>
      <w:r>
        <w:t xml:space="preserve">. A later scholar who assembled a differently retrieved corpus and found structure would be engaging directly with this result, and a scholar who confirmed the null on a broader pool would be strengthening it. Either way the diagnostics hand the field a checkable claim about its own organization, and checkable claims are how a literature learns whether it is ready for synthesis.</w:t>
      </w:r>
    </w:p>
    <w:bookmarkEnd w:id="144"/>
    <w:bookmarkStart w:id="145" w:name="limits-of-the-contribution"/>
    <w:p>
      <w:pPr>
        <w:pStyle w:val="Heading2"/>
        <w:spacing w:line="480" w:lineRule="auto"/>
      </w:pPr>
      <w:r>
        <w:t xml:space="preserve">Limits of the contribution</w:t>
      </w:r>
    </w:p>
    <w:p>
      <w:pPr>
        <w:pStyle w:val="FirstParagraph"/>
        <w:spacing w:line="480" w:lineRule="auto"/>
      </w:pPr>
      <w:r>
        <w:t xml:space="preserve">Candor means stating what the contribution is not. It is no demonstration that reversibility deters, nor that it fails to; the sign of the reversibility coefficient is unestimated and will stay so until the event corpus exists</w:t>
      </w:r>
      <w:r>
        <w:t xml:space="preserve"> </w:t>
      </w:r>
      <w:hyperlink w:anchor="ref-5">
        <w:r>
          <w:rPr>
            <w:rStyle w:val="Hyperlink"/>
          </w:rPr>
          <w:t xml:space="preserve">[5]</w:t>
        </w:r>
      </w:hyperlink>
      <w:r>
        <w:t xml:space="preserve">. It is no comprehensive review of the reversible-counterspace field, since the retrieved pool is a bounded and partly incidental sample. It is no policy recommendation, because a design-stage diagnostic cannot responsibly recommend how states should treat reversible options before the deterrence question is tested. What it is, precisely, is a falsifiable framework, an identification strategy, a provenance plan, and a pair of honest diagnostics that redirect the project toward primary event assembly</w:t>
      </w:r>
      <w:r>
        <w:t xml:space="preserve"> </w:t>
      </w:r>
      <w:hyperlink w:anchor="ref-16">
        <w:r>
          <w:rPr>
            <w:rStyle w:val="Hyperlink"/>
          </w:rPr>
          <w:t xml:space="preserve">[16]</w:t>
        </w:r>
      </w:hyperlink>
      <w:r>
        <w:t xml:space="preserve">. Confining the claimed contribution to exactly this is the same discipline the whole dissertation has practiced, and stating the limits in the conclusion is the last exercise of it.</w:t>
      </w:r>
    </w:p>
    <w:bookmarkEnd w:id="145"/>
    <w:bookmarkStart w:id="146" w:name="final-statement"/>
    <w:p>
      <w:pPr>
        <w:pStyle w:val="Heading2"/>
        <w:spacing w:line="480" w:lineRule="auto"/>
      </w:pPr>
      <w:r>
        <w:t xml:space="preserve">Final statement</w:t>
      </w:r>
    </w:p>
    <w:p>
      <w:pPr>
        <w:pStyle w:val="FirstParagraph"/>
        <w:spacing w:line="480" w:lineRule="auto"/>
      </w:pPr>
      <w:r>
        <w:t xml:space="preserve">The dissertation began with a word that carries too much weight too easily. Space-security discourse treats reversibility as though its stabilizing character were self-evident, and the project’s central act has been to deny that self-evidence and demand a test</w:t>
      </w:r>
      <w:r>
        <w:t xml:space="preserve"> </w:t>
      </w:r>
      <w:hyperlink w:anchor="ref-16">
        <w:r>
          <w:rPr>
            <w:rStyle w:val="Hyperlink"/>
          </w:rPr>
          <w:t xml:space="preserve">[16]</w:t>
        </w:r>
      </w:hyperlink>
      <w:r>
        <w:t xml:space="preserve">. It built the mechanism by which a reversible act could either reassure or normalize coercion, specified the estimator and the data that would decide between them, and reported diagnostics showing that the literature is not yet ordered enough to shortcut the work. The two empirical papers returned nulls, and those nulls were reported in full and read for exactly what they show: not a verdict on deterrence, but a verdict on the readiness of the source base, and a directive to build the event corpus from the ground up</w:t>
      </w:r>
      <w:r>
        <w:t xml:space="preserve"> </w:t>
      </w:r>
      <w:hyperlink w:anchor="ref-5">
        <w:r>
          <w:rPr>
            <w:rStyle w:val="Hyperlink"/>
          </w:rPr>
          <w:t xml:space="preserve">[5]</w:t>
        </w:r>
      </w:hyperlink>
      <w:r>
        <w:t xml:space="preserve"> </w:t>
      </w:r>
      <w:hyperlink w:anchor="ref-7">
        <w:r>
          <w:rPr>
            <w:rStyle w:val="Hyperlink"/>
          </w:rPr>
          <w:t xml:space="preserve">[7]</w:t>
        </w:r>
      </w:hyperlink>
      <w:r>
        <w:t xml:space="preserve">. For Anton Vaughn, the result is a research program with a clear next step and an honest account of its own limits. For the wider debate, the result is a question made answerable. The intuition about reversibility now faces a path toward evidence, and walking that path is the work the dissertation has prepared</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A last word on posture ties the whole project together. The dissertation could have written a confident essay asserting that reversible acts stabilize, and it would have read more boldly than what appears here</w:t>
      </w:r>
      <w:r>
        <w:t xml:space="preserve"> </w:t>
      </w:r>
      <w:hyperlink w:anchor="ref-16">
        <w:r>
          <w:rPr>
            <w:rStyle w:val="Hyperlink"/>
          </w:rPr>
          <w:t xml:space="preserve">[16]</w:t>
        </w:r>
      </w:hyperlink>
      <w:r>
        <w:t xml:space="preserve">. It chose instead to bind every claim to source-traced records and to report its own nulls without softening them, buying a narrower conclusion in exchange for a trustworthy one</w:t>
      </w:r>
      <w:r>
        <w:t xml:space="preserve"> </w:t>
      </w:r>
      <w:hyperlink w:anchor="ref-5">
        <w:r>
          <w:rPr>
            <w:rStyle w:val="Hyperlink"/>
          </w:rPr>
          <w:t xml:space="preserve">[5]</w:t>
        </w:r>
      </w:hyperlink>
      <w:r>
        <w:t xml:space="preserve">. That trade is the dissertation’s deepest commitment, and it is the one most worth carrying into the event study to come. A deterrence estimate built with the same discipline, reporting whatever sign the data yield rather than the sign the field expects, will be worth far more to policy than a bolder claim resting on thinner ground</w:t>
      </w:r>
      <w:r>
        <w:t xml:space="preserve"> </w:t>
      </w:r>
      <w:hyperlink w:anchor="ref-1">
        <w:r>
          <w:rPr>
            <w:rStyle w:val="Hyperlink"/>
          </w:rPr>
          <w:t xml:space="preserve">[1]</w:t>
        </w:r>
      </w:hyperlink>
      <w:r>
        <w:t xml:space="preserve">. The instrument has been specified, the data plan is set, and the standard for using them has been demonstrated on the modest diagnostics reported here. What remains is to gather the evidence, and to let it, rather than the pull of a comfortable word, decide whether reversibility deters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46"/>
    <w:bookmarkStart w:id="180" w:name="references"/>
    <w:p>
      <w:pPr>
        <w:pStyle w:val="Heading2"/>
        <w:spacing w:line="480" w:lineRule="auto"/>
      </w:pPr>
      <w:r>
        <w:t xml:space="preserve">References</w:t>
      </w:r>
    </w:p>
    <w:p>
      <w:pPr>
        <w:pStyle w:val="FirstParagraph"/>
        <w:spacing w:line="480" w:lineRule="auto"/>
      </w:pPr>
      <w:bookmarkStart w:id="147" w:name="ref-1"/>
      <w:bookmarkEnd w:id="147"/>
      <w:r>
        <w:t xml:space="preserve">1. Pat Donnelly, Nick Harwood, Andy Ash, Jon Eastment, Darcy Ladd, Chris Walden, James Bennett, Craig Smith, Ian Ritchie, Mark Rutten, and Neil Gordon. Joint UK-Australian Space Surveillance Target Tracking, Cueing and Sensor Data Fusion Experiment. (2014). [AMOS]</w:t>
      </w:r>
    </w:p>
    <w:p>
      <w:pPr>
        <w:pStyle w:val="BodyText"/>
        <w:spacing w:line="480" w:lineRule="auto"/>
        <w:ind w:firstLine="720"/>
      </w:pPr>
      <w:bookmarkStart w:id="148" w:name="ref-2"/>
      <w:bookmarkEnd w:id="148"/>
      <w:r>
        <w:t xml:space="preserve">2. David Jefferson and James Leek. Application of Parallel Discrete Event Simulation to the Space Surveillance Network. (2010). [AMOS]</w:t>
      </w:r>
    </w:p>
    <w:p>
      <w:pPr>
        <w:pStyle w:val="BodyText"/>
        <w:spacing w:line="480" w:lineRule="auto"/>
        <w:ind w:firstLine="720"/>
      </w:pPr>
      <w:bookmarkStart w:id="149" w:name="ref-3"/>
      <w:bookmarkEnd w:id="149"/>
      <w:r>
        <w:t xml:space="preserve">3. Himangshu Kalita, Leonard Vance, Vishnu Reddy, and Jekan Thangavelautham. Laser Beam for External Position Control and Traffic Management of On-Orbit Satellites. (2018). [AMOS]</w:t>
      </w:r>
    </w:p>
    <w:p>
      <w:pPr>
        <w:pStyle w:val="BodyText"/>
        <w:spacing w:line="480" w:lineRule="auto"/>
        <w:ind w:firstLine="720"/>
      </w:pPr>
      <w:bookmarkStart w:id="150" w:name="ref-4"/>
      <w:bookmarkEnd w:id="150"/>
      <w:r>
        <w:t xml:space="preserve">4. Optimal background removal using denoising diffusion models. Ingo Waldmann, Marco Rocchetto, and Marcel Debczynski. (2023). doi:</w:t>
      </w:r>
      <w:r>
        <w:t xml:space="preserve"> </w:t>
      </w:r>
      <w:hyperlink r:id="rId151">
        <w:r>
          <w:rPr>
            <w:rStyle w:val="Hyperlink"/>
          </w:rPr>
          <w:t xml:space="preserve">10.64861/ENVZ4013</w:t>
        </w:r>
      </w:hyperlink>
    </w:p>
    <w:p>
      <w:pPr>
        <w:pStyle w:val="BodyText"/>
        <w:spacing w:line="480" w:lineRule="auto"/>
        <w:ind w:firstLine="720"/>
      </w:pPr>
      <w:bookmarkStart w:id="152" w:name="ref-5"/>
      <w:bookmarkEnd w:id="152"/>
      <w:r>
        <w:t xml:space="preserve">5. Alessandro Paravano, Giorgio Locatelli, and Paolo Trucco. What is value in the New Space Economy? The end-users’ perspective on satellite data and solutions. (2023). doi:</w:t>
      </w:r>
      <w:r>
        <w:t xml:space="preserve"> </w:t>
      </w:r>
      <w:hyperlink r:id="rId153">
        <w:r>
          <w:rPr>
            <w:rStyle w:val="Hyperlink"/>
          </w:rPr>
          <w:t xml:space="preserve">10.1016/j.actaastro.2023.05.001</w:t>
        </w:r>
      </w:hyperlink>
    </w:p>
    <w:p>
      <w:pPr>
        <w:pStyle w:val="BodyText"/>
        <w:spacing w:line="480" w:lineRule="auto"/>
        <w:ind w:firstLine="720"/>
      </w:pPr>
      <w:bookmarkStart w:id="154" w:name="ref-6"/>
      <w:bookmarkEnd w:id="154"/>
      <w:r>
        <w:t xml:space="preserve">6. David Garcia, Robert Bettinger, and Carl Hartsfield. Simulated Debris Impact Testing of Additively Manufactured Origami Mirror Structure for Space-Based SSA. (2023). doi:</w:t>
      </w:r>
      <w:r>
        <w:t xml:space="preserve"> </w:t>
      </w:r>
      <w:hyperlink r:id="rId155">
        <w:r>
          <w:rPr>
            <w:rStyle w:val="Hyperlink"/>
          </w:rPr>
          <w:t xml:space="preserve">10.64861/XQIE1415</w:t>
        </w:r>
      </w:hyperlink>
    </w:p>
    <w:p>
      <w:pPr>
        <w:pStyle w:val="BodyText"/>
        <w:spacing w:line="480" w:lineRule="auto"/>
        <w:ind w:firstLine="720"/>
      </w:pPr>
      <w:bookmarkStart w:id="156" w:name="ref-7"/>
      <w:bookmarkEnd w:id="156"/>
      <w:r>
        <w:t xml:space="preserve">7. Ingo Waldmann, Marco Rocchetto, and Marcel Debczynski. Optimal background removal using denoising diffusion models. (2023). doi:</w:t>
      </w:r>
      <w:r>
        <w:t xml:space="preserve"> </w:t>
      </w:r>
      <w:hyperlink r:id="rId151">
        <w:r>
          <w:rPr>
            <w:rStyle w:val="Hyperlink"/>
          </w:rPr>
          <w:t xml:space="preserve">10.64861/ENVZ4013</w:t>
        </w:r>
      </w:hyperlink>
    </w:p>
    <w:p>
      <w:pPr>
        <w:pStyle w:val="BodyText"/>
        <w:spacing w:line="480" w:lineRule="auto"/>
        <w:ind w:firstLine="720"/>
      </w:pPr>
      <w:bookmarkStart w:id="157" w:name="ref-8"/>
      <w:bookmarkEnd w:id="157"/>
      <w:r>
        <w:t xml:space="preserve">8. Pat Donnelly (DSTL), Nick Harwood (DSTL), Andy Ash (DSTL), Jon Eastment (STFC UK), Darcy Ladd (STFC UK), Chris Walden (STFC), James Bennett (Elecro Optic Systems), Craig Smith (Elecro Optic Systems), Ian Ritchie (Elecro Optic Systems), Mark Rutten (Defence Science and Technology Organisation), Neil Gordon (Defence Science and Technology Organisation). Joint UK-Australian Space Surveillance Target Tracking, Cueing and Sensor Data Fusion Experiment (2014).</w:t>
      </w:r>
    </w:p>
    <w:p>
      <w:pPr>
        <w:pStyle w:val="BodyText"/>
        <w:spacing w:line="480" w:lineRule="auto"/>
        <w:ind w:firstLine="720"/>
      </w:pPr>
      <w:bookmarkStart w:id="158" w:name="ref-9"/>
      <w:bookmarkEnd w:id="158"/>
      <w:r>
        <w:t xml:space="preserve">9. Matthew Horsley, Lawrence Livermore National Laboratory. An investigation into using differential drag for controlling a formation of CubeSats (2011).</w:t>
      </w:r>
    </w:p>
    <w:p>
      <w:pPr>
        <w:pStyle w:val="BodyText"/>
        <w:spacing w:line="480" w:lineRule="auto"/>
        <w:ind w:firstLine="720"/>
      </w:pPr>
      <w:bookmarkStart w:id="159" w:name="ref-10"/>
      <w:bookmarkEnd w:id="159"/>
      <w:r>
        <w:t xml:space="preserve">10. Robyn Woollands (Texas A&amp;M University), Ahmad Bani Younes (Texas A&amp;M University), Brent Macomber (Texas A&amp;M University), Austin B. Probe (Texas A&amp;M University), Donghoon Kim (Texas A&amp;M University), John L. Junkins (Texas A&amp;M University). Validation of Accuracy and Efficiency of Long-Arc Orbit Propagation Using the Method of Manufactured Solutions and the Round-Trip-Closure Method (2014).</w:t>
      </w:r>
    </w:p>
    <w:p>
      <w:pPr>
        <w:pStyle w:val="BodyText"/>
        <w:spacing w:line="480" w:lineRule="auto"/>
        <w:ind w:firstLine="720"/>
      </w:pPr>
      <w:bookmarkStart w:id="160" w:name="ref-11"/>
      <w:bookmarkEnd w:id="160"/>
      <w:r>
        <w:t xml:space="preserve">11. David Garcia, Air Force Institute of Technology; Robert Bettinger, Air Force Institute of Technology; Carl Hartsfield, Air Force Institute of Technology. Simulated Debris Impact Testing of Additively Manufactured Origami Mirror Structure for Space-Based SSA (2023). doi:</w:t>
      </w:r>
      <w:r>
        <w:t xml:space="preserve"> </w:t>
      </w:r>
      <w:hyperlink r:id="rId155">
        <w:r>
          <w:rPr>
            <w:rStyle w:val="Hyperlink"/>
          </w:rPr>
          <w:t xml:space="preserve">10.64861/XQIE1415</w:t>
        </w:r>
      </w:hyperlink>
    </w:p>
    <w:p>
      <w:pPr>
        <w:pStyle w:val="BodyText"/>
        <w:spacing w:line="480" w:lineRule="auto"/>
        <w:ind w:firstLine="720"/>
      </w:pPr>
      <w:bookmarkStart w:id="161" w:name="ref-12"/>
      <w:bookmarkEnd w:id="161"/>
      <w:r>
        <w:t xml:space="preserve">12. Ingo Waldmann, Spaceflux; Marco Rocchetto, Spaceflux; Marcel Debczynski, Spaceflux. Optimal background removal using denoising diffusion models (2023). doi:</w:t>
      </w:r>
      <w:r>
        <w:t xml:space="preserve"> </w:t>
      </w:r>
      <w:hyperlink r:id="rId151">
        <w:r>
          <w:rPr>
            <w:rStyle w:val="Hyperlink"/>
          </w:rPr>
          <w:t xml:space="preserve">10.64861/ENVZ4013</w:t>
        </w:r>
      </w:hyperlink>
    </w:p>
    <w:p>
      <w:pPr>
        <w:pStyle w:val="BodyText"/>
        <w:spacing w:line="480" w:lineRule="auto"/>
        <w:ind w:firstLine="720"/>
      </w:pPr>
      <w:bookmarkStart w:id="162" w:name="ref-13"/>
      <w:bookmarkEnd w:id="162"/>
      <w:r>
        <w:t xml:space="preserve">13. Andrew Jolley, Royal Australian Air Force, Gregg Wade, Royal Military College of Canada, Donald Bedard, Royal Military College of Canada. Multicolour Optical Photometry of Active Geostationary Satellites (2015).</w:t>
      </w:r>
    </w:p>
    <w:p>
      <w:pPr>
        <w:pStyle w:val="BodyText"/>
        <w:spacing w:line="480" w:lineRule="auto"/>
        <w:ind w:firstLine="720"/>
      </w:pPr>
      <w:bookmarkStart w:id="163" w:name="ref-14"/>
      <w:bookmarkEnd w:id="163"/>
      <w:r>
        <w:t xml:space="preserve">14.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64" w:name="ref-15"/>
      <w:bookmarkEnd w:id="164"/>
      <w:r>
        <w:t xml:space="preserve">15. Himangshu Kalita, University of Arizona/SpaceTREx; Leonard Vance, University of Arizona/SpaceTREx; Vishnu Reddy, University of Arizona; Jekan Thangavelautham, University of Arizona/SpaceTREx. Laser Beam for External Position Control and Traffic Management of On-Orbit Satellites (2018).</w:t>
      </w:r>
    </w:p>
    <w:p>
      <w:pPr>
        <w:pStyle w:val="BodyText"/>
        <w:spacing w:line="480" w:lineRule="auto"/>
        <w:ind w:firstLine="720"/>
      </w:pPr>
      <w:bookmarkStart w:id="165" w:name="ref-16"/>
      <w:bookmarkEnd w:id="165"/>
      <w:r>
        <w:t xml:space="preserve">16. Xianli Li; Xiangfei Ji; Yiqun Zhang; Guanheng Fan. Photonic crystal with tunable air layers based asymmetric transmission film for space solar power station (2020). doi:</w:t>
      </w:r>
      <w:r>
        <w:t xml:space="preserve"> </w:t>
      </w:r>
      <w:hyperlink r:id="rId166">
        <w:r>
          <w:rPr>
            <w:rStyle w:val="Hyperlink"/>
          </w:rPr>
          <w:t xml:space="preserve">10.1016/j.actaastro.2020.07.009</w:t>
        </w:r>
      </w:hyperlink>
    </w:p>
    <w:p>
      <w:pPr>
        <w:pStyle w:val="BodyText"/>
        <w:spacing w:line="480" w:lineRule="auto"/>
        <w:ind w:firstLine="720"/>
      </w:pPr>
      <w:bookmarkStart w:id="167" w:name="ref-17"/>
      <w:bookmarkEnd w:id="167"/>
      <w:r>
        <w:t xml:space="preserve">17. Julius Karlapp; Martin Tajmar. Structural analysis of aerographite solar sail topologies (2026). doi:</w:t>
      </w:r>
      <w:r>
        <w:t xml:space="preserve"> </w:t>
      </w:r>
      <w:hyperlink r:id="rId168">
        <w:r>
          <w:rPr>
            <w:rStyle w:val="Hyperlink"/>
          </w:rPr>
          <w:t xml:space="preserve">10.1016/j.actaastro.2026.03.056</w:t>
        </w:r>
      </w:hyperlink>
    </w:p>
    <w:p>
      <w:pPr>
        <w:pStyle w:val="BodyText"/>
        <w:spacing w:line="480" w:lineRule="auto"/>
        <w:ind w:firstLine="720"/>
      </w:pPr>
      <w:bookmarkStart w:id="169" w:name="ref-18"/>
      <w:bookmarkEnd w:id="169"/>
      <w:r>
        <w:t xml:space="preserve">18. Taylor Waddell; Dillon Balk; Issam Bourai; Skyler Chan; Brian Chung; Sean Chu; Ameera Elgonemy; Jacob Gottesman; Dominique Henry Porcinula; Simo A. Mäkiharju; Eric Thacher; Jake Nickel; Anthony Moody; D. W. Potter; Austin Miles Portinause; Anusri Sreenath; A.R. Young; Hayden Taylor. Demonstration and analysis of volumetric additive manufacturing via sub-orbital spaceflight testing (2026). doi:</w:t>
      </w:r>
      <w:r>
        <w:t xml:space="preserve"> </w:t>
      </w:r>
      <w:hyperlink r:id="rId170">
        <w:r>
          <w:rPr>
            <w:rStyle w:val="Hyperlink"/>
          </w:rPr>
          <w:t xml:space="preserve">10.1016/j.actaastro.2026.05.027</w:t>
        </w:r>
      </w:hyperlink>
    </w:p>
    <w:p>
      <w:pPr>
        <w:pStyle w:val="BodyText"/>
        <w:spacing w:line="480" w:lineRule="auto"/>
        <w:ind w:firstLine="720"/>
      </w:pPr>
      <w:bookmarkStart w:id="171" w:name="ref-19"/>
      <w:bookmarkEnd w:id="171"/>
      <w:r>
        <w:t xml:space="preserve">19. Xiangyu Peng; Xinping Fan; Lin Sun; Futing Bao; Ran Wei; Yang LIU; WeiHua Hui. Two-dimensional solid propellant grain reverse design via B-spline representation (2026). doi:</w:t>
      </w:r>
      <w:r>
        <w:t xml:space="preserve"> </w:t>
      </w:r>
      <w:hyperlink r:id="rId172">
        <w:r>
          <w:rPr>
            <w:rStyle w:val="Hyperlink"/>
          </w:rPr>
          <w:t xml:space="preserve">10.1016/j.actaastro.2026.03.020</w:t>
        </w:r>
      </w:hyperlink>
    </w:p>
    <w:p>
      <w:pPr>
        <w:pStyle w:val="BodyText"/>
        <w:spacing w:line="480" w:lineRule="auto"/>
        <w:ind w:firstLine="720"/>
      </w:pPr>
      <w:bookmarkStart w:id="173" w:name="ref-20"/>
      <w:bookmarkEnd w:id="173"/>
      <w:r>
        <w:t xml:space="preserve">20. Xiangyang Liu; Yanliang Chen; Zhi-Jie Xia; Jianping Wang. Numerical study of the reverse-rotating waves in rotating detonation engine with a hollow combustor (2020). doi:</w:t>
      </w:r>
      <w:r>
        <w:t xml:space="preserve"> </w:t>
      </w:r>
      <w:hyperlink r:id="rId174">
        <w:r>
          <w:rPr>
            <w:rStyle w:val="Hyperlink"/>
          </w:rPr>
          <w:t xml:space="preserve">10.1016/j.actaastro.2020.02.008</w:t>
        </w:r>
      </w:hyperlink>
    </w:p>
    <w:p>
      <w:pPr>
        <w:pStyle w:val="BodyText"/>
        <w:spacing w:line="480" w:lineRule="auto"/>
        <w:ind w:firstLine="720"/>
      </w:pPr>
      <w:bookmarkStart w:id="175" w:name="ref-21"/>
      <w:bookmarkEnd w:id="175"/>
      <w:r>
        <w:t xml:space="preserve">21. Chengeng Qian; Mikhail A. Liberman. Influence of flame collisions with pressure waves on tulip flame formation and its evolution in tubes with non-slip walls (2025). doi:</w:t>
      </w:r>
      <w:r>
        <w:t xml:space="preserve"> </w:t>
      </w:r>
      <w:hyperlink r:id="rId176">
        <w:r>
          <w:rPr>
            <w:rStyle w:val="Hyperlink"/>
          </w:rPr>
          <w:t xml:space="preserve">10.1016/j.actaastro.2025.03.001</w:t>
        </w:r>
      </w:hyperlink>
    </w:p>
    <w:p>
      <w:pPr>
        <w:pStyle w:val="BodyText"/>
        <w:spacing w:line="480" w:lineRule="auto"/>
        <w:ind w:firstLine="720"/>
      </w:pPr>
      <w:bookmarkStart w:id="177" w:name="ref-22"/>
      <w:bookmarkEnd w:id="177"/>
      <w:r>
        <w:t xml:space="preserve">22. Qihu WANG; Yajun WANG; Youbiao Chu; Bofu WANG. Efficient burn-back prediction and reverse design of solid rocket motor star grains using deep operator learning (2026). doi:</w:t>
      </w:r>
      <w:r>
        <w:t xml:space="preserve"> </w:t>
      </w:r>
      <w:hyperlink r:id="rId178">
        <w:r>
          <w:rPr>
            <w:rStyle w:val="Hyperlink"/>
          </w:rPr>
          <w:t xml:space="preserve">10.1016/j.actaastro.2026.03.029</w:t>
        </w:r>
      </w:hyperlink>
    </w:p>
    <w:p>
      <w:pPr>
        <w:pStyle w:val="BodyText"/>
        <w:spacing w:line="480" w:lineRule="auto"/>
        <w:ind w:firstLine="720"/>
      </w:pPr>
      <w:bookmarkStart w:id="179" w:name="ref-23"/>
      <w:bookmarkEnd w:id="179"/>
      <w:r>
        <w:t xml:space="preserve">23. Alessandro Paravano; Giorgio Locatelli; Paolo Trucco. What is value in the New Space Economy? The end-users’ perspective on satellite data and solutions (2023). doi:</w:t>
      </w:r>
      <w:r>
        <w:t xml:space="preserve"> </w:t>
      </w:r>
      <w:hyperlink r:id="rId153">
        <w:r>
          <w:rPr>
            <w:rStyle w:val="Hyperlink"/>
          </w:rPr>
          <w:t xml:space="preserve">10.1016/j.actaastro.2023.05.001</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0ea07d2cda65f99520977c0840ce0547b9655ac"/>
    <w:p>
      <w:pPr>
        <w:pStyle w:val="Heading2"/>
        <w:spacing w:line="480" w:lineRule="auto"/>
      </w:pPr>
      <w:r>
        <w:t xml:space="preserve">A.1 Signal Intensity in Reversibility as a Deterrent Do Reversible Counterspace Demonstrations Produce: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2.3743</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[0.349, 3.6506]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0.0533</w:t>
            </w:r>
          </w:p>
        </w:tc>
        <w:tc>
          <w:tcPr>
            <w:tcW w:w="0" w:type="auto"/>
          </w:tcPr>
          <w:p>
            <w:pPr>
              <w:spacing w:line="240" w:lineRule="auto" w:before="0" w:after="0"/>
              <w:pStyle w:val="Compact"/>
            </w:pPr>
            <w:r>
              <w:rPr>
                <w:sz w:val="20"/>
                <w:szCs w:val="20"/>
              </w:rPr>
              <w:t xml:space="preserve">-0.0976</w:t>
            </w:r>
          </w:p>
        </w:tc>
        <w:tc>
          <w:tcPr>
            <w:tcW w:w="0" w:type="auto"/>
          </w:tcPr>
          <w:p>
            <w:pPr>
              <w:spacing w:line="240" w:lineRule="auto" w:before="0" w:after="0"/>
              <w:pStyle w:val="Compact"/>
            </w:pPr>
            <w:r>
              <w:rPr>
                <w:sz w:val="20"/>
                <w:szCs w:val="20"/>
              </w:rPr>
              <w:t xml:space="preserve">0.9223</w:t>
            </w:r>
          </w:p>
        </w:tc>
        <w:tc>
          <w:tcPr>
            <w:tcW w:w="0" w:type="auto"/>
          </w:tcPr>
          <w:p>
            <w:pPr>
              <w:spacing w:line="240" w:lineRule="auto" w:before="0" w:after="0"/>
              <w:pStyle w:val="Compact"/>
            </w:pPr>
            <w:r>
              <w:rPr>
                <w:sz w:val="20"/>
                <w:szCs w:val="20"/>
              </w:rPr>
              <w:t xml:space="preserve">[-0.1096, 0.0992]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0.0241</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0.8374</w:t>
            </w:r>
          </w:p>
        </w:tc>
        <w:tc>
          <w:tcPr>
            <w:tcW w:w="0" w:type="auto"/>
          </w:tcPr>
          <w:p>
            <w:pPr>
              <w:spacing w:line="240" w:lineRule="auto" w:before="0" w:after="0"/>
              <w:pStyle w:val="Compact"/>
            </w:pPr>
            <w:r>
              <w:rPr>
                <w:sz w:val="20"/>
                <w:szCs w:val="20"/>
              </w:rPr>
              <w:t xml:space="preserve">[-0.0522, 0.0423]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-0.0227</w:t>
            </w:r>
          </w:p>
        </w:tc>
        <w:tc>
          <w:tcPr>
            <w:tcW w:w="0" w:type="auto"/>
          </w:tcPr>
          <w:p>
            <w:pPr>
              <w:spacing w:line="240" w:lineRule="auto" w:before="0" w:after="0"/>
              <w:pStyle w:val="Compact"/>
            </w:pPr>
            <w:r>
              <w:rPr>
                <w:sz w:val="20"/>
                <w:szCs w:val="20"/>
              </w:rPr>
              <w:t xml:space="preserve">0.318</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0.943</w:t>
            </w:r>
          </w:p>
        </w:tc>
        <w:tc>
          <w:tcPr>
            <w:tcW w:w="0" w:type="auto"/>
          </w:tcPr>
          <w:p>
            <w:pPr>
              <w:spacing w:line="240" w:lineRule="auto" w:before="0" w:after="0"/>
              <w:pStyle w:val="Compact"/>
            </w:pPr>
            <w:r>
              <w:rPr>
                <w:sz w:val="20"/>
                <w:szCs w:val="20"/>
              </w:rPr>
              <w:t xml:space="preserve">[-0.646, 0.6005]</w:t>
            </w:r>
          </w:p>
        </w:tc>
      </w:tr>
    </w:tbl>
    <w:p>
      <w:pPr>
        <w:pStyle w:val="BodyText"/>
        <w:spacing w:line="480" w:lineRule="auto"/>
        <w:ind w:firstLine="720"/>
      </w:pPr>
      <w:r>
        <w:t xml:space="preserve">Fit: N = 30 R2 = 0.0024 R2_adj = -0.1127 F = 0.0261 F_p = 0.9942</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4" name="Picture"/>
            <a:graphic>
              <a:graphicData uri="http://schemas.openxmlformats.org/drawingml/2006/picture">
                <pic:pic>
                  <pic:nvPicPr>
                    <pic:cNvPr descr="D:/Claude_Code/brain/collegium/candidates/dissertations/SECURITY_DETERRENCE_01/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https://amostech.space/year/2014/joint-uk-australian-space-surveillance-target-tracking-cueing-and-sensor-data-fusion-experiment/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https://amostech.space/year/2011/an-investigation-into-using-differential-drag-for-controlling-a-formation-of-cubesats/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https://amostech.space/year/2014/validation-of-accuracy-and-efficiency-of-long-arc-orbit-propagation-using-the-method-of-manufactured-solutions-and-the-round-trip-closure-method/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10.64861/ENVZ4013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https://amostech.space/year/2015/multicolour-optical-photometry-of-active-geostationary-satellites/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https://amostech.space/year/2010/application-of-parallel-discrete-event-simulation-to-the-space-surveillance-network/</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https://amostech.space/year/2006/hdvip-hgcdte-and-silicon-detectors-and-fpas-for-remote-sensing-applications/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https://amostech.space/year/2010/improved-climatological-characterization-of-optical-turbulence-for-space-optical-imaging-and-communications/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10.1016/j.actaastro.2020.02.008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10.1016/j.actaastro.2025.08.022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Kessler Syndrome: System Dynamics Model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10.1016/j.spacepol.2018.03.003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10.1086/730695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187"/>
    <w:bookmarkStart w:id="18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8"/>
    <w:bookmarkEnd w:id="189"/>
    <w:bookmarkStart w:id="197" w:name="Xe4b57f01fb7625492502cf498daed2f48e2d4b3"/>
    <w:p>
      <w:pPr>
        <w:pStyle w:val="Heading2"/>
        <w:spacing w:line="480" w:lineRule="auto"/>
      </w:pPr>
      <w:r>
        <w:t xml:space="preserve">A.2 Attention Accumulation in Reversibility as a Deterrent Do Reversible Counterspace Demonstrations Produce: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0.7158</w:t>
            </w:r>
          </w:p>
        </w:tc>
        <w:tc>
          <w:tcPr>
            <w:tcW w:w="0" w:type="auto"/>
          </w:tcPr>
          <w:p>
            <w:pPr>
              <w:spacing w:line="240" w:lineRule="auto" w:before="0" w:after="0"/>
              <w:pStyle w:val="Compact"/>
            </w:pPr>
            <w:r>
              <w:rPr>
                <w:sz w:val="20"/>
                <w:szCs w:val="20"/>
              </w:rPr>
              <w:t xml:space="preserve">0.3406</w:t>
            </w:r>
          </w:p>
        </w:tc>
        <w:tc>
          <w:tcPr>
            <w:tcW w:w="0" w:type="auto"/>
          </w:tcPr>
          <w:p>
            <w:pPr>
              <w:spacing w:line="240" w:lineRule="auto" w:before="0" w:after="0"/>
              <w:pStyle w:val="Compact"/>
            </w:pPr>
            <w:r>
              <w:rPr>
                <w:sz w:val="20"/>
                <w:szCs w:val="20"/>
              </w:rPr>
              <w:t xml:space="preserve">2.1018</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[0.0483, 1.3833]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0.1423</w:t>
            </w:r>
          </w:p>
        </w:tc>
        <w:tc>
          <w:tcPr>
            <w:tcW w:w="0" w:type="auto"/>
          </w:tcPr>
          <w:p>
            <w:pPr>
              <w:spacing w:line="240" w:lineRule="auto" w:before="0" w:after="0"/>
              <w:pStyle w:val="Compact"/>
            </w:pPr>
            <w:r>
              <w:rPr>
                <w:sz w:val="20"/>
                <w:szCs w:val="20"/>
              </w:rPr>
              <w:t xml:space="preserve">-0.8177</w:t>
            </w:r>
          </w:p>
        </w:tc>
        <w:tc>
          <w:tcPr>
            <w:tcW w:w="0" w:type="auto"/>
          </w:tcPr>
          <w:p>
            <w:pPr>
              <w:spacing w:line="240" w:lineRule="auto" w:before="0" w:after="0"/>
              <w:pStyle w:val="Compact"/>
            </w:pPr>
            <w:r>
              <w:rPr>
                <w:sz w:val="20"/>
                <w:szCs w:val="20"/>
              </w:rPr>
              <w:t xml:space="preserve">0.4135</w:t>
            </w:r>
          </w:p>
        </w:tc>
        <w:tc>
          <w:tcPr>
            <w:tcW w:w="0" w:type="auto"/>
          </w:tcPr>
          <w:p>
            <w:pPr>
              <w:spacing w:line="240" w:lineRule="auto" w:before="0" w:after="0"/>
              <w:pStyle w:val="Compact"/>
            </w:pPr>
            <w:r>
              <w:rPr>
                <w:sz w:val="20"/>
                <w:szCs w:val="20"/>
              </w:rPr>
              <w:t xml:space="preserve">[-0.3954, 0.1626]</w:t>
            </w:r>
          </w:p>
        </w:tc>
      </w:tr>
    </w:tbl>
    <w:p>
      <w:pPr>
        <w:pStyle w:val="BodyText"/>
        <w:spacing w:line="480" w:lineRule="auto"/>
        <w:ind w:firstLine="720"/>
      </w:pPr>
      <w:r>
        <w:t xml:space="preserve">Fit: N = 30 R2 = 0.0101 elasticity_b = -0.1164 progress_ratio_2^b = 0.9225</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2" name="Picture"/>
            <a:graphic>
              <a:graphicData uri="http://schemas.openxmlformats.org/drawingml/2006/picture">
                <pic:pic>
                  <pic:nvPicPr>
                    <pic:cNvPr descr="D:/Claude_Code/brain/collegium/candidates/dissertations/SECURITY_DETERRENCE_01/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https://amostech.space/year/2014/joint-uk-australian-space-surveillance-target-tracking-cueing-and-sensor-data-fusion-experiment/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https://amostech.space/year/2011/an-investigation-into-using-differential-drag-for-controlling-a-formation-of-cubesats/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https://amostech.space/year/2014/validation-of-accuracy-and-efficiency-of-long-arc-orbit-propagation-using-the-method-of-manufactured-solutions-and-the-round-trip-closure-method/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10.64861/ENVZ4013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https://amostech.space/year/2015/multicolour-optical-photometry-of-active-geostationary-satellites/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https://amostech.space/year/2010/application-of-parallel-discrete-event-simulation-to-the-space-surveillance-network/</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https://amostech.space/year/2006/hdvip-hgcdte-and-silicon-detectors-and-fpas-for-remote-sensing-applications/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https://amostech.space/year/2010/improved-climatological-characterization-of-optical-turbulence-for-space-optical-imaging-and-communications/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10.1016/j.actaastro.2020.02.008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10.1016/j.actaastro.2025.08.022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Kessler Syndrome: System Dynamics Model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10.1016/j.spacepol.2018.03.003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10.1086/730695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74" Type="http://schemas.openxmlformats.org/officeDocument/2006/relationships/hyperlink" Target="https://doi.org/10.1016/j.actaastro.2020.02.008" TargetMode="External"/><Relationship Id="rId166" Type="http://schemas.openxmlformats.org/officeDocument/2006/relationships/hyperlink" Target="https://doi.org/10.1016/j.actaastro.2020.07.009" TargetMode="External"/><Relationship Id="rId153" Type="http://schemas.openxmlformats.org/officeDocument/2006/relationships/hyperlink" Target="https://doi.org/10.1016/j.actaastro.2023.05.001" TargetMode="External"/><Relationship Id="rId176" Type="http://schemas.openxmlformats.org/officeDocument/2006/relationships/hyperlink" Target="https://doi.org/10.1016/j.actaastro.2025.03.001" TargetMode="External"/><Relationship Id="rId172" Type="http://schemas.openxmlformats.org/officeDocument/2006/relationships/hyperlink" Target="https://doi.org/10.1016/j.actaastro.2026.03.020" TargetMode="External"/><Relationship Id="rId178" Type="http://schemas.openxmlformats.org/officeDocument/2006/relationships/hyperlink" Target="https://doi.org/10.1016/j.actaastro.2026.03.029" TargetMode="External"/><Relationship Id="rId168" Type="http://schemas.openxmlformats.org/officeDocument/2006/relationships/hyperlink" Target="https://doi.org/10.1016/j.actaastro.2026.03.056" TargetMode="External"/><Relationship Id="rId170" Type="http://schemas.openxmlformats.org/officeDocument/2006/relationships/hyperlink" Target="https://doi.org/10.1016/j.actaastro.2026.05.027" TargetMode="External"/><Relationship Id="rId151" Type="http://schemas.openxmlformats.org/officeDocument/2006/relationships/hyperlink" Target="https://doi.org/10.64861/ENVZ4013" TargetMode="External"/><Relationship Id="rId155" Type="http://schemas.openxmlformats.org/officeDocument/2006/relationships/hyperlink" Target="https://doi.org/10.64861/XQIE1415" TargetMode="External"/></Relationships>
</file>

<file path=word/_rels/footnotes.xml.rels><?xml version='1.0' encoding='UTF-8' standalone='yes'?>
<Relationships xmlns="http://schemas.openxmlformats.org/package/2006/relationships"><Relationship Id="rId174" Type="http://schemas.openxmlformats.org/officeDocument/2006/relationships/hyperlink" Target="https://doi.org/10.1016/j.actaastro.2020.02.008" TargetMode="External"/><Relationship Id="rId166" Type="http://schemas.openxmlformats.org/officeDocument/2006/relationships/hyperlink" Target="https://doi.org/10.1016/j.actaastro.2020.07.009" TargetMode="External"/><Relationship Id="rId153" Type="http://schemas.openxmlformats.org/officeDocument/2006/relationships/hyperlink" Target="https://doi.org/10.1016/j.actaastro.2023.05.001" TargetMode="External"/><Relationship Id="rId176" Type="http://schemas.openxmlformats.org/officeDocument/2006/relationships/hyperlink" Target="https://doi.org/10.1016/j.actaastro.2025.03.001" TargetMode="External"/><Relationship Id="rId172" Type="http://schemas.openxmlformats.org/officeDocument/2006/relationships/hyperlink" Target="https://doi.org/10.1016/j.actaastro.2026.03.020" TargetMode="External"/><Relationship Id="rId178" Type="http://schemas.openxmlformats.org/officeDocument/2006/relationships/hyperlink" Target="https://doi.org/10.1016/j.actaastro.2026.03.029" TargetMode="External"/><Relationship Id="rId168" Type="http://schemas.openxmlformats.org/officeDocument/2006/relationships/hyperlink" Target="https://doi.org/10.1016/j.actaastro.2026.03.056" TargetMode="External"/><Relationship Id="rId170" Type="http://schemas.openxmlformats.org/officeDocument/2006/relationships/hyperlink" Target="https://doi.org/10.1016/j.actaastro.2026.05.027" TargetMode="External"/><Relationship Id="rId151" Type="http://schemas.openxmlformats.org/officeDocument/2006/relationships/hyperlink" Target="https://doi.org/10.64861/ENVZ4013" TargetMode="External"/><Relationship Id="rId155" Type="http://schemas.openxmlformats.org/officeDocument/2006/relationships/hyperlink" Target="https://doi.org/10.64861/XQIE1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Reversibility as a Deterrent: Do Reversible Counterspace Demonstrations Produce</dc:title>
  <dc:creator>Anton Vaughn (1B-SEC-164)</dc:creator>
  <cp:keywords/>
  <dcterms:created xsi:type="dcterms:W3CDTF">2026-07-03T17:32:52Z</dcterms:created>
  <dcterms:modified xsi:type="dcterms:W3CDTF">2026-07-03T17:32:52Z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