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2fab0d54da5066389a131104f35f6ec06a4be7d"/>
    <w:p>
      <w:pPr>
        <w:pStyle w:val="Heading1"/>
      </w:pPr>
      <w:r>
        <w:t xml:space="preserve">Signal Intensity in Commercial Cadence Political Economy (S-1):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Caleb Voss (1B-GOV-224) and the dissertation project</w:t>
      </w:r>
      <w:r>
        <w:t xml:space="preserve"> </w:t>
      </w:r>
      <w:r>
        <w:rPr>
          <w:i/>
          <w:iCs/>
        </w:rPr>
        <w:t xml:space="preserve">Commercial Cadence Political Economy (S-1)</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R2=0.345563773205777, R2_adj=0.2700519008833666, F=4.433590357338824, F_p=0.01206549137713079. The exact term summary is: const coef=9.100485542284108 p=2.228321036260067e-05; recency_index coef=-0.19673945936877413 p=0.16396071668297352; cites_num coef=0.03643882066444004 p=0.3796797874792147; venue_score coef=-1.5910041862818214 p=0.00027583915365918526.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Frederick Tarantino, SAF/SQS. Memo on Space Debris Summit and Active Debris Removal (2022). [AMOS]</w:t>
      </w:r>
      <w:r>
        <w:t xml:space="preserve"> </w:t>
      </w:r>
      <w:bookmarkStart w:id="68" w:name="ref-2"/>
      <w:bookmarkEnd w:id="68"/>
      <w:r>
        <w:t xml:space="preserve">2.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69">
        <w:r>
          <w:rPr>
            <w:rStyle w:val="Hyperlink"/>
          </w:rPr>
          <w:t xml:space="preserve">10.64861/QBNC8763</w:t>
        </w:r>
      </w:hyperlink>
      <w:r>
        <w:t xml:space="preserve"> </w:t>
      </w:r>
      <w:bookmarkStart w:id="70" w:name="ref-3"/>
      <w:bookmarkEnd w:id="70"/>
      <w:r>
        <w:t xml:space="preserve">3.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1" w:name="ref-4"/>
      <w:bookmarkEnd w:id="71"/>
      <w:r>
        <w:t xml:space="preserve">4. Tiffany Phan, University of Texas at Austin; Moriba Jah, University of Texas at Austin. Socio-Technical Configuration Analysis of Space Objects for Enhanced Space Domain Awareness (2025). doi:</w:t>
      </w:r>
      <w:r>
        <w:t xml:space="preserve"> </w:t>
      </w:r>
      <w:hyperlink r:id="rId72">
        <w:r>
          <w:rPr>
            <w:rStyle w:val="Hyperlink"/>
          </w:rPr>
          <w:t xml:space="preserve">10.64861/GDIM2412</w:t>
        </w:r>
      </w:hyperlink>
      <w:r>
        <w:t xml:space="preserve"> </w:t>
      </w:r>
      <w:bookmarkStart w:id="73" w:name="ref-5"/>
      <w:bookmarkEnd w:id="73"/>
      <w:r>
        <w:t xml:space="preserve">5. Harvey Reed, MITRE; Nick Tsamis, MITRE; Nathaniel Dailey, MITRE. Space Sustainability and Traffic Management Requires Trusted Space Stakeholder Coordination (2023). doi:</w:t>
      </w:r>
      <w:r>
        <w:t xml:space="preserve"> </w:t>
      </w:r>
      <w:hyperlink r:id="rId74">
        <w:r>
          <w:rPr>
            <w:rStyle w:val="Hyperlink"/>
          </w:rPr>
          <w:t xml:space="preserve">10.64861/MVHC2799</w:t>
        </w:r>
      </w:hyperlink>
      <w:r>
        <w:t xml:space="preserve"> </w:t>
      </w:r>
      <w:bookmarkStart w:id="75" w:name="ref-6"/>
      <w:bookmarkEnd w:id="75"/>
      <w:r>
        <w:t xml:space="preserve">6. John McGraw, J.T. McGraw and Associates, LLC, Mark R. Ackermann, JTMA, Peter Zimmer, JTMA. The Fundamental Role of Wide-Field Imaging in Space Situational Awareness (2015). [AMOS]</w:t>
      </w:r>
      <w:r>
        <w:t xml:space="preserve"> </w:t>
      </w:r>
      <w:bookmarkStart w:id="76" w:name="ref-7"/>
      <w:bookmarkEnd w:id="76"/>
      <w:r>
        <w:t xml:space="preserve">7. Makena Young, Center for Strategic and International Studies; Akhil Thadani, Center for Strategic and International Studies. Low-Orbit, High Stakes: Winning the LEO Broadband Competition (2022). [AMOS]</w:t>
      </w:r>
      <w:r>
        <w:t xml:space="preserve"> </w:t>
      </w:r>
      <w:bookmarkStart w:id="77" w:name="ref-8"/>
      <w:bookmarkEnd w:id="77"/>
      <w:r>
        <w:t xml:space="preserve">8. Jacqueline Smith, MIT; Moriba Jah, University of Texas; Danielle Wood, MIT. Architecting a Decision Support System for Continuing Supervision of Commercial In-Space Servicing (2024). doi:</w:t>
      </w:r>
      <w:r>
        <w:t xml:space="preserve"> </w:t>
      </w:r>
      <w:hyperlink r:id="rId78">
        <w:r>
          <w:rPr>
            <w:rStyle w:val="Hyperlink"/>
          </w:rPr>
          <w:t xml:space="preserve">10.64861/SYQO6621</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9.1005</w:t>
            </w:r>
          </w:p>
        </w:tc>
        <w:tc>
          <w:tcPr>
            <w:tcW w:w="0" w:type="auto"/>
          </w:tcPr>
          <w:p>
            <w:pPr>
              <w:spacing w:line="240" w:lineRule="auto" w:before="0" w:after="0"/>
              <w:pStyle w:val="Compact"/>
            </w:pPr>
            <w:r>
              <w:rPr>
                <w:sz w:val="20"/>
                <w:szCs w:val="20"/>
              </w:rPr>
              <w:t xml:space="preserve">2.146</w:t>
            </w:r>
          </w:p>
        </w:tc>
        <w:tc>
          <w:tcPr>
            <w:tcW w:w="0" w:type="auto"/>
          </w:tcPr>
          <w:p>
            <w:pPr>
              <w:spacing w:line="240" w:lineRule="auto" w:before="0" w:after="0"/>
              <w:pStyle w:val="Compact"/>
            </w:pPr>
            <w:r>
              <w:rPr>
                <w:sz w:val="20"/>
                <w:szCs w:val="20"/>
              </w:rPr>
              <w:t xml:space="preserve">4.2407</w:t>
            </w:r>
          </w:p>
        </w:tc>
        <w:tc>
          <w:tcPr>
            <w:tcW w:w="0" w:type="auto"/>
          </w:tcPr>
          <w:p>
            <w:pPr>
              <w:spacing w:line="240" w:lineRule="auto" w:before="0" w:after="0"/>
              <w:pStyle w:val="Compact"/>
            </w:pPr>
            <w:r>
              <w:rPr>
                <w:sz w:val="20"/>
                <w:szCs w:val="20"/>
              </w:rPr>
              <w:t xml:space="preserve">2.228e-05</w:t>
            </w:r>
          </w:p>
        </w:tc>
        <w:tc>
          <w:tcPr>
            <w:tcW w:w="0" w:type="auto"/>
          </w:tcPr>
          <w:p>
            <w:pPr>
              <w:spacing w:line="240" w:lineRule="auto" w:before="0" w:after="0"/>
              <w:pStyle w:val="Compact"/>
            </w:pPr>
            <w:r>
              <w:rPr>
                <w:sz w:val="20"/>
                <w:szCs w:val="20"/>
              </w:rPr>
              <w:t xml:space="preserve">[4.8944, 13.3066]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0.1413</w:t>
            </w:r>
          </w:p>
        </w:tc>
        <w:tc>
          <w:tcPr>
            <w:tcW w:w="0" w:type="auto"/>
          </w:tcPr>
          <w:p>
            <w:pPr>
              <w:spacing w:line="240" w:lineRule="auto" w:before="0" w:after="0"/>
              <w:pStyle w:val="Compact"/>
            </w:pPr>
            <w:r>
              <w:rPr>
                <w:sz w:val="20"/>
                <w:szCs w:val="20"/>
              </w:rPr>
              <w:t xml:space="preserve">-1.3919</w:t>
            </w:r>
          </w:p>
        </w:tc>
        <w:tc>
          <w:tcPr>
            <w:tcW w:w="0" w:type="auto"/>
          </w:tcPr>
          <w:p>
            <w:pPr>
              <w:spacing w:line="240" w:lineRule="auto" w:before="0" w:after="0"/>
              <w:pStyle w:val="Compact"/>
            </w:pPr>
            <w:r>
              <w:rPr>
                <w:sz w:val="20"/>
                <w:szCs w:val="20"/>
              </w:rPr>
              <w:t xml:space="preserve">0.164</w:t>
            </w:r>
          </w:p>
        </w:tc>
        <w:tc>
          <w:tcPr>
            <w:tcW w:w="0" w:type="auto"/>
          </w:tcPr>
          <w:p>
            <w:pPr>
              <w:spacing w:line="240" w:lineRule="auto" w:before="0" w:after="0"/>
              <w:pStyle w:val="Compact"/>
            </w:pPr>
            <w:r>
              <w:rPr>
                <w:sz w:val="20"/>
                <w:szCs w:val="20"/>
              </w:rPr>
              <w:t xml:space="preserve">[-0.4738, 0.0803]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[-0.0449, 0.1177]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-1.591</w:t>
            </w:r>
          </w:p>
        </w:tc>
        <w:tc>
          <w:tcPr>
            <w:tcW w:w="0" w:type="auto"/>
          </w:tcPr>
          <w:p>
            <w:pPr>
              <w:spacing w:line="240" w:lineRule="auto" w:before="0" w:after="0"/>
              <w:pStyle w:val="Compact"/>
            </w:pPr>
            <w:r>
              <w:rPr>
                <w:sz w:val="20"/>
                <w:szCs w:val="20"/>
              </w:rPr>
              <w:t xml:space="preserve">0.4375</w:t>
            </w:r>
          </w:p>
        </w:tc>
        <w:tc>
          <w:tcPr>
            <w:tcW w:w="0" w:type="auto"/>
          </w:tcPr>
          <w:p>
            <w:pPr>
              <w:spacing w:line="240" w:lineRule="auto" w:before="0" w:after="0"/>
              <w:pStyle w:val="Compact"/>
            </w:pPr>
            <w:r>
              <w:rPr>
                <w:sz w:val="20"/>
                <w:szCs w:val="20"/>
              </w:rPr>
              <w:t xml:space="preserve">-3.637</w:t>
            </w:r>
          </w:p>
        </w:tc>
        <w:tc>
          <w:tcPr>
            <w:tcW w:w="0" w:type="auto"/>
          </w:tcPr>
          <w:p>
            <w:pPr>
              <w:spacing w:line="240" w:lineRule="auto" w:before="0" w:after="0"/>
              <w:pStyle w:val="Compact"/>
            </w:pPr>
            <w:r>
              <w:rPr>
                <w:sz w:val="20"/>
                <w:szCs w:val="20"/>
              </w:rPr>
              <w:t xml:space="preserve">0.0002758</w:t>
            </w:r>
          </w:p>
        </w:tc>
        <w:tc>
          <w:tcPr>
            <w:tcW w:w="0" w:type="auto"/>
          </w:tcPr>
          <w:p>
            <w:pPr>
              <w:spacing w:line="240" w:lineRule="auto" w:before="0" w:after="0"/>
              <w:pStyle w:val="Compact"/>
            </w:pPr>
            <w:r>
              <w:rPr>
                <w:sz w:val="20"/>
                <w:szCs w:val="20"/>
              </w:rPr>
              <w:t xml:space="preserve">[-2.4484, -0.7336]</w:t>
            </w:r>
          </w:p>
        </w:tc>
      </w:tr>
    </w:tbl>
    <w:p>
      <w:pPr>
        <w:pStyle w:val="BodyText"/>
      </w:pPr>
      <w:r>
        <w:t xml:space="preserve">Fit: N = 30 R2 = 0.3456 R2_adj = 0.2701 F = 4.4336 F_p = 0.0121</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PHD-09\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https://amostech.space/year/2015/the-fundamental-role-of-wide-field-imaging-in-space-situational-awareness/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10.64861/XYIL6825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10.1016/j.actaastro.2022.10.011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10.1016/j.actaastro.2023.08.042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 Golemo, �Competing for the orbital commons: Megaconstellations and strategic</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9.1005</w:t>
            </w:r>
          </w:p>
        </w:tc>
        <w:tc>
          <w:tcPr>
            <w:tcW w:w="0" w:type="auto"/>
          </w:tcPr>
          <w:p>
            <w:pPr>
              <w:spacing w:line="240" w:lineRule="auto" w:before="0" w:after="0"/>
              <w:pStyle w:val="Compact"/>
            </w:pPr>
            <w:r>
              <w:rPr>
                <w:sz w:val="20"/>
                <w:szCs w:val="20"/>
              </w:rPr>
              <w:t xml:space="preserve">2.146</w:t>
            </w:r>
          </w:p>
        </w:tc>
        <w:tc>
          <w:tcPr>
            <w:tcW w:w="0" w:type="auto"/>
          </w:tcPr>
          <w:p>
            <w:pPr>
              <w:spacing w:line="240" w:lineRule="auto" w:before="0" w:after="0"/>
              <w:pStyle w:val="Compact"/>
            </w:pPr>
            <w:r>
              <w:rPr>
                <w:sz w:val="20"/>
                <w:szCs w:val="20"/>
              </w:rPr>
              <w:t xml:space="preserve">4.2407</w:t>
            </w:r>
          </w:p>
        </w:tc>
        <w:tc>
          <w:tcPr>
            <w:tcW w:w="0" w:type="auto"/>
          </w:tcPr>
          <w:p>
            <w:pPr>
              <w:spacing w:line="240" w:lineRule="auto" w:before="0" w:after="0"/>
              <w:pStyle w:val="Compact"/>
            </w:pPr>
            <w:r>
              <w:rPr>
                <w:sz w:val="20"/>
                <w:szCs w:val="20"/>
              </w:rPr>
              <w:t xml:space="preserve">2.228e-05</w:t>
            </w:r>
          </w:p>
        </w:tc>
        <w:tc>
          <w:tcPr>
            <w:tcW w:w="0" w:type="auto"/>
          </w:tcPr>
          <w:p>
            <w:pPr>
              <w:spacing w:line="240" w:lineRule="auto" w:before="0" w:after="0"/>
              <w:pStyle w:val="Compact"/>
            </w:pPr>
            <w:r>
              <w:rPr>
                <w:sz w:val="20"/>
                <w:szCs w:val="20"/>
              </w:rPr>
              <w:t xml:space="preserve">[4.8944, 13.3066]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0.1413</w:t>
            </w:r>
          </w:p>
        </w:tc>
        <w:tc>
          <w:tcPr>
            <w:tcW w:w="0" w:type="auto"/>
          </w:tcPr>
          <w:p>
            <w:pPr>
              <w:spacing w:line="240" w:lineRule="auto" w:before="0" w:after="0"/>
              <w:pStyle w:val="Compact"/>
            </w:pPr>
            <w:r>
              <w:rPr>
                <w:sz w:val="20"/>
                <w:szCs w:val="20"/>
              </w:rPr>
              <w:t xml:space="preserve">-1.3919</w:t>
            </w:r>
          </w:p>
        </w:tc>
        <w:tc>
          <w:tcPr>
            <w:tcW w:w="0" w:type="auto"/>
          </w:tcPr>
          <w:p>
            <w:pPr>
              <w:spacing w:line="240" w:lineRule="auto" w:before="0" w:after="0"/>
              <w:pStyle w:val="Compact"/>
            </w:pPr>
            <w:r>
              <w:rPr>
                <w:sz w:val="20"/>
                <w:szCs w:val="20"/>
              </w:rPr>
              <w:t xml:space="preserve">0.164</w:t>
            </w:r>
          </w:p>
        </w:tc>
        <w:tc>
          <w:tcPr>
            <w:tcW w:w="0" w:type="auto"/>
          </w:tcPr>
          <w:p>
            <w:pPr>
              <w:spacing w:line="240" w:lineRule="auto" w:before="0" w:after="0"/>
              <w:pStyle w:val="Compact"/>
            </w:pPr>
            <w:r>
              <w:rPr>
                <w:sz w:val="20"/>
                <w:szCs w:val="20"/>
              </w:rPr>
              <w:t xml:space="preserve">[-0.4738, 0.0803]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[-0.0449, 0.1177]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-1.591</w:t>
            </w:r>
          </w:p>
        </w:tc>
        <w:tc>
          <w:tcPr>
            <w:tcW w:w="0" w:type="auto"/>
          </w:tcPr>
          <w:p>
            <w:pPr>
              <w:spacing w:line="240" w:lineRule="auto" w:before="0" w:after="0"/>
              <w:pStyle w:val="Compact"/>
            </w:pPr>
            <w:r>
              <w:rPr>
                <w:sz w:val="20"/>
                <w:szCs w:val="20"/>
              </w:rPr>
              <w:t xml:space="preserve">0.4375</w:t>
            </w:r>
          </w:p>
        </w:tc>
        <w:tc>
          <w:tcPr>
            <w:tcW w:w="0" w:type="auto"/>
          </w:tcPr>
          <w:p>
            <w:pPr>
              <w:spacing w:line="240" w:lineRule="auto" w:before="0" w:after="0"/>
              <w:pStyle w:val="Compact"/>
            </w:pPr>
            <w:r>
              <w:rPr>
                <w:sz w:val="20"/>
                <w:szCs w:val="20"/>
              </w:rPr>
              <w:t xml:space="preserve">-3.637</w:t>
            </w:r>
          </w:p>
        </w:tc>
        <w:tc>
          <w:tcPr>
            <w:tcW w:w="0" w:type="auto"/>
          </w:tcPr>
          <w:p>
            <w:pPr>
              <w:spacing w:line="240" w:lineRule="auto" w:before="0" w:after="0"/>
              <w:pStyle w:val="Compact"/>
            </w:pPr>
            <w:r>
              <w:rPr>
                <w:sz w:val="20"/>
                <w:szCs w:val="20"/>
              </w:rPr>
              <w:t xml:space="preserve">0.0002758</w:t>
            </w:r>
          </w:p>
        </w:tc>
        <w:tc>
          <w:tcPr>
            <w:tcW w:w="0" w:type="auto"/>
          </w:tcPr>
          <w:p>
            <w:pPr>
              <w:spacing w:line="240" w:lineRule="auto" w:before="0" w:after="0"/>
              <w:pStyle w:val="Compact"/>
            </w:pPr>
            <w:r>
              <w:rPr>
                <w:sz w:val="20"/>
                <w:szCs w:val="20"/>
              </w:rPr>
              <w:t xml:space="preserve">[-2.4484, -0.7336]</w:t>
            </w:r>
          </w:p>
        </w:tc>
      </w:tr>
    </w:tbl>
    <w:p>
      <w:pPr>
        <w:pStyle w:val="BodyText"/>
      </w:pPr>
      <w:r>
        <w:t xml:space="preserve">Fit: N = 30 R2 = 0.3456 R2_adj = 0.2701 F = 4.4336 F_p = 0.0121</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2" Target="https://doi.org/10.64861/GDIM2412" TargetMode="External" /><Relationship Type="http://schemas.openxmlformats.org/officeDocument/2006/relationships/hyperlink" Id="rId74" Target="https://doi.org/10.64861/MVHC2799" TargetMode="External" /><Relationship Type="http://schemas.openxmlformats.org/officeDocument/2006/relationships/hyperlink" Id="rId69" Target="https://doi.org/10.64861/QBNC8763" TargetMode="External" /><Relationship Type="http://schemas.openxmlformats.org/officeDocument/2006/relationships/hyperlink" Id="rId78" Target="https://doi.org/10.64861/SYQO6621"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GDIM2412" TargetMode="External" /><Relationship Type="http://schemas.openxmlformats.org/officeDocument/2006/relationships/hyperlink" Id="rId74" Target="https://doi.org/10.64861/MVHC2799" TargetMode="External" /><Relationship Type="http://schemas.openxmlformats.org/officeDocument/2006/relationships/hyperlink" Id="rId69" Target="https://doi.org/10.64861/QBNC8763" TargetMode="External" /><Relationship Type="http://schemas.openxmlformats.org/officeDocument/2006/relationships/hyperlink" Id="rId78" Target="https://doi.org/10.64861/SYQO66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2026-06-29T09:43:45Z</dcterms:created>
  <dcterms:modified xsi:type="dcterms:W3CDTF">2026-06-29T09:43:45Z</dcterms:modified>
</cp:coreProperties>
</file>

<file path=docProps/custom.xml><?xml version="1.0" encoding="utf-8"?>
<Properties xmlns="http://schemas.openxmlformats.org/officeDocument/2006/custom-properties" xmlns:vt="http://schemas.openxmlformats.org/officeDocument/2006/docPropsVTypes"/>
</file>