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COMMERCIAL CADENCE POLITICAL ECONOMY (S-1)</w:t>
      </w:r>
    </w:p>
    <w:p>
      <w:pPr>
        <w:jc w:val="center"/>
      </w:pPr>
    </w:p>
    <w:p>
      <w:pPr>
        <w:jc w:val="center"/>
      </w:pPr>
      <w:r>
        <w:rPr>
          <w:rFonts w:ascii="Times New Roman" w:hAnsi="Times New Roman"/>
          <w:sz w:val="24"/>
        </w:rPr>
        <w:t>by</w:t>
      </w:r>
    </w:p>
    <w:p>
      <w:pPr>
        <w:jc w:val="center"/>
      </w:pPr>
      <w:r>
        <w:rPr>
          <w:rFonts w:ascii="Times New Roman" w:hAnsi="Times New Roman"/>
          <w:b/>
          <w:sz w:val="28"/>
        </w:rPr>
        <w:t>Caleb Voss</w:t>
      </w:r>
    </w:p>
    <w:p>
      <w:pPr>
        <w:jc w:val="center"/>
      </w:pPr>
      <w:r>
        <w:rPr>
          <w:rFonts w:ascii="Times New Roman" w:hAnsi="Times New Roman"/>
          <w:sz w:val="24"/>
        </w:rPr>
        <w:t>1B-GOV-224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Space governance rarely arrives on schedule. A problem becomes visible in the technical record, then in policy commentary, and only later in the institutions that write operating rules. That lag is the practical hinge of this dissertation. Commercial launch cadence has grown faster than the rulemaking meant to govern it, and the political economy of that gap, the pattern of attention, argument, and delay, is what the project names Commercial Cadence Political Economy (S-1). The question is not whether the gap exists. Practitioners already sense it. The question is whether the gap leaves a measurable trace in the documentary record before any institution agrees on what to do about it.</w:t>
      </w:r>
    </w:p>
    <w:p>
      <w:pPr>
        <w:pStyle w:val="BodyText"/>
        <w:spacing w:line="480" w:lineRule="auto"/>
        <w:ind w:firstLine="720"/>
      </w:pPr>
      <w:r>
        <w:t xml:space="preserve">This project treats early visibility as evidence rather than intuition. When a governance concern surfaces in memos, conference proceedings, and journal articles, it deposits metadata: a publication year, a venue, a citation count, a cluster of topic terms. Those traces are ordinarily read informally, in the way an experienced analyst senses that a subject is heating up. The dissertation asks a narrower and more disciplined question. Can that sense be operationalized? Can the distribution of a topic across time, attention, and venue be tested against a null of no structure, using only records that a later reader can re-open and re-count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stakes are concrete. Regulators who wait for consensus before acting inherit a backlog. Orbital debris, spectrum congestion, and the supervision of commercial in-space servicing all followed a familiar arc: technical warning first, contested policy language second, binding rule last, sometimes years later</w:t>
      </w:r>
      <w:r>
        <w:t xml:space="preserve"> </w:t>
      </w:r>
      <w:hyperlink w:anchor="ref-1">
        <w:r>
          <w:rPr>
            <w:rStyle w:val="Hyperlink"/>
          </w:rPr>
          <w:t xml:space="preserve">[1]</w:t>
        </w:r>
      </w:hyperlink>
      <w:r>
        <w:t xml:space="preserve"> </w:t>
      </w:r>
      <w:hyperlink w:anchor="ref-8">
        <w:r>
          <w:rPr>
            <w:rStyle w:val="Hyperlink"/>
          </w:rPr>
          <w:t xml:space="preserve">[8]</w:t>
        </w:r>
      </w:hyperlink>
      <w:r>
        <w:t xml:space="preserve">. If the documentary footprint of an emerging concern can be characterized while the concern is still forming, then the interval between warning and rule becomes something a program office can anticipate rather than merely absorb. The value here is modest but real. It is the difference between reacting to a governance problem and reading its approach.</w:t>
      </w:r>
    </w:p>
    <w:bookmarkStart w:id="61" w:name="the-problem"/>
    <w:p>
      <w:pPr>
        <w:pStyle w:val="Heading2"/>
        <w:spacing w:line="480" w:lineRule="auto"/>
      </w:pPr>
      <w:r>
        <w:t xml:space="preserve">1.1 The problem</w:t>
      </w:r>
    </w:p>
    <w:p>
      <w:pPr>
        <w:pStyle w:val="FirstParagraph"/>
        <w:spacing w:line="480" w:lineRule="auto"/>
      </w:pPr>
      <w:r>
        <w:t xml:space="preserve">Commercial space activity has entered a regime where the pace of operations outruns the pace of oversight. Launch providers iterate on cadence measured in days. Constellation operators field thousands of objects. Rulemaking, by contrast, moves through notice, comment, interagency review, and international coordination on a timescale of years. The mismatch is structural, not accidental, and it produces a recurring political economy: firms move, risks accumulate, commentary intensifies, and institutions eventually respond under pressure they could have seen building</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difficulty for a researcher is that this dynamic is easy to assert and hard to demonstrate. Anyone reading the space policy literature can claim that a topic is rising. Fewer can show it with a procedure another analyst could rerun and check. The looseness is the problem. A claim about salience that rests on selective reading is not falsifiable, and a doctoral contribution should be falsifiable. This dissertation therefore refuses the broad version of the argument and commits to a small version that can fail.</w:t>
      </w:r>
    </w:p>
    <w:p>
      <w:pPr>
        <w:pStyle w:val="BodyText"/>
        <w:spacing w:line="480" w:lineRule="auto"/>
        <w:ind w:firstLine="720"/>
      </w:pPr>
      <w:r>
        <w:t xml:space="preserve">Consider what the loose version usually looks like in practice. An author gathers a handful of striking sources, arranges them into a narrative of rising concern, and invites the reader to accept that the trend is real. The sources are genuine. The trend may even be genuine. What is missing is any procedure by which a skeptical reader could have arrived at the opposite conclusion from the same material. Without that procedure, the argument is unfalsifiable by construction, and unfalsifiable arguments accumulate in space policy faster than the field can adjudicate them.</w:t>
      </w:r>
    </w:p>
    <w:bookmarkEnd w:id="61"/>
    <w:bookmarkStart w:id="62" w:name="what-this-dissertation-does-not-claim"/>
    <w:p>
      <w:pPr>
        <w:pStyle w:val="Heading2"/>
        <w:spacing w:line="480" w:lineRule="auto"/>
      </w:pPr>
      <w:r>
        <w:t xml:space="preserve">1.2 What this dissertation does not claim</w:t>
      </w:r>
    </w:p>
    <w:p>
      <w:pPr>
        <w:pStyle w:val="FirstParagraph"/>
        <w:spacing w:line="480" w:lineRule="auto"/>
      </w:pPr>
      <w:r>
        <w:t xml:space="preserve">Honesty about scope is the first discipline of the design. The project does not claim to measure the true policy impact of commercial cadence. It does not estimate how many months a rule was delayed, nor whether any particular regulation was well or badly timed. It does not model the causal pathway from firm behavior to institutional response. Those questions are important, and they exceed what a documentary corpus can settle.</w:t>
      </w:r>
    </w:p>
    <w:p>
      <w:pPr>
        <w:pStyle w:val="BodyText"/>
        <w:spacing w:line="480" w:lineRule="auto"/>
        <w:ind w:firstLine="720"/>
      </w:pPr>
      <w:r>
        <w:t xml:space="preserve">The project claims something smaller. It claims that the topic signal for Commercial Cadence Political Economy (S-1) either is, or is not, systematically related to three observable features of the retrieved literature: how recent a source is, how much citation attention it has drawn, and what family of venue published it. That is a document-level test of corpus structure. It is a screen, not a verdict. Keeping the claim this narrow is what allows the evidence to be auditable end to end, from source selection through variable construction to estimator output</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A screen and a verdict differ in what they license. A verdict would authorize a policy recommendation: act now, delay is costing us, the trend is proven. A screen authorizes only a next step: the topic is structured in the record, so a richer design is warranted; or the topic is not structured, so the strong claim should be held in reserve. The dissertation delivers a screen and refuses to dress it as a verdict. That refusal is not modesty for its own sake. It is the condition under which the finding stays honest.</w:t>
      </w:r>
    </w:p>
    <w:bookmarkEnd w:id="62"/>
    <w:bookmarkStart w:id="63" w:name="the-one-falsifiable-contribution"/>
    <w:p>
      <w:pPr>
        <w:pStyle w:val="Heading2"/>
        <w:spacing w:line="480" w:lineRule="auto"/>
      </w:pPr>
      <w:r>
        <w:t xml:space="preserve">1.3 The one falsifiable contribution</w:t>
      </w:r>
    </w:p>
    <w:p>
      <w:pPr>
        <w:pStyle w:val="FirstParagraph"/>
        <w:spacing w:line="480" w:lineRule="auto"/>
      </w:pPr>
      <w:r>
        <w:t xml:space="preserve">The dissertation is built around a single testable proposition, stated so that the data can reject it.</w:t>
      </w:r>
    </w:p>
    <w:p>
      <w:pPr>
        <w:pStyle w:val="BodyText"/>
        <w:spacing w:line="480" w:lineRule="auto"/>
        <w:ind w:firstLine="720"/>
      </w:pPr>
      <w:r>
        <w:t xml:space="preserve">The null hypothesis is that the topic signal is unrelated to publication recency, citation attention, and venue family in the retrieved source corpus. The alternative is that the topic signal is systematically related to those features. Two estimators carry the test. The first is an ordinary least squares model of topic-signal intensity on recency, citation count, and venue family. The second is a log-log learning-curve model of citation accumulation on article age. Each model produces deterministic output from a fixed dataset, and each output either supports or undercuts the alternative.</w:t>
      </w:r>
    </w:p>
    <w:p>
      <w:pPr>
        <w:pStyle w:val="BodyText"/>
        <w:spacing w:line="480" w:lineRule="auto"/>
        <w:ind w:firstLine="720"/>
      </w:pPr>
      <w:r>
        <w:t xml:space="preserve">This is a deliberately unglamorous contribution. It does not promise a grand theory of space regulation. It promises a reproducible finding about how a specific governance topic is distributed across a specific body of sources, reported with its coefficients, standard errors, and p-values intact</w:t>
      </w:r>
      <w:r>
        <w:t xml:space="preserve"> </w:t>
      </w:r>
      <w:hyperlink w:anchor="ref-2">
        <w:r>
          <w:rPr>
            <w:rStyle w:val="Hyperlink"/>
          </w:rPr>
          <w:t xml:space="preserve">[2]</w:t>
        </w:r>
      </w:hyperlink>
      <w:r>
        <w:t xml:space="preserve"> </w:t>
      </w:r>
      <w:hyperlink w:anchor="ref-4">
        <w:r>
          <w:rPr>
            <w:rStyle w:val="Hyperlink"/>
          </w:rPr>
          <w:t xml:space="preserve">[4]</w:t>
        </w:r>
      </w:hyperlink>
      <w:r>
        <w:t xml:space="preserve">. A reader who disagrees can open the same records and recount. That property, reproducibility under disagreement, is the contribution the project actually offers.</w:t>
      </w:r>
    </w:p>
    <w:p>
      <w:pPr>
        <w:pStyle w:val="BodyText"/>
        <w:spacing w:line="480" w:lineRule="auto"/>
        <w:ind w:firstLine="720"/>
      </w:pPr>
      <w:r>
        <w:t xml:space="preserve">The choice of two complementary estimators is intentional. A single cross-sectional model could show that the topic signal covaries with observable features at one moment, but it would say nothing about whether the field is maturing or merely present. A single temporal model could show accumulation without saying what drives cross-sectional variation. Running both, on the same thirty records, lets the dissertation distinguish a topic that is structured in space from a topic that is structured in time, and to report honestly when one holds and the other does not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63"/>
    <w:bookmarkStart w:id="64" w:name="why-the-documentary-approach"/>
    <w:p>
      <w:pPr>
        <w:pStyle w:val="Heading2"/>
        <w:spacing w:line="480" w:lineRule="auto"/>
      </w:pPr>
      <w:r>
        <w:t xml:space="preserve">1.4 Why the documentary approach</w:t>
      </w:r>
    </w:p>
    <w:p>
      <w:pPr>
        <w:pStyle w:val="FirstParagraph"/>
        <w:spacing w:line="480" w:lineRule="auto"/>
      </w:pPr>
      <w:r>
        <w:t xml:space="preserve">A skeptic might ask why the dissertation studies documents rather than the underlying regulatory events. The answer is partly practical and partly principled. Regulatory events are sparse, entangled with confidential deliberation, and difficult to date precisely. The documentary record, by contrast, is dense, timestamped, and open to inspection. It is the layer where an emerging concern first becomes legible to outsiders.</w:t>
      </w:r>
    </w:p>
    <w:p>
      <w:pPr>
        <w:pStyle w:val="BodyText"/>
        <w:spacing w:line="480" w:lineRule="auto"/>
        <w:ind w:firstLine="720"/>
      </w:pPr>
      <w:r>
        <w:t xml:space="preserve">There is also a methodological reason. When an analyst wants to know whether a topic is gaining ground, the documentary trace is often the earliest signal available, earlier than any rule and sometimes earlier than any official acknowledgment</w:t>
      </w:r>
      <w:r>
        <w:t xml:space="preserve"> </w:t>
      </w:r>
      <w:hyperlink w:anchor="ref-1">
        <w:r>
          <w:rPr>
            <w:rStyle w:val="Hyperlink"/>
          </w:rPr>
          <w:t xml:space="preserve">[1]</w:t>
        </w:r>
      </w:hyperlink>
      <w:r>
        <w:t xml:space="preserve"> </w:t>
      </w:r>
      <w:hyperlink w:anchor="ref-6">
        <w:r>
          <w:rPr>
            <w:rStyle w:val="Hyperlink"/>
          </w:rPr>
          <w:t xml:space="preserve">[6]</w:t>
        </w:r>
      </w:hyperlink>
      <w:r>
        <w:t xml:space="preserve">. Studying that trace directly, with an explicit measurement model, converts a soft judgment into a hard test. The cost is that documentary metadata is noisy and partial. The design accepts that cost and reports its consequences rather than hiding them.</w:t>
      </w:r>
    </w:p>
    <w:p>
      <w:pPr>
        <w:pStyle w:val="BodyText"/>
        <w:spacing w:line="480" w:lineRule="auto"/>
        <w:ind w:firstLine="720"/>
      </w:pPr>
      <w:r>
        <w:t xml:space="preserve">The documentary layer has a further virtue for a governance study: it is where different communities meet. A technical proceeding, a policy memo, and an economics article on the same concern all leave records in overlapping venues, and the shape of that overlap is itself informative</w:t>
      </w:r>
      <w:r>
        <w:t xml:space="preserve"> </w:t>
      </w:r>
      <w:hyperlink w:anchor="ref-3">
        <w:r>
          <w:rPr>
            <w:rStyle w:val="Hyperlink"/>
          </w:rPr>
          <w:t xml:space="preserve">[3]</w:t>
        </w:r>
      </w:hyperlink>
      <w:r>
        <w:t xml:space="preserve"> </w:t>
      </w:r>
      <w:hyperlink w:anchor="ref-5">
        <w:r>
          <w:rPr>
            <w:rStyle w:val="Hyperlink"/>
          </w:rPr>
          <w:t xml:space="preserve">[5]</w:t>
        </w:r>
      </w:hyperlink>
      <w:r>
        <w:t xml:space="preserve">. A topic confined to one venue family reads differently from a topic that has migrated across technical, policy, and economic communities. The venue variable in this design is built precisely to catch that migration, or its absence.</w:t>
      </w:r>
    </w:p>
    <w:bookmarkEnd w:id="64"/>
    <w:bookmarkStart w:id="65" w:name="the-evidentiary-chain"/>
    <w:p>
      <w:pPr>
        <w:pStyle w:val="Heading2"/>
        <w:spacing w:line="480" w:lineRule="auto"/>
      </w:pPr>
      <w:r>
        <w:t xml:space="preserve">1.5 The evidentiary chain</w:t>
      </w:r>
    </w:p>
    <w:p>
      <w:pPr>
        <w:pStyle w:val="FirstParagraph"/>
        <w:spacing w:line="480" w:lineRule="auto"/>
      </w:pPr>
      <w:r>
        <w:t xml:space="preserve">A guiding requirement runs through the whole project: every step must be inspectable. The source corpus is a fixed set of retrieved records. From those records, deterministic rules build a small set of variables, a topic-signal score, a recency index, a citation count, and an ordinal venue score. Those variables feed two estimators whose output is reported exactly. Nothing in the chain depends on a judgment that a later reader cannot reconstruct.</w:t>
      </w:r>
    </w:p>
    <w:p>
      <w:pPr>
        <w:pStyle w:val="BodyText"/>
        <w:spacing w:line="480" w:lineRule="auto"/>
        <w:ind w:firstLine="720"/>
      </w:pPr>
      <w:r>
        <w:t xml:space="preserve">This insistence on traceability shapes the dissertation’s tone. Where a coefficient is precise and signed, the project reads structure. Where a coefficient is imprecise, the project reads absence of a strong claim and says so plainly</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design is built to be disciplined by its own results, not to be rescued by interpretation when the numbers are weak. That discipline is unusual enough in policy writing to be worth stating as a commitment rather than assuming as a habit.</w:t>
      </w:r>
    </w:p>
    <w:bookmarkEnd w:id="65"/>
    <w:bookmarkStart w:id="66" w:name="roadmap"/>
    <w:p>
      <w:pPr>
        <w:pStyle w:val="Heading2"/>
        <w:spacing w:line="480" w:lineRule="auto"/>
      </w:pPr>
      <w:r>
        <w:t xml:space="preserve">1.6 Roadmap</w:t>
      </w:r>
    </w:p>
    <w:p>
      <w:pPr>
        <w:pStyle w:val="FirstParagraph"/>
        <w:spacing w:line="480" w:lineRule="auto"/>
      </w:pPr>
      <w:r>
        <w:t xml:space="preserve">The remaining chapters develop the argument in order. Chapter 2 situates the project against prior work on space governance, sustainability, and the political economy of commercial space, drawing the reference pool into a coherent frame. Chapter 3 states the theory and the testable predictions, explaining the mechanism that would produce documentary structure if the topic is genuinely rising. Chapter 4 sets out the methodology and identification logic, describing why the two estimators identify what they claim to identify and what they cannot. Chapter 5 documents the data and measurement, the thirty retrieved records, the construction of each variable, and the provenance rules that keep the workbook auditable.</w:t>
      </w:r>
    </w:p>
    <w:p>
      <w:pPr>
        <w:pStyle w:val="BodyText"/>
        <w:spacing w:line="480" w:lineRule="auto"/>
        <w:ind w:firstLine="720"/>
      </w:pPr>
      <w:r>
        <w:t xml:space="preserve">Chapter 6 reports the results. It presents the ordinary least squares output and the learning-curve output exactly as the workbooks produce them, then interprets the signs and magnitudes without inflating them. Chapter 7 turns to discussion and limitations, naming the threats to validity and stating clearly what the data cannot show. Chapter 8 draws conclusions, locates the contribution in the wider governance conversation, and lays out the next design, a direct document-coding study, that the findings recommend</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66"/>
    <w:bookmarkStart w:id="67" w:name="the-concept-of-commercial-cadence"/>
    <w:p>
      <w:pPr>
        <w:pStyle w:val="Heading2"/>
        <w:spacing w:line="480" w:lineRule="auto"/>
      </w:pPr>
      <w:r>
        <w:t xml:space="preserve">1.7 The concept of commercial cadence</w:t>
      </w:r>
    </w:p>
    <w:p>
      <w:pPr>
        <w:pStyle w:val="FirstParagraph"/>
        <w:spacing w:line="480" w:lineRule="auto"/>
      </w:pPr>
      <w:r>
        <w:t xml:space="preserve">The title’s central term deserves a precise definition, because a study that measures a concept owes the reader a clear statement of what the concept is. Cadence, in this dissertation, means the rate at which commercial actors conduct consequential space operations: launches, deployments, maneuvers, and servicing events. It is a tempo, not a total. A field can have a large installed base and a slow cadence, or a small base and a fast one. What makes cadence a governance concern is not the number of objects in orbit but the speed at which new consequential actions occur relative to the speed at which oversight can evaluate them</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Political economy is the second half of the term, and it names the distributional stakes that turn a tempo into a governance problem. When cadence outruns oversight, the gap is not neutral. It advantages actors who can move quickly, it shifts risk onto the shared orbital environment, and it forces institutions to respond under conditions of incomplete information</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The phrase Commercial Cadence Political Economy (S-1) therefore compresses a whole argument: that the tempo of commercial space activity has become fast enough, and its distributional consequences large enough, that the pattern of attention and delay around it is worth studying as a phenomenon in its own right. The S-1 designation marks this as the first, screening-stage inquiry in what the candidate intends as a longer program.</w:t>
      </w:r>
    </w:p>
    <w:p>
      <w:pPr>
        <w:pStyle w:val="BodyText"/>
        <w:spacing w:line="480" w:lineRule="auto"/>
        <w:ind w:firstLine="720"/>
      </w:pPr>
      <w:r>
        <w:t xml:space="preserve">Defining the concept this way clarifies why a documentary study is an appropriate first move. Cadence itself is measured in operational data that the analyst does not control. The political economy of cadence, the attention and argument it generates, is measured in the documentary record, which the analyst can retrieve and inspect. The dissertation studies the second because the second is where the governance response begins to form, and because the second is auditable in a way the first is not</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67"/>
    <w:bookmarkStart w:id="68" w:name="X42abe7605bf3a227121dc8bf9ed63f5f9300a19"/>
    <w:p>
      <w:pPr>
        <w:pStyle w:val="Heading2"/>
        <w:spacing w:line="480" w:lineRule="auto"/>
      </w:pPr>
      <w:r>
        <w:t xml:space="preserve">1.8 The place of this study in a wider program</w:t>
      </w:r>
    </w:p>
    <w:p>
      <w:pPr>
        <w:pStyle w:val="FirstParagraph"/>
        <w:spacing w:line="480" w:lineRule="auto"/>
      </w:pPr>
      <w:r>
        <w:t xml:space="preserve">No single screening study settles a governance question, and this one does not pretend to. Its role is to occupy the first position in a sequence and to occupy it honestly. That position has a specific job: to determine whether the concept is even visible and structured in obtainable evidence before anyone invests in the expensive, direct data collection that a causal study would require</w:t>
      </w:r>
      <w:r>
        <w:t xml:space="preserve"> </w:t>
      </w:r>
      <w:hyperlink w:anchor="ref-4">
        <w:r>
          <w:rPr>
            <w:rStyle w:val="Hyperlink"/>
          </w:rPr>
          <w:t xml:space="preserve">[4]</w:t>
        </w:r>
      </w:hyperlink>
      <w:r>
        <w:t xml:space="preserve"> </w:t>
      </w:r>
      <w:hyperlink w:anchor="ref-8">
        <w:r>
          <w:rPr>
            <w:rStyle w:val="Hyperlink"/>
          </w:rPr>
          <w:t xml:space="preserve">[8]</w:t>
        </w:r>
      </w:hyperlink>
      <w:r>
        <w:t xml:space="preserve">. A screening study that finds structure justifies the investment. A screening study that finds none saves it. Either outcome advances the program, which is why the design treats a null result as a real finding rather than a disappointment.</w:t>
      </w:r>
    </w:p>
    <w:p>
      <w:pPr>
        <w:pStyle w:val="BodyText"/>
        <w:spacing w:line="480" w:lineRule="auto"/>
        <w:ind w:firstLine="720"/>
      </w:pPr>
      <w:r>
        <w:t xml:space="preserve">This framing also sets expectations for the reader. The chapters that follow will report one clear result and several nulls, and the temptation with such a mix is to foreground the clear result and bury the nulls. The dissertation resists that temptation on principle. In a screening study, the nulls are half the map. They tell the successor design which channels are measurable now and which need better data, and that guidance is as valuable as any single significant coefficient</w:t>
      </w:r>
      <w:r>
        <w:t xml:space="preserve"> </w:t>
      </w:r>
      <w:hyperlink w:anchor="ref-2">
        <w:r>
          <w:rPr>
            <w:rStyle w:val="Hyperlink"/>
          </w:rPr>
          <w:t xml:space="preserve">[2]</w:t>
        </w:r>
      </w:hyperlink>
      <w:r>
        <w:t xml:space="preserve"> </w:t>
      </w:r>
      <w:hyperlink w:anchor="ref-5">
        <w:r>
          <w:rPr>
            <w:rStyle w:val="Hyperlink"/>
          </w:rPr>
          <w:t xml:space="preserve">[5]</w:t>
        </w:r>
      </w:hyperlink>
      <w:r>
        <w:t xml:space="preserve">. Reading the study as a map rather than a verdict is the interpretive stance the whole document asks the reader to adopt.</w:t>
      </w:r>
    </w:p>
    <w:bookmarkEnd w:id="68"/>
    <w:bookmarkStart w:id="69" w:name="an-objection-anticipated"/>
    <w:p>
      <w:pPr>
        <w:pStyle w:val="Heading2"/>
        <w:spacing w:line="480" w:lineRule="auto"/>
      </w:pPr>
      <w:r>
        <w:t xml:space="preserve">1.9 An objection anticipated</w:t>
      </w:r>
    </w:p>
    <w:p>
      <w:pPr>
        <w:pStyle w:val="FirstParagraph"/>
        <w:spacing w:line="480" w:lineRule="auto"/>
      </w:pPr>
      <w:r>
        <w:t xml:space="preserve">One objection is sharp enough to answer in the introduction rather than defer. A reader might say that studying documents about a phenomenon is a poor substitute for studying the phenomenon, and that a corpus screen risks measuring the discourse rather than the thing the discourse is about. The objection is fair, and the response is to concede its premise while denying its conclusion. The study does measure discourse, deliberately, because discourse is where a governance response first becomes observable, and because the object of interest here is precisely the political economy of attention and delay rather than the operational cadence itself</w:t>
      </w:r>
      <w:r>
        <w:t xml:space="preserve"> </w:t>
      </w:r>
      <w:hyperlink w:anchor="ref-3">
        <w:r>
          <w:rPr>
            <w:rStyle w:val="Hyperlink"/>
          </w:rPr>
          <w:t xml:space="preserve">[3]</w:t>
        </w:r>
      </w:hyperlink>
      <w:r>
        <w:t xml:space="preserve"> </w:t>
      </w:r>
      <w:hyperlink w:anchor="ref-7">
        <w:r>
          <w:rPr>
            <w:rStyle w:val="Hyperlink"/>
          </w:rPr>
          <w:t xml:space="preserve">[7]</w:t>
        </w:r>
      </w:hyperlink>
      <w:r>
        <w:t xml:space="preserve">. Measuring the discourse is not a fallback from measuring the phenomenon; for a political-economy question about how a concern is taken up, the discourse is the phenomenon.</w:t>
      </w:r>
    </w:p>
    <w:p>
      <w:pPr>
        <w:pStyle w:val="BodyText"/>
        <w:spacing w:line="480" w:lineRule="auto"/>
        <w:ind w:firstLine="720"/>
      </w:pPr>
      <w:r>
        <w:t xml:space="preserve">The objection does carry one valid warning, which the design absorbs. A discourse can be structured for reasons unrelated to the underlying concern, by publication convention, by which communities happen to be prolific, by how a local index records citations</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study cannot fully purge these confounds, and it says so wherever a coefficient might be reflecting convention rather than concern. Conceding that limit up front is part of keeping the contribution honest, and it is why the results chapter reads its one strong finding as suggestive of concentration rather than as proof of it</w:t>
      </w:r>
      <w:r>
        <w:t xml:space="preserve"> </w:t>
      </w:r>
      <w:hyperlink w:anchor="ref-5">
        <w:r>
          <w:rPr>
            <w:rStyle w:val="Hyperlink"/>
          </w:rPr>
          <w:t xml:space="preserve">[5]</w:t>
        </w:r>
      </w:hyperlink>
      <w:r>
        <w:t xml:space="preserve">.</w:t>
      </w:r>
    </w:p>
    <w:p>
      <w:pPr>
        <w:pStyle w:val="BodyText"/>
        <w:spacing w:line="480" w:lineRule="auto"/>
        <w:ind w:firstLine="720"/>
      </w:pPr>
      <w:r>
        <w:t xml:space="preserve">A final word on standards. The dissertation holds itself to a reproducibility criterion that is stricter than the norm in policy writing: every number in the results chapter must exist first in a workbook and only then in prose, and every source that supports a claim must be traceable to a record a reader can open</w:t>
      </w:r>
      <w:r>
        <w:t xml:space="preserve"> </w:t>
      </w:r>
      <w:hyperlink w:anchor="ref-1">
        <w:r>
          <w:rPr>
            <w:rStyle w:val="Hyperlink"/>
          </w:rPr>
          <w:t xml:space="preserve">[1]</w:t>
        </w:r>
      </w:hyperlink>
      <w:r>
        <w:t xml:space="preserve"> </w:t>
      </w:r>
      <w:hyperlink w:anchor="ref-6">
        <w:r>
          <w:rPr>
            <w:rStyle w:val="Hyperlink"/>
          </w:rPr>
          <w:t xml:space="preserve">[6]</w:t>
        </w:r>
      </w:hyperlink>
      <w:r>
        <w:t xml:space="preserve">. That criterion is demanding, and it constrains what the study can say. It also earns the study its credibility. A reader who accepts the criterion can check the work; a reader who rejects it can at least see exactly where to disagree. In a field crowded with unfalsifiable assertion, that transparency is the contribution the design most wants to make.</w:t>
      </w:r>
    </w:p>
    <w:p>
      <w:pPr>
        <w:pStyle w:val="BodyText"/>
        <w:spacing w:line="480" w:lineRule="auto"/>
        <w:ind w:firstLine="720"/>
      </w:pPr>
      <w:r>
        <w:t xml:space="preserve">The through-line is constant. A governance problem that becomes visible before institutions agree on a rule leaves a trace. This dissertation tests whether that trace is structured, reports the test honestly, and stops where the evidence stops. What follows is that test, built from thirty auditable records, two transparent estimators, and a reading rule fixed in advance, offered as a single falsifiable step toward understanding how the political economy of commercial cadence registers in the documentary record before any rule is written</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69"/>
    <w:bookmarkEnd w:id="70"/>
    <w:bookmarkStart w:id="79" w:name="X458352ef59bd678fc9bf8ae5d86103ac675302f"/>
    <w:p>
      <w:pPr>
        <w:pStyle w:val="Heading1"/>
        <w:spacing w:line="480" w:lineRule="auto"/>
      </w:pPr>
      <w:r>
        <w:t xml:space="preserve">Chapter 2: Situating the Problem in Prior Work</w:t>
      </w:r>
    </w:p>
    <w:p>
      <w:pPr>
        <w:pStyle w:val="FirstParagraph"/>
        <w:spacing w:line="480" w:lineRule="auto"/>
      </w:pPr>
      <w:r>
        <w:t xml:space="preserve">The literature this dissertation draws on divides into two conversations that seldom sit at the same table. One conversation is about the space domain itself: debris, traffic management, spectrum, servicing, and the commercial pressures reshaping all four. The other conversation is about measurement: how to turn documents, timing, and citation attention into variables that a claim can be tested against. The dissertation’s argument lives at the seam. It borrows the substantive vocabulary from the first conversation and the discipline from the second, and it insists that neither can stand alone.</w:t>
      </w:r>
    </w:p>
    <w:bookmarkStart w:id="71" w:name="X6fd8579dc4d57037be8ae14a8c7498af7e7036a"/>
    <w:p>
      <w:pPr>
        <w:pStyle w:val="Heading2"/>
        <w:spacing w:line="480" w:lineRule="auto"/>
      </w:pPr>
      <w:r>
        <w:t xml:space="preserve">2.1 The domain literature: why cadence became a governance problem</w:t>
      </w:r>
    </w:p>
    <w:p>
      <w:pPr>
        <w:pStyle w:val="FirstParagraph"/>
        <w:spacing w:line="480" w:lineRule="auto"/>
      </w:pPr>
      <w:r>
        <w:t xml:space="preserve">Commercial cadence did not become a governance concern in the abstract. It became one through a sequence of concrete operational pressures that the technical and policy literatures documented as they emerged. The debris problem is the clearest example. A memo on the space debris summit and active debris removal frames the issue as an operational emergency requiring coordinated institutional response, not merely a modeling curiosity</w:t>
      </w:r>
      <w:r>
        <w:t xml:space="preserve"> </w:t>
      </w:r>
      <w:hyperlink w:anchor="ref-1">
        <w:r>
          <w:rPr>
            <w:rStyle w:val="Hyperlink"/>
          </w:rPr>
          <w:t xml:space="preserve">[1]</w:t>
        </w:r>
      </w:hyperlink>
      <w:r>
        <w:t xml:space="preserve">. That framing matters for this project because it shows the arc the dissertation is trying to measure: a technical concern acquiring institutional weight, in the record, before any binding rule settles the matter.</w:t>
      </w:r>
    </w:p>
    <w:p>
      <w:pPr>
        <w:pStyle w:val="BodyText"/>
        <w:spacing w:line="480" w:lineRule="auto"/>
        <w:ind w:firstLine="720"/>
      </w:pPr>
      <w:r>
        <w:t xml:space="preserve">Debris also anchors the quantitative side of the domain. The development of reference scenarios and supporting inputs for space environment modeling assembles the shared inputs that let different groups reason about the same orbital future</w:t>
      </w:r>
      <w:r>
        <w:t xml:space="preserve"> </w:t>
      </w:r>
      <w:hyperlink w:anchor="ref-2">
        <w:r>
          <w:rPr>
            <w:rStyle w:val="Hyperlink"/>
          </w:rPr>
          <w:t xml:space="preserve">[2]</w:t>
        </w:r>
      </w:hyperlink>
      <w:r>
        <w:t xml:space="preserve">. The authorship of that work spans an aerospace corporation, several universities, and independent researchers, which is itself a signal. When a concern draws a broad, cross-institutional author base, it has moved past a single community’s preoccupation. The venue variable in this dissertation is designed to register exactly that kind of spread.</w:t>
      </w:r>
    </w:p>
    <w:p>
      <w:pPr>
        <w:pStyle w:val="BodyText"/>
        <w:spacing w:line="480" w:lineRule="auto"/>
        <w:ind w:firstLine="720"/>
      </w:pPr>
      <w:r>
        <w:t xml:space="preserve">Trust and coordination form a second thread. Decentralized space information sharing is argued to be a key enabler of trust and the preservation of the orbital environment, locating the governance problem not in any single regulator but in the architecture of who shares what with whom</w:t>
      </w:r>
      <w:r>
        <w:t xml:space="preserve"> </w:t>
      </w:r>
      <w:hyperlink w:anchor="ref-3">
        <w:r>
          <w:rPr>
            <w:rStyle w:val="Hyperlink"/>
          </w:rPr>
          <w:t xml:space="preserve">[3]</w:t>
        </w:r>
      </w:hyperlink>
      <w:r>
        <w:t xml:space="preserve">. That argument recurs in the claim that space sustainability and traffic management require trusted stakeholder coordination</w:t>
      </w:r>
      <w:r>
        <w:t xml:space="preserve"> </w:t>
      </w:r>
      <w:hyperlink w:anchor="ref-5">
        <w:r>
          <w:rPr>
            <w:rStyle w:val="Hyperlink"/>
          </w:rPr>
          <w:t xml:space="preserve">[5]</w:t>
        </w:r>
      </w:hyperlink>
      <w:r>
        <w:t xml:space="preserve">. Both works treat coordination itself as the scarce resource. For a study of how a topic distributes across venues and time, this is important context: coordination problems tend to surface first in policy-adjacent venues and only later in formal rulemaking, which is precisely the lag the dissertation treats as measurable.</w:t>
      </w:r>
    </w:p>
    <w:p>
      <w:pPr>
        <w:pStyle w:val="BodyText"/>
        <w:spacing w:line="480" w:lineRule="auto"/>
        <w:ind w:firstLine="720"/>
      </w:pPr>
      <w:r>
        <w:t xml:space="preserve">Supervision of commercial activity is a third thread, and it sharpens the cadence question. The design of a decision support system for continuing supervision of commercial in-space servicing confronts the reality that commercial operators now act faster than oversight can follow, and asks how supervision might be architected to keep pace</w:t>
      </w:r>
      <w:r>
        <w:t xml:space="preserve"> </w:t>
      </w:r>
      <w:hyperlink w:anchor="ref-8">
        <w:r>
          <w:rPr>
            <w:rStyle w:val="Hyperlink"/>
          </w:rPr>
          <w:t xml:space="preserve">[8]</w:t>
        </w:r>
      </w:hyperlink>
      <w:r>
        <w:t xml:space="preserve">. This is the cadence problem in miniature: capability outruns governance, and the record fills with proposals for how to close the gap before any single proposal is adopted.</w:t>
      </w:r>
    </w:p>
    <w:p>
      <w:pPr>
        <w:pStyle w:val="BodyText"/>
        <w:spacing w:line="480" w:lineRule="auto"/>
        <w:ind w:firstLine="720"/>
      </w:pPr>
      <w:r>
        <w:t xml:space="preserve">Space domain awareness supplies the observational substrate. A socio-technical configuration analysis of space objects treats awareness as a joint social and technical achievement rather than a purely sensor-driven one</w:t>
      </w:r>
      <w:r>
        <w:t xml:space="preserve"> </w:t>
      </w:r>
      <w:hyperlink w:anchor="ref-4">
        <w:r>
          <w:rPr>
            <w:rStyle w:val="Hyperlink"/>
          </w:rPr>
          <w:t xml:space="preserve">[4]</w:t>
        </w:r>
      </w:hyperlink>
      <w:r>
        <w:t xml:space="preserve">, while the fundamental role of wide-field imaging in space situational awareness grounds the same concern in instrument capability</w:t>
      </w:r>
      <w:r>
        <w:t xml:space="preserve"> </w:t>
      </w:r>
      <w:hyperlink w:anchor="ref-6">
        <w:r>
          <w:rPr>
            <w:rStyle w:val="Hyperlink"/>
          </w:rPr>
          <w:t xml:space="preserve">[6]</w:t>
        </w:r>
      </w:hyperlink>
      <w:r>
        <w:t xml:space="preserve">. These works matter to the dissertation less for their technical content than for their position in the record. They show that the domain’s evidentiary base is itself layered, from instruments to configurations to governance, and that a topic can be visible at one layer while still forming at another.</w:t>
      </w:r>
    </w:p>
    <w:bookmarkEnd w:id="71"/>
    <w:bookmarkStart w:id="72" w:name="Xbfc9ff6cfd32af13922dd8bead263cf2467d690"/>
    <w:p>
      <w:pPr>
        <w:pStyle w:val="Heading2"/>
        <w:spacing w:line="480" w:lineRule="auto"/>
      </w:pPr>
      <w:r>
        <w:t xml:space="preserve">2.2 The political economy of commercial space</w:t>
      </w:r>
    </w:p>
    <w:p>
      <w:pPr>
        <w:pStyle w:val="FirstParagraph"/>
        <w:spacing w:line="480" w:lineRule="auto"/>
      </w:pPr>
      <w:r>
        <w:t xml:space="preserve">The domain literature explains why cadence matters operationally. A second body of work explains why it matters politically and economically, and this is where the phrase political economy earns its place in the title. The competition for low-orbit broadband is framed as a high-stakes contest with national and commercial dimensions, where the pace of deployment is itself a strategic variable</w:t>
      </w:r>
      <w:r>
        <w:t xml:space="preserve"> </w:t>
      </w:r>
      <w:hyperlink w:anchor="ref-7">
        <w:r>
          <w:rPr>
            <w:rStyle w:val="Hyperlink"/>
          </w:rPr>
          <w:t xml:space="preserve">[7]</w:t>
        </w:r>
      </w:hyperlink>
      <w:r>
        <w:t xml:space="preserve">. Cadence, in that framing, is not a neutral engineering fact. It is a lever firms and states pull to establish position before rules crystallize.</w:t>
      </w:r>
    </w:p>
    <w:p>
      <w:pPr>
        <w:pStyle w:val="BodyText"/>
        <w:spacing w:line="480" w:lineRule="auto"/>
        <w:ind w:firstLine="720"/>
      </w:pPr>
      <w:r>
        <w:t xml:space="preserve">Comparative and national perspectives deepen the point. China’s emerging commercial space industry is analyzed through its current developments, its legislative challenges, and the regulatory solutions under debate, showing a state working out its governance posture while its commercial sector accelerates</w:t>
      </w:r>
      <w:r>
        <w:t xml:space="preserve"> </w:t>
      </w:r>
      <w:hyperlink w:anchor="ref-9">
        <w:r>
          <w:rPr>
            <w:rStyle w:val="Hyperlink"/>
          </w:rPr>
          <w:t xml:space="preserve">[9]</w:t>
        </w:r>
      </w:hyperlink>
      <w:r>
        <w:t xml:space="preserve">. The political history of space programs, examined through the case of Nakasone Yasuhiro and Japanese space policy, demonstrates that program direction has long been shaped by political actors as much as by technical necessity</w:t>
      </w:r>
      <w:r>
        <w:t xml:space="preserve"> </w:t>
      </w:r>
      <w:hyperlink w:anchor="ref-10">
        <w:r>
          <w:rPr>
            <w:rStyle w:val="Hyperlink"/>
          </w:rPr>
          <w:t xml:space="preserve">[10]</w:t>
        </w:r>
      </w:hyperlink>
      <w:r>
        <w:t xml:space="preserve">. These works establish that the cadence-governance gap is not a peculiarly American or peculiarly recent phenomenon. It is a recurring feature of how commercial and political space activity interact.</w:t>
      </w:r>
    </w:p>
    <w:p>
      <w:pPr>
        <w:pStyle w:val="BodyText"/>
        <w:spacing w:line="480" w:lineRule="auto"/>
        <w:ind w:firstLine="720"/>
      </w:pPr>
      <w:r>
        <w:t xml:space="preserve">Economic framing rounds out the strand. An overview of the new space economy and sustainability argues that commercial expansion and environmental stewardship are entangled rather than opposed</w:t>
      </w:r>
      <w:r>
        <w:t xml:space="preserve"> </w:t>
      </w:r>
      <w:hyperlink w:anchor="ref-11">
        <w:r>
          <w:rPr>
            <w:rStyle w:val="Hyperlink"/>
          </w:rPr>
          <w:t xml:space="preserve">[11]</w:t>
        </w:r>
      </w:hyperlink>
      <w:r>
        <w:t xml:space="preserve">, and a value assessment of commercial space stations for space and non-space users tries to price the benefits of an orbital economy that regulation has not yet fully defined</w:t>
      </w:r>
      <w:r>
        <w:t xml:space="preserve"> </w:t>
      </w:r>
      <w:hyperlink w:anchor="ref-14">
        <w:r>
          <w:rPr>
            <w:rStyle w:val="Hyperlink"/>
          </w:rPr>
          <w:t xml:space="preserve">[14]</w:t>
        </w:r>
      </w:hyperlink>
      <w:r>
        <w:t xml:space="preserve">. The question of how potential space resources markets should be evaluated pushes the same logic toward frontier activity where governance is thinnest</w:t>
      </w:r>
      <w:r>
        <w:t xml:space="preserve"> </w:t>
      </w:r>
      <w:hyperlink w:anchor="ref-12">
        <w:r>
          <w:rPr>
            <w:rStyle w:val="Hyperlink"/>
          </w:rPr>
          <w:t xml:space="preserve">[12]</w:t>
        </w:r>
      </w:hyperlink>
      <w:r>
        <w:t xml:space="preserve">. Each of these treats economic value as something that accrues in the gap between capability and rule, which is the gap this dissertation measures in documentary form.</w:t>
      </w:r>
    </w:p>
    <w:bookmarkEnd w:id="72"/>
    <w:bookmarkStart w:id="73" w:name="X694af67eb21a7980f7d6c5af5ee49705748d1f4"/>
    <w:p>
      <w:pPr>
        <w:pStyle w:val="Heading2"/>
        <w:spacing w:line="480" w:lineRule="auto"/>
      </w:pPr>
      <w:r>
        <w:t xml:space="preserve">2.3 The sustainability and transdisciplinary turn</w:t>
      </w:r>
    </w:p>
    <w:p>
      <w:pPr>
        <w:pStyle w:val="FirstParagraph"/>
        <w:spacing w:line="480" w:lineRule="auto"/>
      </w:pPr>
      <w:r>
        <w:t xml:space="preserve">A distinct line of work insists that the governance of commercial space cannot be reduced to engineering or economics alone. The intersection of space and sustainability is argued to require a transdisciplinary and bi-cultural approach, widening the frame to include perspectives that technical governance often omits</w:t>
      </w:r>
      <w:r>
        <w:t xml:space="preserve"> </w:t>
      </w:r>
      <w:hyperlink w:anchor="ref-13">
        <w:r>
          <w:rPr>
            <w:rStyle w:val="Hyperlink"/>
          </w:rPr>
          <w:t xml:space="preserve">[13]</w:t>
        </w:r>
      </w:hyperlink>
      <w:r>
        <w:t xml:space="preserve">. Micro-foundational studies of how firms choose between doing things right and doing the right things in Earth observation show that even at the level of a single product-service strategy, the tension between capability and responsibility is live</w:t>
      </w:r>
      <w:r>
        <w:t xml:space="preserve"> </w:t>
      </w:r>
      <w:hyperlink w:anchor="ref-16">
        <w:r>
          <w:rPr>
            <w:rStyle w:val="Hyperlink"/>
          </w:rPr>
          <w:t xml:space="preserve">[16]</w:t>
        </w:r>
      </w:hyperlink>
      <w:r>
        <w:t xml:space="preserve">. Mission-concept work such as the proposal for operational space weather detection and tracking using small spacecraft demonstrates how new capability continually reopens governance questions that older rules assumed settled</w:t>
      </w:r>
      <w:r>
        <w:t xml:space="preserve"> </w:t>
      </w:r>
      <w:hyperlink w:anchor="ref-15">
        <w:r>
          <w:rPr>
            <w:rStyle w:val="Hyperlink"/>
          </w:rPr>
          <w:t xml:space="preserve">[15]</w:t>
        </w:r>
      </w:hyperlink>
      <w:r>
        <w:t xml:space="preserve">.</w:t>
      </w:r>
    </w:p>
    <w:p>
      <w:pPr>
        <w:pStyle w:val="BodyText"/>
        <w:spacing w:line="480" w:lineRule="auto"/>
        <w:ind w:firstLine="720"/>
      </w:pPr>
      <w:r>
        <w:t xml:space="preserve">This turn matters to the dissertation’s method as much as its substance. If the topic genuinely spans technical, economic, and sustainability communities, its documentary trace should span venue families rather than concentrating in one. The venue-family variable is built to detect that spread, and the transdisciplinary literature is the reason the design expects spread to be meaningful when it appears</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w:t>
      </w:r>
    </w:p>
    <w:bookmarkEnd w:id="73"/>
    <w:bookmarkStart w:id="74" w:name="the-measurement-gap"/>
    <w:p>
      <w:pPr>
        <w:pStyle w:val="Heading2"/>
        <w:spacing w:line="480" w:lineRule="auto"/>
      </w:pPr>
      <w:r>
        <w:t xml:space="preserve">2.4 The measurement gap</w:t>
      </w:r>
    </w:p>
    <w:p>
      <w:pPr>
        <w:pStyle w:val="FirstParagraph"/>
        <w:spacing w:line="480" w:lineRule="auto"/>
      </w:pPr>
      <w:r>
        <w:t xml:space="preserve">Across all three strands, a common limitation recurs. The domain and political-economy literatures are rich in claims about salience, urgency, and rising attention, but they rarely convert those claims into anything a reader could test and potentially reject. Salience is asserted through selection and emphasis. That is a legitimate scholarly move, and the works cited here do it well. It is not, however, a measurement.</w:t>
      </w:r>
    </w:p>
    <w:p>
      <w:pPr>
        <w:pStyle w:val="BodyText"/>
        <w:spacing w:line="480" w:lineRule="auto"/>
        <w:ind w:firstLine="720"/>
      </w:pPr>
      <w:r>
        <w:t xml:space="preserve">The first part of the gap is between technical description and institutional explanation. A source can document that debris is dangerous or that servicing is outpacing oversight without explaining why governance language hardens in one case and stays loose in another</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second part is between salience and its measurement. Recency, citation attention, and venue family plainly carry information about how a topic sits in a corpus, yet that information is seldom extracted as a variable and tested against a null</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74"/>
    <w:bookmarkStart w:id="75" w:name="X856d3e6082922e18efc80c5b568272210ae7c7c"/>
    <w:p>
      <w:pPr>
        <w:pStyle w:val="Heading2"/>
        <w:spacing w:line="480" w:lineRule="auto"/>
      </w:pPr>
      <w:r>
        <w:t xml:space="preserve">2.5 How bibliometric signals have been read before</w:t>
      </w:r>
    </w:p>
    <w:p>
      <w:pPr>
        <w:pStyle w:val="FirstParagraph"/>
        <w:spacing w:line="480" w:lineRule="auto"/>
      </w:pPr>
      <w:r>
        <w:t xml:space="preserve">The three observable features this dissertation measures, recency, citation attention, and venue, are not novel choices. They are the standard vocabulary of anyone who has tried to read a literature’s shape from its metadata, and the domain sources themselves model that reading even when they do not formalize it. When the reference-scenario work assembles inputs from a broad author base spanning corporations, universities, and independent researchers, it is implicitly treating breadth of participation as a signal of a topic’s maturity</w:t>
      </w:r>
      <w:r>
        <w:t xml:space="preserve"> </w:t>
      </w:r>
      <w:hyperlink w:anchor="ref-2">
        <w:r>
          <w:rPr>
            <w:rStyle w:val="Hyperlink"/>
          </w:rPr>
          <w:t xml:space="preserve">[2]</w:t>
        </w:r>
      </w:hyperlink>
      <w:r>
        <w:t xml:space="preserve">. When the socio-technical configuration analysis positions space domain awareness as a joint achievement of many communities, it is implicitly treating cross-community engagement as evidence that a concern has consolidated</w:t>
      </w:r>
      <w:r>
        <w:t xml:space="preserve"> </w:t>
      </w:r>
      <w:hyperlink w:anchor="ref-4">
        <w:r>
          <w:rPr>
            <w:rStyle w:val="Hyperlink"/>
          </w:rPr>
          <w:t xml:space="preserve">[4]</w:t>
        </w:r>
      </w:hyperlink>
      <w:r>
        <w:t xml:space="preserve">. This dissertation makes that implicit reading explicit and testable.</w:t>
      </w:r>
    </w:p>
    <w:p>
      <w:pPr>
        <w:pStyle w:val="BodyText"/>
        <w:spacing w:line="480" w:lineRule="auto"/>
        <w:ind w:firstLine="720"/>
      </w:pPr>
      <w:r>
        <w:t xml:space="preserve">Recency carries a particular meaning in a fast-moving domain. Space governance concerns can age quickly: a rule proposed against one generation of capability can be obsolete against the next, as the small-spacecraft space-weather mission concept illustrates when it reopens questions older frameworks assumed closed</w:t>
      </w:r>
      <w:r>
        <w:t xml:space="preserve"> </w:t>
      </w:r>
      <w:hyperlink w:anchor="ref-15">
        <w:r>
          <w:rPr>
            <w:rStyle w:val="Hyperlink"/>
          </w:rPr>
          <w:t xml:space="preserve">[15]</w:t>
        </w:r>
      </w:hyperlink>
      <w:r>
        <w:t xml:space="preserve">. A recency skew in a topic’s documentary trace therefore plausibly indicates a live, still-forming concern rather than a settled one. The recency index is built to detect that skew, and the domain literature’s own preoccupation with staying current is the reason the design expects recency to be informative when it is present</w:t>
      </w:r>
      <w:r>
        <w:t xml:space="preserve"> </w:t>
      </w:r>
      <w:hyperlink w:anchor="ref-4">
        <w:r>
          <w:rPr>
            <w:rStyle w:val="Hyperlink"/>
          </w:rPr>
          <w:t xml:space="preserve">[4]</w:t>
        </w:r>
      </w:hyperlink>
      <w:r>
        <w:t xml:space="preserve">.</w:t>
      </w:r>
    </w:p>
    <w:p>
      <w:pPr>
        <w:pStyle w:val="BodyText"/>
        <w:spacing w:line="480" w:lineRule="auto"/>
        <w:ind w:firstLine="720"/>
      </w:pPr>
      <w:r>
        <w:t xml:space="preserve">Citation attention has a more contested meaning, and the prior work is instructive about why. Citations accrue for many reasons, prominence, accessibility, age, controversy, and not all of them track substantive importance</w:t>
      </w:r>
      <w:r>
        <w:t xml:space="preserve"> </w:t>
      </w:r>
      <w:hyperlink w:anchor="ref-2">
        <w:r>
          <w:rPr>
            <w:rStyle w:val="Hyperlink"/>
          </w:rPr>
          <w:t xml:space="preserve">[2]</w:t>
        </w:r>
      </w:hyperlink>
      <w:r>
        <w:t xml:space="preserve"> </w:t>
      </w:r>
      <w:hyperlink w:anchor="ref-6">
        <w:r>
          <w:rPr>
            <w:rStyle w:val="Hyperlink"/>
          </w:rPr>
          <w:t xml:space="preserve">[6]</w:t>
        </w:r>
      </w:hyperlink>
      <w:r>
        <w:t xml:space="preserve">. A concern can be urgent and under-cited if it is new, or heavily cited and stale if it once dominated a field. The design treats citation attention as a proxy that must be read alongside recency rather than on its own, precisely because the domain literature demonstrates how loosely attention and importance can couple. That caution is built into the interpretation, not bolted on afterward.</w:t>
      </w:r>
    </w:p>
    <w:p>
      <w:pPr>
        <w:pStyle w:val="BodyText"/>
        <w:spacing w:line="480" w:lineRule="auto"/>
        <w:ind w:firstLine="720"/>
      </w:pPr>
      <w:r>
        <w:t xml:space="preserve">Venue is the feature the domain literature makes most legible. The sources cluster into recognizable families: space surveillance proceedings, Acta Astronautica journal articles, and economics-oriented writing on the space economy</w:t>
      </w:r>
      <w:r>
        <w:t xml:space="preserve"> </w:t>
      </w:r>
      <w:hyperlink w:anchor="ref-1">
        <w:r>
          <w:rPr>
            <w:rStyle w:val="Hyperlink"/>
          </w:rPr>
          <w:t xml:space="preserve">[1]</w:t>
        </w:r>
      </w:hyperlink>
      <w:r>
        <w:t xml:space="preserve"> </w:t>
      </w:r>
      <w:hyperlink w:anchor="ref-11">
        <w:r>
          <w:rPr>
            <w:rStyle w:val="Hyperlink"/>
          </w:rPr>
          <w:t xml:space="preserve">[11]</w:t>
        </w:r>
      </w:hyperlink>
      <w:r>
        <w:t xml:space="preserve"> </w:t>
      </w:r>
      <w:hyperlink w:anchor="ref-14">
        <w:r>
          <w:rPr>
            <w:rStyle w:val="Hyperlink"/>
          </w:rPr>
          <w:t xml:space="preserve">[14]</w:t>
        </w:r>
      </w:hyperlink>
      <w:r>
        <w:t xml:space="preserve">. A concern that lives in only one family reads differently from a concern that has spread across all three. The transdisciplinary literature makes the point sharply: a topic that has genuinely become a political-economy problem should appear in economic venues, and its absence there is itself a signal</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 The venue variable is the design’s instrument for reading that spread, and the reason it turns out to be the study’s load-bearing measurement is foreshadowed by how clearly the prior work separates into venue families.</w:t>
      </w:r>
    </w:p>
    <w:bookmarkEnd w:id="75"/>
    <w:bookmarkStart w:id="76" w:name="X19a0798006563557e08d0653e2f69ef3127ad7f"/>
    <w:p>
      <w:pPr>
        <w:pStyle w:val="Heading2"/>
        <w:spacing w:line="480" w:lineRule="auto"/>
      </w:pPr>
      <w:r>
        <w:t xml:space="preserve">2.6 What remains unmeasured in the prior work</w:t>
      </w:r>
    </w:p>
    <w:p>
      <w:pPr>
        <w:pStyle w:val="FirstParagraph"/>
        <w:spacing w:line="480" w:lineRule="auto"/>
      </w:pPr>
      <w:r>
        <w:t xml:space="preserve">Even the most quantitative domain sources leave a specific thing unmeasured: whether their own topic’s salience is structured or merely asserted. The reference-scenario work models the orbital environment rigorously but does not model its own place in the literature</w:t>
      </w:r>
      <w:r>
        <w:t xml:space="preserve"> </w:t>
      </w:r>
      <w:hyperlink w:anchor="ref-2">
        <w:r>
          <w:rPr>
            <w:rStyle w:val="Hyperlink"/>
          </w:rPr>
          <w:t xml:space="preserve">[2]</w:t>
        </w:r>
      </w:hyperlink>
      <w:r>
        <w:t xml:space="preserve">. The information-sharing and coordination arguments make a compelling case for why trust matters but do not test whether the trust concern is distributed across the record in a measurable pattern</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supervision and decision-support work designs systems for oversight without asking whether the supervision concern has consolidated across communities</w:t>
      </w:r>
      <w:r>
        <w:t xml:space="preserve"> </w:t>
      </w:r>
      <w:hyperlink w:anchor="ref-8">
        <w:r>
          <w:rPr>
            <w:rStyle w:val="Hyperlink"/>
          </w:rPr>
          <w:t xml:space="preserve">[8]</w:t>
        </w:r>
      </w:hyperlink>
      <w:r>
        <w:t xml:space="preserve">. These are not omissions to criticize. They are simply outside each work’s purpose.</w:t>
      </w:r>
    </w:p>
    <w:p>
      <w:pPr>
        <w:pStyle w:val="BodyText"/>
        <w:spacing w:line="480" w:lineRule="auto"/>
        <w:ind w:firstLine="720"/>
      </w:pPr>
      <w:r>
        <w:t xml:space="preserve">The consequence is a clean opening. No source in the pool tests whether the commercial-cadence concern is structured in the documentary record, because none was built to. The political-economy and sustainability strands assert salience through argument and selection</w:t>
      </w:r>
      <w:r>
        <w:t xml:space="preserve"> </w:t>
      </w:r>
      <w:hyperlink w:anchor="ref-7">
        <w:r>
          <w:rPr>
            <w:rStyle w:val="Hyperlink"/>
          </w:rPr>
          <w:t xml:space="preserve">[7]</w:t>
        </w:r>
      </w:hyperlink>
      <w:r>
        <w:t xml:space="preserve"> </w:t>
      </w:r>
      <w:hyperlink w:anchor="ref-9">
        <w:r>
          <w:rPr>
            <w:rStyle w:val="Hyperlink"/>
          </w:rPr>
          <w:t xml:space="preserve">[9]</w:t>
        </w:r>
      </w:hyperlink>
      <w:r>
        <w:t xml:space="preserve"> </w:t>
      </w:r>
      <w:hyperlink w:anchor="ref-13">
        <w:r>
          <w:rPr>
            <w:rStyle w:val="Hyperlink"/>
          </w:rPr>
          <w:t xml:space="preserve">[13]</w:t>
        </w:r>
      </w:hyperlink>
      <w:r>
        <w:t xml:space="preserve">; the technical strands establish operational reality</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and the economic strand prices value in the governance gap</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4">
        <w:r>
          <w:rPr>
            <w:rStyle w:val="Hyperlink"/>
          </w:rPr>
          <w:t xml:space="preserve">[14]</w:t>
        </w:r>
      </w:hyperlink>
      <w:r>
        <w:t xml:space="preserve">. What is missing across all of them is the measurement step, the conversion of asserted salience into a coefficient that could come out zero. This dissertation supplies that step, and the rest of the document is the demonstration that supplying it is both possible and disciplined</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76"/>
    <w:bookmarkStart w:id="77" w:name="the-economic-strand-as-the-missing-venue"/>
    <w:p>
      <w:pPr>
        <w:pStyle w:val="Heading2"/>
        <w:spacing w:line="480" w:lineRule="auto"/>
      </w:pPr>
      <w:r>
        <w:t xml:space="preserve">2.7 The economic strand as the missing venue</w:t>
      </w:r>
    </w:p>
    <w:p>
      <w:pPr>
        <w:pStyle w:val="FirstParagraph"/>
        <w:spacing w:line="480" w:lineRule="auto"/>
      </w:pPr>
      <w:r>
        <w:t xml:space="preserve">The economic literature on space deserves separate treatment, because its position in the corpus is what gives the venue finding its meaning. Work on the new space economy and sustainability treats commercial expansion as inseparable from environmental and governance stakes, arguing that value and responsibility co-evolve rather than trade off cleanly</w:t>
      </w:r>
      <w:r>
        <w:t xml:space="preserve"> </w:t>
      </w:r>
      <w:hyperlink w:anchor="ref-11">
        <w:r>
          <w:rPr>
            <w:rStyle w:val="Hyperlink"/>
          </w:rPr>
          <w:t xml:space="preserve">[11]</w:t>
        </w:r>
      </w:hyperlink>
      <w:r>
        <w:t xml:space="preserve">. The value assessment of commercial space stations extends this by pricing benefits for space and non-space users alike, showing an orbital economy whose worth is being estimated even before its governance is settled</w:t>
      </w:r>
      <w:r>
        <w:t xml:space="preserve"> </w:t>
      </w:r>
      <w:hyperlink w:anchor="ref-14">
        <w:r>
          <w:rPr>
            <w:rStyle w:val="Hyperlink"/>
          </w:rPr>
          <w:t xml:space="preserve">[14]</w:t>
        </w:r>
      </w:hyperlink>
      <w:r>
        <w:t xml:space="preserve">. The evaluation of potential space resources markets pushes furthest, into frontier activity where rules are thinnest and economic reasoning has to substitute for regulation</w:t>
      </w:r>
      <w:r>
        <w:t xml:space="preserve"> </w:t>
      </w:r>
      <w:hyperlink w:anchor="ref-12">
        <w:r>
          <w:rPr>
            <w:rStyle w:val="Hyperlink"/>
          </w:rPr>
          <w:t xml:space="preserve">[12]</w:t>
        </w:r>
      </w:hyperlink>
      <w:r>
        <w:t xml:space="preserve">.</w:t>
      </w:r>
    </w:p>
    <w:p>
      <w:pPr>
        <w:pStyle w:val="BodyText"/>
        <w:spacing w:line="480" w:lineRule="auto"/>
        <w:ind w:firstLine="720"/>
      </w:pPr>
      <w:r>
        <w:t xml:space="preserve">These works matter to the dissertation not only for their content but for their scarcity in the corpus. If commercial cadence were a fully consolidated political-economy concern, the economic venues would be dense with it, and the venue variable would show the topic distributed evenly across families. The relative thinness of the economic strand, foreshadowed here and confirmed in the results, is itself the finding</w:t>
      </w:r>
      <w:r>
        <w:t xml:space="preserve"> </w:t>
      </w:r>
      <w:hyperlink w:anchor="ref-3">
        <w:r>
          <w:rPr>
            <w:rStyle w:val="Hyperlink"/>
          </w:rPr>
          <w:t xml:space="preserve">[3]</w:t>
        </w:r>
      </w:hyperlink>
      <w:r>
        <w:t xml:space="preserve"> </w:t>
      </w:r>
      <w:hyperlink w:anchor="ref-11">
        <w:r>
          <w:rPr>
            <w:rStyle w:val="Hyperlink"/>
          </w:rPr>
          <w:t xml:space="preserve">[11]</w:t>
        </w:r>
      </w:hyperlink>
      <w:r>
        <w:t xml:space="preserve">. A concern that operators and policy analysts discuss intensely, but that economists have engaged only lightly, is a concern whose economic stakes are recognized in principle and under-examined in practice. The literature review thus sets up an expectation the data later meet: the topic lives where it began and has not yet claimed the economic venue it would need to become a fully political-economy problem</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w:t>
      </w:r>
    </w:p>
    <w:bookmarkEnd w:id="77"/>
    <w:bookmarkStart w:id="78" w:name="positioning-the-contribution"/>
    <w:p>
      <w:pPr>
        <w:pStyle w:val="Heading2"/>
        <w:spacing w:line="480" w:lineRule="auto"/>
      </w:pPr>
      <w:r>
        <w:t xml:space="preserve">2.8 Positioning the contribution</w:t>
      </w:r>
    </w:p>
    <w:p>
      <w:pPr>
        <w:pStyle w:val="FirstParagraph"/>
        <w:spacing w:line="480" w:lineRule="auto"/>
      </w:pPr>
      <w:r>
        <w:t xml:space="preserve">Against this backdrop the dissertation’s contribution locates itself precisely. It does not add another domain argument for why commercial cadence matters; the domain strand already establishes that</w:t>
      </w:r>
      <w:r>
        <w:t xml:space="preserve"> </w:t>
      </w:r>
      <w:hyperlink w:anchor="ref-1">
        <w:r>
          <w:rPr>
            <w:rStyle w:val="Hyperlink"/>
          </w:rPr>
          <w:t xml:space="preserve">[1]</w:t>
        </w:r>
      </w:hyperlink>
      <w:r>
        <w:t xml:space="preserve"> </w:t>
      </w:r>
      <w:hyperlink w:anchor="ref-7">
        <w:r>
          <w:rPr>
            <w:rStyle w:val="Hyperlink"/>
          </w:rPr>
          <w:t xml:space="preserve">[7]</w:t>
        </w:r>
      </w:hyperlink>
      <w:r>
        <w:t xml:space="preserve">. It does not add another economic assessment of space commerce; the economic strand already begins that</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It adds the measurement step that neither strand performs on itself: a test of whether the concern’s asserted salience is structured in the record, reported so that the test could have failed</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prior work supplies the concepts, the vocabulary, and the venue families; the dissertation supplies the estimator that asks whether those elements cohere into detectable structure.</w:t>
      </w:r>
    </w:p>
    <w:p>
      <w:pPr>
        <w:pStyle w:val="BodyText"/>
        <w:spacing w:line="480" w:lineRule="auto"/>
        <w:ind w:firstLine="720"/>
      </w:pPr>
      <w:r>
        <w:t xml:space="preserve">This positioning is deliberately narrow, and the narrowness is the point. A broad synthesis of the space governance literature would be valuable but unfalsifiable, another confident reading among many</w:t>
      </w:r>
      <w:r>
        <w:t xml:space="preserve"> </w:t>
      </w:r>
      <w:hyperlink w:anchor="ref-9">
        <w:r>
          <w:rPr>
            <w:rStyle w:val="Hyperlink"/>
          </w:rPr>
          <w:t xml:space="preserve">[9]</w:t>
        </w:r>
      </w:hyperlink>
      <w:r>
        <w:t xml:space="preserve"> </w:t>
      </w:r>
      <w:hyperlink w:anchor="ref-13">
        <w:r>
          <w:rPr>
            <w:rStyle w:val="Hyperlink"/>
          </w:rPr>
          <w:t xml:space="preserve">[13]</w:t>
        </w:r>
      </w:hyperlink>
      <w:r>
        <w:t xml:space="preserve">. A single falsifiable screen, tightly scoped to what thirty auditable records can support, offers something the syntheses cannot: a claim a skeptic can check and reject</w:t>
      </w:r>
      <w:r>
        <w:t xml:space="preserve"> </w:t>
      </w:r>
      <w:hyperlink w:anchor="ref-6">
        <w:r>
          <w:rPr>
            <w:rStyle w:val="Hyperlink"/>
          </w:rPr>
          <w:t xml:space="preserve">[6]</w:t>
        </w:r>
      </w:hyperlink>
      <w:r>
        <w:t xml:space="preserve">. The chapters that follow build that screen from the concepts this review has assembled, and they hold it to the reproducibility standard the prior work, through no fault of its own, was never designed to meet</w:t>
      </w:r>
      <w:r>
        <w:t xml:space="preserve"> </w:t>
      </w:r>
      <w:hyperlink w:anchor="ref-8">
        <w:r>
          <w:rPr>
            <w:rStyle w:val="Hyperlink"/>
          </w:rPr>
          <w:t xml:space="preserve">[8]</w:t>
        </w:r>
      </w:hyperlink>
      <w:r>
        <w:t xml:space="preserve">.</w:t>
      </w:r>
    </w:p>
    <w:p>
      <w:pPr>
        <w:pStyle w:val="BodyText"/>
        <w:spacing w:line="480" w:lineRule="auto"/>
        <w:ind w:firstLine="720"/>
      </w:pPr>
      <w:r>
        <w:t xml:space="preserve">A final observation ties the strands together. Across the domain, political-economy, and sustainability literatures, the works that come closest to measurement, the reference-scenario inputs, the configuration analysis, the value assessments, all stop at the edge of testing their own field’s structure, treating the topic’s importance as established context rather than as a hypothesis</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14">
        <w:r>
          <w:rPr>
            <w:rStyle w:val="Hyperlink"/>
          </w:rPr>
          <w:t xml:space="preserve">[14]</w:t>
        </w:r>
      </w:hyperlink>
      <w:r>
        <w:t xml:space="preserve">. That shared stopping point is not a weakness in any single work; it is the boundary of a division of labor that has left one specific task undone. The dissertation takes up that task, and takes it up narrowly, so that the one thing it adds is done with the rigor the prior work reserves for its own core questions</w:t>
      </w:r>
      <w:r>
        <w:t xml:space="preserve"> </w:t>
      </w:r>
      <w:hyperlink w:anchor="ref-5">
        <w:r>
          <w:rPr>
            <w:rStyle w:val="Hyperlink"/>
          </w:rPr>
          <w:t xml:space="preserve">[5]</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This dissertation does not fault the prior work for the gap. The gap is a division of labor. Domain authors establish that the topic is real and important; a measurement design has to establish, separately, whether the topic’s importance shows up as structure in the record. The contribution here is to build the bridge deliberately: retrieved sources become rows, observable fields become variables, and interpretation stays tethered to estimator output</w:t>
      </w:r>
      <w:r>
        <w:t xml:space="preserve"> </w:t>
      </w:r>
      <w:hyperlink w:anchor="ref-5">
        <w:r>
          <w:rPr>
            <w:rStyle w:val="Hyperlink"/>
          </w:rPr>
          <w:t xml:space="preserve">[5]</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review has done three things. It has established, through the domain and political-economy strands, that commercial cadence is a real and consequential concern</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9">
        <w:r>
          <w:rPr>
            <w:rStyle w:val="Hyperlink"/>
          </w:rPr>
          <w:t xml:space="preserve">[9]</w:t>
        </w:r>
      </w:hyperlink>
      <w:r>
        <w:t xml:space="preserve">. It has shown, through the venue families and the transdisciplinary strand, that the concern’s documentary trace should distribute across communities if it has genuinely consolidated</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And it has located, through the shared stopping point of even the most quantitative sources, the specific measurement task none of them performs</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chapters that follow specify the mechanism that would produce such structure, the estimators that would detect it, and the exact results those estimators return.</w:t>
      </w:r>
    </w:p>
    <w:bookmarkEnd w:id="78"/>
    <w:bookmarkEnd w:id="79"/>
    <w:bookmarkStart w:id="89" w:name="chapter-3-theory-and-hypotheses"/>
    <w:p>
      <w:pPr>
        <w:pStyle w:val="Heading1"/>
        <w:spacing w:line="480" w:lineRule="auto"/>
      </w:pPr>
      <w:r>
        <w:t xml:space="preserve">Chapter 3: Theory and Hypotheses</w:t>
      </w:r>
    </w:p>
    <w:p>
      <w:pPr>
        <w:pStyle w:val="FirstParagraph"/>
        <w:spacing w:line="480" w:lineRule="auto"/>
      </w:pPr>
      <w:r>
        <w:t xml:space="preserve">A test needs a theory of why it should work. This chapter supplies one. The claim is simple to state and easy to underestimate: if a governance concern is genuinely rising, its rise should deposit structure in the documentary record, and that structure should be detectable in three observable features of retrieved sources. The chapter builds the mechanism that would produce such structure, states the two hypotheses that follow from it, and names the rival explanations that could produce the same pattern for the wrong reasons.</w:t>
      </w:r>
    </w:p>
    <w:bookmarkStart w:id="80" w:name="the-mechanism"/>
    <w:p>
      <w:pPr>
        <w:pStyle w:val="Heading2"/>
        <w:spacing w:line="480" w:lineRule="auto"/>
      </w:pPr>
      <w:r>
        <w:t xml:space="preserve">3.1 The mechanism</w:t>
      </w:r>
    </w:p>
    <w:p>
      <w:pPr>
        <w:pStyle w:val="FirstParagraph"/>
        <w:spacing w:line="480" w:lineRule="auto"/>
      </w:pPr>
      <w:r>
        <w:t xml:space="preserve">Start with the behavior of authors and communities. When a concern becomes consequential, more people write about it, they write about it more recently, and their work draws more citation attention as others build on it. A rising concern also migrates: it begins in a technical or policy venue and, if it matters economically, appears later in economic venues</w:t>
      </w:r>
      <w:r>
        <w:t xml:space="preserve"> </w:t>
      </w:r>
      <w:hyperlink w:anchor="ref-7">
        <w:r>
          <w:rPr>
            <w:rStyle w:val="Hyperlink"/>
          </w:rPr>
          <w:t xml:space="preserve">[7]</w:t>
        </w:r>
      </w:hyperlink>
      <w:r>
        <w:t xml:space="preserve"> </w:t>
      </w:r>
      <w:hyperlink w:anchor="ref-11">
        <w:r>
          <w:rPr>
            <w:rStyle w:val="Hyperlink"/>
          </w:rPr>
          <w:t xml:space="preserve">[11]</w:t>
        </w:r>
      </w:hyperlink>
      <w:r>
        <w:t xml:space="preserve">. These are not laws. They are tendencies rooted in how research communities allocate attention. The mechanism this dissertation posits is that those tendencies, aggregated across a corpus, leave a signature that can be measured.</w:t>
      </w:r>
    </w:p>
    <w:p>
      <w:pPr>
        <w:pStyle w:val="BodyText"/>
        <w:spacing w:line="480" w:lineRule="auto"/>
        <w:ind w:firstLine="720"/>
      </w:pPr>
      <w:r>
        <w:t xml:space="preserve">The signature has three legs. Recency captures whether the topic is a current preoccupation or a settled one. A concern still forming should skew toward recent publication, because forming concerns generate a burst of new work</w:t>
      </w:r>
      <w:r>
        <w:t xml:space="preserve"> </w:t>
      </w:r>
      <w:hyperlink w:anchor="ref-4">
        <w:r>
          <w:rPr>
            <w:rStyle w:val="Hyperlink"/>
          </w:rPr>
          <w:t xml:space="preserve">[4]</w:t>
        </w:r>
      </w:hyperlink>
      <w:r>
        <w:t xml:space="preserve"> </w:t>
      </w:r>
      <w:hyperlink w:anchor="ref-15">
        <w:r>
          <w:rPr>
            <w:rStyle w:val="Hyperlink"/>
          </w:rPr>
          <w:t xml:space="preserve">[15]</w:t>
        </w:r>
      </w:hyperlink>
      <w:r>
        <w:t xml:space="preserve">. Citation attention captures depth of engagement. A topic that others are building on accumulates citations; a topic mentioned once and dropped does not</w:t>
      </w:r>
      <w:r>
        <w:t xml:space="preserve"> </w:t>
      </w:r>
      <w:hyperlink w:anchor="ref-2">
        <w:r>
          <w:rPr>
            <w:rStyle w:val="Hyperlink"/>
          </w:rPr>
          <w:t xml:space="preserve">[2]</w:t>
        </w:r>
      </w:hyperlink>
      <w:r>
        <w:t xml:space="preserve">. Venue family captures breadth. A concern confined to a single community sits in one venue family; a concern that has spread across technical, policy, and economic communities sits across several</w:t>
      </w:r>
      <w:r>
        <w:t xml:space="preserve"> </w:t>
      </w:r>
      <w:hyperlink w:anchor="ref-3">
        <w:r>
          <w:rPr>
            <w:rStyle w:val="Hyperlink"/>
          </w:rPr>
          <w:t xml:space="preserve">[3]</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mechanism also predicts what absence looks like. If the topic is not genuinely rising, if its salience is an artifact of selective reading rather than community behavior, then these three features should not cohere. Recency, attention, and venue should vary independently of the topic signal, and the estimators should return weak, unstable associations. The design is built so that this null outcome is fully interpretable rather than a failure. A weak result is evidence that the strong claim cannot yet be sustained from the record</w:t>
      </w:r>
      <w:r>
        <w:t xml:space="preserve"> </w:t>
      </w:r>
      <w:hyperlink w:anchor="ref-5">
        <w:r>
          <w:rPr>
            <w:rStyle w:val="Hyperlink"/>
          </w:rPr>
          <w:t xml:space="preserve">[5]</w:t>
        </w:r>
      </w:hyperlink>
      <w:r>
        <w:t xml:space="preserve">.</w:t>
      </w:r>
    </w:p>
    <w:bookmarkEnd w:id="80"/>
    <w:bookmarkStart w:id="81" w:name="from-mechanism-to-measurement"/>
    <w:p>
      <w:pPr>
        <w:pStyle w:val="Heading2"/>
        <w:spacing w:line="480" w:lineRule="auto"/>
      </w:pPr>
      <w:r>
        <w:t xml:space="preserve">3.2 From mechanism to measurement</w:t>
      </w:r>
    </w:p>
    <w:p>
      <w:pPr>
        <w:pStyle w:val="FirstParagraph"/>
        <w:spacing w:line="480" w:lineRule="auto"/>
      </w:pPr>
      <w:r>
        <w:t xml:space="preserve">Turning the mechanism into a test requires committing to a measured outcome. The dissertation uses a composite topic-signal score, a deterministic count of how strongly a source’s title, snippet, keywords, and author metadata match the candidate theme. The score is not a judgment about a source’s quality or importance. It is a count of topical fit, and its virtue is that any reader can reconstruct it from the same fields.</w:t>
      </w:r>
    </w:p>
    <w:p>
      <w:pPr>
        <w:pStyle w:val="BodyText"/>
        <w:spacing w:line="480" w:lineRule="auto"/>
        <w:ind w:firstLine="720"/>
      </w:pPr>
      <w:r>
        <w:t xml:space="preserve">The mechanism then makes predictions about how this score should relate to the three features. If the concern is rising, sources with higher topic-signal scores should tend to be more recent, should tend to carry more citation attention, and should distribute across venue families reflecting the topic’s spread. Each prediction is directional and each is testable. The design deliberately keeps the outcome and predictors observable, so that the theory can be confronted with numbers rather than with more prose</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There is a second measured question the mechanism raises. Cross-sectional structure tells us whether the topic is present and shaped at one moment. It does not tell us whether the field is accumulating attention over time. A rising concern should show accumulation: older records, having had more time to be cited, should carry more citation attention, tracing a learning curve of attention against age. This is a distinct prediction from the cross-sectional one, and it requires a distinct model</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81"/>
    <w:bookmarkStart w:id="82" w:name="the-hypotheses"/>
    <w:p>
      <w:pPr>
        <w:pStyle w:val="Heading2"/>
        <w:spacing w:line="480" w:lineRule="auto"/>
      </w:pPr>
      <w:r>
        <w:t xml:space="preserve">3.3 The hypotheses</w:t>
      </w:r>
    </w:p>
    <w:p>
      <w:pPr>
        <w:pStyle w:val="FirstParagraph"/>
        <w:spacing w:line="480" w:lineRule="auto"/>
      </w:pPr>
      <w:r>
        <w:t xml:space="preserve">Two hypotheses follow, one per estimator.</w:t>
      </w:r>
    </w:p>
    <w:p>
      <w:pPr>
        <w:pStyle w:val="BodyText"/>
        <w:spacing w:line="480" w:lineRule="auto"/>
        <w:ind w:firstLine="720"/>
      </w:pPr>
      <w:r>
        <w:t xml:space="preserve">The first concerns cross-sectional structure. The null holds that the topic-signal score is unrelated to publication recency, citation attention, and venue family. The alternative holds that the topic-signal score is systematically related to these features, with the mechanism predicting that signal rises with recency and with citation attention. This hypothesis is carried by an ordinary least squares model regressing the topic-signal score on a recency index, a citation count, and an ordinal venue score. A precise, signed coefficient on any predictor is evidence of structure; a diffuse coefficient is evidence against a strong reading</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second concerns accumulation. The null holds that citation accumulation is unrelated to article age in the retrieved topic literature. The alternative holds that citation accumulation follows a measurable age-based attention curve. This hypothesis is carried by a log-log learning-curve model regressing the log of citation count plus one on the log of an article-age index. A precise negative elasticity would indicate a particular accumulation regime; a diffuse elasticity would indicate that the retrieved records do not, on their own, trace a stable attention curve</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two hypotheses are complementary, not redundant. It is entirely possible for the corpus to show cross-sectional structure while failing to show temporal structure, or the reverse. The design anticipates that asymmetry and treats each outcome as informative in its own right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82"/>
    <w:bookmarkStart w:id="83" w:name="rival-explanations"/>
    <w:p>
      <w:pPr>
        <w:pStyle w:val="Heading2"/>
        <w:spacing w:line="480" w:lineRule="auto"/>
      </w:pPr>
      <w:r>
        <w:t xml:space="preserve">3.4 Rival explanations</w:t>
      </w:r>
    </w:p>
    <w:p>
      <w:pPr>
        <w:pStyle w:val="FirstParagraph"/>
        <w:spacing w:line="480" w:lineRule="auto"/>
      </w:pPr>
      <w:r>
        <w:t xml:space="preserve">A responsible theory names the ways it could be fooled. Four rivals deserve explicit statement, because each could produce apparent structure that the mechanism would misread as topic salience.</w:t>
      </w:r>
    </w:p>
    <w:p>
      <w:pPr>
        <w:pStyle w:val="BodyText"/>
        <w:spacing w:line="480" w:lineRule="auto"/>
        <w:ind w:firstLine="720"/>
      </w:pPr>
      <w:r>
        <w:t xml:space="preserve">The first rival is venue effects. Venue family is coded ordinally, and different venue families have different citation cultures and different topical scopes. A coefficient on venue could reflect publication practice rather than the topic’s substantive spread</w:t>
      </w:r>
      <w:r>
        <w:t xml:space="preserve"> </w:t>
      </w:r>
      <w:hyperlink w:anchor="ref-3">
        <w:r>
          <w:rPr>
            <w:rStyle w:val="Hyperlink"/>
          </w:rPr>
          <w:t xml:space="preserve">[3]</w:t>
        </w:r>
      </w:hyperlink>
      <w:r>
        <w:t xml:space="preserve">. The design cannot fully separate these, and the interpretation in later chapters is careful not to overread the venue term.</w:t>
      </w:r>
    </w:p>
    <w:p>
      <w:pPr>
        <w:pStyle w:val="BodyText"/>
        <w:spacing w:line="480" w:lineRule="auto"/>
        <w:ind w:firstLine="720"/>
      </w:pPr>
      <w:r>
        <w:t xml:space="preserve">The second rival is source-family coverage. The retrieved corpus is finite and shaped by how sources were gathered. If one venue family is overrepresented, apparent structure may reflect the retrieval process rather than the field</w:t>
      </w:r>
      <w:r>
        <w:t xml:space="preserve"> </w:t>
      </w:r>
      <w:hyperlink w:anchor="ref-2">
        <w:r>
          <w:rPr>
            <w:rStyle w:val="Hyperlink"/>
          </w:rPr>
          <w:t xml:space="preserve">[2]</w:t>
        </w:r>
      </w:hyperlink>
      <w:r>
        <w:t xml:space="preserve">. This is a selection concern, and it bounds how far any finding can generalize beyond the retained records.</w:t>
      </w:r>
    </w:p>
    <w:p>
      <w:pPr>
        <w:pStyle w:val="BodyText"/>
        <w:spacing w:line="480" w:lineRule="auto"/>
        <w:ind w:firstLine="720"/>
      </w:pPr>
      <w:r>
        <w:t xml:space="preserve">The third rival is citation age. Older documents accumulate citations mechanically, simply by existing longer. A relationship between attention and age might reflect this arithmetic rather than any substantive attention curve</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learning-curve model is built to examine exactly this relationship, which means its coefficient must be read with the mechanical component in mind.</w:t>
      </w:r>
    </w:p>
    <w:p>
      <w:pPr>
        <w:pStyle w:val="BodyText"/>
        <w:spacing w:line="480" w:lineRule="auto"/>
        <w:ind w:firstLine="720"/>
      </w:pPr>
      <w:r>
        <w:t xml:space="preserve">The fourth rival is metadata availability. Citation counts come from a local index that may report zero where the true count is positive. Missing or floored counts can distort both models</w:t>
      </w:r>
      <w:r>
        <w:t xml:space="preserve"> </w:t>
      </w:r>
      <w:hyperlink w:anchor="ref-4">
        <w:r>
          <w:rPr>
            <w:rStyle w:val="Hyperlink"/>
          </w:rPr>
          <w:t xml:space="preserve">[4]</w:t>
        </w:r>
      </w:hyperlink>
      <w:r>
        <w:t xml:space="preserve">. The design responds by adding one before the log transform, which keeps uncited records in the sample but also compresses the low end of the distribution in a way the interpretation must acknowledge.</w:t>
      </w:r>
    </w:p>
    <w:bookmarkEnd w:id="83"/>
    <w:bookmarkStart w:id="84" w:name="the-evidence-ladder"/>
    <w:p>
      <w:pPr>
        <w:pStyle w:val="Heading2"/>
        <w:spacing w:line="480" w:lineRule="auto"/>
      </w:pPr>
      <w:r>
        <w:t xml:space="preserve">3.5 The evidence ladder</w:t>
      </w:r>
    </w:p>
    <w:p>
      <w:pPr>
        <w:pStyle w:val="FirstParagraph"/>
        <w:spacing w:line="480" w:lineRule="auto"/>
      </w:pPr>
      <w:r>
        <w:t xml:space="preserve">These rivals are not reasons to abandon the test. They are reasons to read it on a ladder rather than as a single verdict. At the lowest rung, a precise coefficient establishes association inside the retained corpus, nothing more. At the next rung, a stable model fit supports using the corpus as a measurement base for further work. At the highest rung reachable here, the pattern across both estimators either coheres with the rising-concern mechanism or fails to, and either outcome instructs the next design</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84"/>
    <w:bookmarkStart w:id="85" w:name="microfoundations-of-the-mechanism"/>
    <w:p>
      <w:pPr>
        <w:pStyle w:val="Heading2"/>
        <w:spacing w:line="480" w:lineRule="auto"/>
      </w:pPr>
      <w:r>
        <w:t xml:space="preserve">3.6 Microfoundations of the mechanism</w:t>
      </w:r>
    </w:p>
    <w:p>
      <w:pPr>
        <w:pStyle w:val="FirstParagraph"/>
        <w:spacing w:line="480" w:lineRule="auto"/>
      </w:pPr>
      <w:r>
        <w:t xml:space="preserve">The mechanism described so far operates at the level of a corpus, but it rests on decisions made by individual authors and communities, and it is worth tracing those microfoundations because they explain why the three features should cohere when a concern is genuinely rising. An author decides what to write about partly in response to what the community treats as urgent. When operational risk becomes salient, as debris did after the events that prompted the summit memo, authors reallocate attention toward it, and that reallocation shows up as a burst of recent work</w:t>
      </w:r>
      <w:r>
        <w:t xml:space="preserve"> </w:t>
      </w:r>
      <w:hyperlink w:anchor="ref-1">
        <w:r>
          <w:rPr>
            <w:rStyle w:val="Hyperlink"/>
          </w:rPr>
          <w:t xml:space="preserve">[1]</w:t>
        </w:r>
      </w:hyperlink>
      <w:r>
        <w:t xml:space="preserve">. Recency is thus not an abstract time trend but the aggregate footprint of many authors independently judging a concern to be current.</w:t>
      </w:r>
    </w:p>
    <w:p>
      <w:pPr>
        <w:pStyle w:val="BodyText"/>
        <w:spacing w:line="480" w:lineRule="auto"/>
        <w:ind w:firstLine="720"/>
      </w:pPr>
      <w:r>
        <w:t xml:space="preserve">Citation attention has a parallel microfoundation. An author cites work that is useful for building an argument, and useful work accumulates citations as more authors build on it. A concern that has moved from isolated warning to shared research agenda generates the cross-referencing that citation counts register</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microfoundation also explains why the citation channel is fragile in a small or new literature: if few authors have yet built on a concern, the citations have not had time to accumulate, and the channel will read as weak even when the concern is real. The design anticipates this fragility rather than being surprised by it.</w:t>
      </w:r>
    </w:p>
    <w:p>
      <w:pPr>
        <w:pStyle w:val="BodyText"/>
        <w:spacing w:line="480" w:lineRule="auto"/>
        <w:ind w:firstLine="720"/>
      </w:pPr>
      <w:r>
        <w:t xml:space="preserve">Venue choice has the most revealing microfoundation of the three. An author submits to the venue whose audience the argument is meant to reach. A technical finding goes to a technical proceeding; a governance argument goes to a policy-adjacent venue; an economic assessment goes to an economics outlet</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As a concern acquires stakes for new audiences, authors begin submitting to new venue families, and the concern’s venue footprint widens. A concern still confined to one venue family is, by this logic, a concern whose stakes have not yet been recognized by other communities</w:t>
      </w:r>
      <w:r>
        <w:t xml:space="preserve"> </w:t>
      </w:r>
      <w:hyperlink w:anchor="ref-13">
        <w:r>
          <w:rPr>
            <w:rStyle w:val="Hyperlink"/>
          </w:rPr>
          <w:t xml:space="preserve">[13]</w:t>
        </w:r>
      </w:hyperlink>
      <w:r>
        <w:t xml:space="preserve">. This is why venue spread is a leading indicator of consolidation, and why its absence is a meaningful signal rather than a gap.</w:t>
      </w:r>
    </w:p>
    <w:p>
      <w:pPr>
        <w:pStyle w:val="BodyText"/>
        <w:spacing w:line="480" w:lineRule="auto"/>
        <w:ind w:firstLine="720"/>
      </w:pPr>
      <w:r>
        <w:t xml:space="preserve">These microfoundations matter for interpretation. They mean the three features are not arbitrary metadata but the aggregate residue of purposeful choices, and that a coherent pattern across them is evidence of coordinated community behavior rather than coincidence. They also mean that when the features fail to cohere, the failure is diagnostic: it points to which layer of author behavior has not yet activated</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85"/>
    <w:bookmarkStart w:id="86" w:name="X4e8af72d83457258ac6622a3479e0d62628de28"/>
    <w:p>
      <w:pPr>
        <w:pStyle w:val="Heading2"/>
        <w:spacing w:line="480" w:lineRule="auto"/>
      </w:pPr>
      <w:r>
        <w:t xml:space="preserve">3.7 Why a small sample can still test the mechanism</w:t>
      </w:r>
    </w:p>
    <w:p>
      <w:pPr>
        <w:pStyle w:val="FirstParagraph"/>
        <w:spacing w:line="480" w:lineRule="auto"/>
      </w:pPr>
      <w:r>
        <w:t xml:space="preserve">A skeptic might object that thirty records is too few to test anything, and the objection deserves a direct answer rooted in what the mechanism actually predicts. The mechanism does not require a large sample to leave a detectable venue signature, because venue family is a low-dimensional feature with only three levels and a strong expected effect if the concern is community-bound</w:t>
      </w:r>
      <w:r>
        <w:t xml:space="preserve"> </w:t>
      </w:r>
      <w:hyperlink w:anchor="ref-3">
        <w:r>
          <w:rPr>
            <w:rStyle w:val="Hyperlink"/>
          </w:rPr>
          <w:t xml:space="preserve">[3]</w:t>
        </w:r>
      </w:hyperlink>
      <w:r>
        <w:t xml:space="preserve">. A concentrated concern should show a clear venue coefficient even in a small corpus, because the concentration is precisely what makes the effect large relative to the noise.</w:t>
      </w:r>
    </w:p>
    <w:p>
      <w:pPr>
        <w:pStyle w:val="BodyText"/>
        <w:spacing w:line="480" w:lineRule="auto"/>
        <w:ind w:firstLine="720"/>
      </w:pPr>
      <w:r>
        <w:t xml:space="preserve">The temporal mechanism is different, and the sample size interacts with it in an instructive way. Detecting an accumulation curve requires variation in the outcome across ages, and if the citation index floors most records at zero, no sample size within reach would recover a curve from a variable that barely varies</w:t>
      </w:r>
      <w:r>
        <w:t xml:space="preserve"> </w:t>
      </w:r>
      <w:hyperlink w:anchor="ref-2">
        <w:r>
          <w:rPr>
            <w:rStyle w:val="Hyperlink"/>
          </w:rPr>
          <w:t xml:space="preserve">[2]</w:t>
        </w:r>
      </w:hyperlink>
      <w:r>
        <w:t xml:space="preserve">. The small sample is therefore not the binding constraint on the temporal test; the citation floor is. Distinguishing these two limits is part of what the design is built to do, because a successor study needs to know whether to collect more records or better citation data, and the answer is the latter</w:t>
      </w:r>
      <w:r>
        <w:t xml:space="preserve"> </w:t>
      </w:r>
      <w:hyperlink w:anchor="ref-6">
        <w:r>
          <w:rPr>
            <w:rStyle w:val="Hyperlink"/>
          </w:rPr>
          <w:t xml:space="preserve">[6]</w:t>
        </w:r>
      </w:hyperlink>
      <w:r>
        <w:t xml:space="preserve">.</w:t>
      </w:r>
    </w:p>
    <w:p>
      <w:pPr>
        <w:pStyle w:val="BodyText"/>
        <w:spacing w:line="480" w:lineRule="auto"/>
        <w:ind w:firstLine="720"/>
      </w:pPr>
      <w:r>
        <w:t xml:space="preserve">This is the deeper reason the two estimators are paired. Together they let the study attribute each outcome to its actual cause: a clear venue result to genuine community concentration, and a null temporal result to a floored measurement rather than to sample size or to the absence of any real dynamic</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mechanism, in other words, does not just predict what a rising concern looks like. It predicts what its measurement failures look like, and that prediction is what makes the nulls interpretable rather than merely disappointing.</w:t>
      </w:r>
    </w:p>
    <w:bookmarkEnd w:id="86"/>
    <w:bookmarkStart w:id="87" w:name="X94de01a55661387a9676b8acb2ad20568cf07a6"/>
    <w:p>
      <w:pPr>
        <w:pStyle w:val="Heading2"/>
        <w:spacing w:line="480" w:lineRule="auto"/>
      </w:pPr>
      <w:r>
        <w:t xml:space="preserve">3.8 The theory’s predictions for each channel, stated sharply</w:t>
      </w:r>
    </w:p>
    <w:p>
      <w:pPr>
        <w:pStyle w:val="FirstParagraph"/>
        <w:spacing w:line="480" w:lineRule="auto"/>
      </w:pPr>
      <w:r>
        <w:t xml:space="preserve">To make the theory genuinely testable, its predictions should be stated channel by channel so that each can be confronted with a coefficient. For venue, the mechanism predicts a nonzero coefficient of a sign that reflects the topic’s community of origin; a concern born in the technical community should show higher signal in the technical venue family and lower signal as the venue moves toward economics, absent full migration</w:t>
      </w:r>
      <w:r>
        <w:t xml:space="preserve"> </w:t>
      </w:r>
      <w:hyperlink w:anchor="ref-3">
        <w:r>
          <w:rPr>
            <w:rStyle w:val="Hyperlink"/>
          </w:rPr>
          <w:t xml:space="preserve">[3]</w:t>
        </w:r>
      </w:hyperlink>
      <w:r>
        <w:t xml:space="preserve"> </w:t>
      </w:r>
      <w:hyperlink w:anchor="ref-6">
        <w:r>
          <w:rPr>
            <w:rStyle w:val="Hyperlink"/>
          </w:rPr>
          <w:t xml:space="preserve">[6]</w:t>
        </w:r>
      </w:hyperlink>
      <w:r>
        <w:t xml:space="preserve">. For recency, the mechanism predicts a positive coefficient if the concern is accelerating, since acceleration produces a burst of recent, high-signal work</w:t>
      </w:r>
      <w:r>
        <w:t xml:space="preserve"> </w:t>
      </w:r>
      <w:hyperlink w:anchor="ref-4">
        <w:r>
          <w:rPr>
            <w:rStyle w:val="Hyperlink"/>
          </w:rPr>
          <w:t xml:space="preserve">[4]</w:t>
        </w:r>
      </w:hyperlink>
      <w:r>
        <w:t xml:space="preserve"> </w:t>
      </w:r>
      <w:hyperlink w:anchor="ref-15">
        <w:r>
          <w:rPr>
            <w:rStyle w:val="Hyperlink"/>
          </w:rPr>
          <w:t xml:space="preserve">[15]</w:t>
        </w:r>
      </w:hyperlink>
      <w:r>
        <w:t xml:space="preserve">. For citation attention, the mechanism predicts a positive coefficient if the concern has become a shared research agenda, since agendas generate cross-citation</w:t>
      </w:r>
      <w:r>
        <w:t xml:space="preserve"> </w:t>
      </w:r>
      <w:hyperlink w:anchor="ref-2">
        <w:r>
          <w:rPr>
            <w:rStyle w:val="Hyperlink"/>
          </w:rPr>
          <w:t xml:space="preserve">[2]</w:t>
        </w:r>
      </w:hyperlink>
      <w:r>
        <w:t xml:space="preserve">.</w:t>
      </w:r>
    </w:p>
    <w:p>
      <w:pPr>
        <w:pStyle w:val="BodyText"/>
        <w:spacing w:line="480" w:lineRule="auto"/>
        <w:ind w:firstLine="720"/>
      </w:pPr>
      <w:r>
        <w:t xml:space="preserve">For the temporal channel, the prediction is subtler. A learning curve of attention against age could take either sign depending on the regime. If recent work is drawing disproportionate attention, the age elasticity would be negative; if older foundational work dominates citation, it would be positive</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theory does not commit to a sign here, only to the claim that a genuine accumulation regime would produce a precise elasticity of some sign, while the absence of any regime, or a floored measurement, would produce an imprecise one. This is a weaker prediction than the cross-sectional ones, and the design flags that weakness openly</w:t>
      </w:r>
      <w:r>
        <w:t xml:space="preserve"> </w:t>
      </w:r>
      <w:hyperlink w:anchor="ref-2">
        <w:r>
          <w:rPr>
            <w:rStyle w:val="Hyperlink"/>
          </w:rPr>
          <w:t xml:space="preserve">[2]</w:t>
        </w:r>
      </w:hyperlink>
      <w:r>
        <w:t xml:space="preserve">.</w:t>
      </w:r>
    </w:p>
    <w:p>
      <w:pPr>
        <w:pStyle w:val="BodyText"/>
        <w:spacing w:line="480" w:lineRule="auto"/>
        <w:ind w:firstLine="720"/>
      </w:pPr>
      <w:r>
        <w:t xml:space="preserve">Stating the predictions this sharply has a purpose beyond tidiness. It commits the theory in advance, so that the results chapter cannot retrofit an interpretation to whatever the coefficients happen to show</w:t>
      </w:r>
      <w:r>
        <w:t xml:space="preserve"> </w:t>
      </w:r>
      <w:hyperlink w:anchor="ref-5">
        <w:r>
          <w:rPr>
            <w:rStyle w:val="Hyperlink"/>
          </w:rPr>
          <w:t xml:space="preserve">[5]</w:t>
        </w:r>
      </w:hyperlink>
      <w:r>
        <w:t xml:space="preserve">. A negative recency coefficient, for instance, would sit awkwardly with the acceleration prediction, and the theory obligates the study to treat such a result as failing to confirm rather than as quietly reinterpreted. Pre-committing the predictions is what turns the estimators from summaries into tests</w:t>
      </w:r>
      <w:r>
        <w:t xml:space="preserve"> </w:t>
      </w:r>
      <w:hyperlink w:anchor="ref-4">
        <w:r>
          <w:rPr>
            <w:rStyle w:val="Hyperlink"/>
          </w:rPr>
          <w:t xml:space="preserve">[4]</w:t>
        </w:r>
      </w:hyperlink>
      <w:r>
        <w:t xml:space="preserve">.</w:t>
      </w:r>
    </w:p>
    <w:bookmarkEnd w:id="87"/>
    <w:bookmarkStart w:id="88" w:name="why-the-mechanism-is-falsifiable"/>
    <w:p>
      <w:pPr>
        <w:pStyle w:val="Heading2"/>
        <w:spacing w:line="480" w:lineRule="auto"/>
      </w:pPr>
      <w:r>
        <w:t xml:space="preserve">3.9 Why the mechanism is falsifiable</w:t>
      </w:r>
    </w:p>
    <w:p>
      <w:pPr>
        <w:pStyle w:val="FirstParagraph"/>
        <w:spacing w:line="480" w:lineRule="auto"/>
      </w:pPr>
      <w:r>
        <w:t xml:space="preserve">The chapter closes on the property that distinguishes this framework from the impressionistic salience claims it competes with: it can be wrong in a way the data can show. If the topic signal is unrelated to all three cross-sectional features and the age elasticity is indistinguishable from zero, the mechanism’s central prediction, that a rising concern leaves coherent documentary structure, is disconfirmed for this corpus</w:t>
      </w:r>
      <w:r>
        <w:t xml:space="preserve"> </w:t>
      </w:r>
      <w:hyperlink w:anchor="ref-4">
        <w:r>
          <w:rPr>
            <w:rStyle w:val="Hyperlink"/>
          </w:rPr>
          <w:t xml:space="preserve">[4]</w:t>
        </w:r>
      </w:hyperlink>
      <w:r>
        <w:t xml:space="preserve"> </w:t>
      </w:r>
      <w:hyperlink w:anchor="ref-5">
        <w:r>
          <w:rPr>
            <w:rStyle w:val="Hyperlink"/>
          </w:rPr>
          <w:t xml:space="preserve">[5]</w:t>
        </w:r>
      </w:hyperlink>
      <w:r>
        <w:t xml:space="preserve">. That is a real possibility the design does nothing to prevent, and its being possible is what gives a confirmatory result its weight.</w:t>
      </w:r>
    </w:p>
    <w:p>
      <w:pPr>
        <w:pStyle w:val="BodyText"/>
        <w:spacing w:line="480" w:lineRule="auto"/>
        <w:ind w:firstLine="720"/>
      </w:pPr>
      <w:r>
        <w:t xml:space="preserve">Falsifiability also disciplines the interpretation of partial results, which is what the study actually obtains. A mechanism that predicted structure everywhere would be unfalsifiable, able to claim victory from any pattern. This mechanism predicts structure through specific channels for specific reasons, so a result in which venue is structured and attention is not is neither a clean confirmation nor a clean refutation but a mapped, interpretable middle, exactly the terrain a screening study is meant to chart</w:t>
      </w:r>
      <w:r>
        <w:t xml:space="preserve"> </w:t>
      </w:r>
      <w:hyperlink w:anchor="ref-6">
        <w:r>
          <w:rPr>
            <w:rStyle w:val="Hyperlink"/>
          </w:rPr>
          <w:t xml:space="preserve">[6]</w:t>
        </w:r>
      </w:hyperlink>
      <w:r>
        <w:t xml:space="preserve"> </w:t>
      </w:r>
      <w:hyperlink w:anchor="ref-7">
        <w:r>
          <w:rPr>
            <w:rStyle w:val="Hyperlink"/>
          </w:rPr>
          <w:t xml:space="preserve">[7]</w:t>
        </w:r>
      </w:hyperlink>
      <w:r>
        <w:t xml:space="preserve">. The theory is built to survive that middle honestly, claiming only the channels the data support and conceding the rest.</w:t>
      </w:r>
    </w:p>
    <w:p>
      <w:pPr>
        <w:pStyle w:val="BodyText"/>
        <w:spacing w:line="480" w:lineRule="auto"/>
        <w:ind w:firstLine="720"/>
      </w:pPr>
      <w:r>
        <w:t xml:space="preserve">The framework, then, is a compact machine for turning a vague sense of rising salience into a set of signed, precise, checkable predictions, each tied to a channel with a microfoundation and each capable of coming out null</w:t>
      </w:r>
      <w:r>
        <w:t xml:space="preserve"> </w:t>
      </w:r>
      <w:hyperlink w:anchor="ref-4">
        <w:r>
          <w:rPr>
            <w:rStyle w:val="Hyperlink"/>
          </w:rPr>
          <w:t xml:space="preserve">[4]</w:t>
        </w:r>
      </w:hyperlink>
      <w:r>
        <w:t xml:space="preserve"> </w:t>
      </w:r>
      <w:hyperlink w:anchor="ref-5">
        <w:r>
          <w:rPr>
            <w:rStyle w:val="Hyperlink"/>
          </w:rPr>
          <w:t xml:space="preserve">[5]</w:t>
        </w:r>
      </w:hyperlink>
      <w:r>
        <w:t xml:space="preserve">. That machine is what the remaining chapters operate, and its predictions are what the results either vindicate or deny</w:t>
      </w:r>
      <w:r>
        <w:t xml:space="preserve"> </w:t>
      </w:r>
      <w:hyperlink w:anchor="ref-6">
        <w:r>
          <w:rPr>
            <w:rStyle w:val="Hyperlink"/>
          </w:rPr>
          <w:t xml:space="preserve">[6]</w:t>
        </w:r>
      </w:hyperlink>
      <w:r>
        <w:t xml:space="preserve">.</w:t>
      </w:r>
    </w:p>
    <w:p>
      <w:pPr>
        <w:pStyle w:val="BodyText"/>
        <w:spacing w:line="480" w:lineRule="auto"/>
        <w:ind w:firstLine="720"/>
      </w:pPr>
      <w:r>
        <w:t xml:space="preserve">What the ladder never reaches, in this dissertation, is causal policy effect. The theory is about documentary structure, and documentary structure is a necessary but not sufficient trace of a rising governance concern. The chapters that follow hold to that ceiling. The mechanism gives the test its meaning; the hypotheses give it its shape; the rivals give it its humility. The evidence ladder gives it its honesty, letting a partial result be read for exactly what it is worth rather than inflated or dismissed</w:t>
      </w:r>
      <w:r>
        <w:t xml:space="preserve"> </w:t>
      </w:r>
      <w:hyperlink w:anchor="ref-5">
        <w:r>
          <w:rPr>
            <w:rStyle w:val="Hyperlink"/>
          </w:rPr>
          <w:t xml:space="preserve">[5]</w:t>
        </w:r>
      </w:hyperlink>
      <w:r>
        <w:t xml:space="preserve"> </w:t>
      </w:r>
      <w:hyperlink w:anchor="ref-6">
        <w:r>
          <w:rPr>
            <w:rStyle w:val="Hyperlink"/>
          </w:rPr>
          <w:t xml:space="preserve">[6]</w:t>
        </w:r>
      </w:hyperlink>
      <w:r>
        <w:t xml:space="preserve">. With all of these in place, the methodology can specify how the two estimators identify what they claim to identify, and the data chapter can document the records on which that identification rests</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88"/>
    <w:bookmarkEnd w:id="89"/>
    <w:bookmarkStart w:id="101" w:name="chapter-4-methodology-and-identification"/>
    <w:p>
      <w:pPr>
        <w:pStyle w:val="Heading1"/>
        <w:spacing w:line="480" w:lineRule="auto"/>
      </w:pPr>
      <w:r>
        <w:t xml:space="preserve">Chapter 4: Methodology and Identification</w:t>
      </w:r>
    </w:p>
    <w:p>
      <w:pPr>
        <w:pStyle w:val="FirstParagraph"/>
        <w:spacing w:line="480" w:lineRule="auto"/>
      </w:pPr>
      <w:r>
        <w:t xml:space="preserve">Two estimators carry the empirical weight of this dissertation. Neither is exotic. An ordinary least squares regression and a log-log learning-curve regression are among the most inspected tools in applied work, and that is the point. The design chooses transparent estimators over clever ones because the contribution rests on reproducibility, not on statistical novelty. This chapter specifies each model, explains what it identifies and on what assumptions, and states plainly the boundary between what the models estimate and what they cannot.</w:t>
      </w:r>
    </w:p>
    <w:bookmarkStart w:id="90" w:name="X5b36683ebe264e80168b259d316f8dcaa35308a"/>
    <w:p>
      <w:pPr>
        <w:pStyle w:val="Heading2"/>
        <w:spacing w:line="480" w:lineRule="auto"/>
      </w:pPr>
      <w:r>
        <w:t xml:space="preserve">4.1 The first estimator: cross-sectional signal intensity</w:t>
      </w:r>
    </w:p>
    <w:p>
      <w:pPr>
        <w:pStyle w:val="FirstParagraph"/>
        <w:spacing w:line="480" w:lineRule="auto"/>
      </w:pPr>
      <w:r>
        <w:t xml:space="preserve">The first model asks whether the topic-signal score varies systematically with three observable features of a source. It is an ordinary least squares regression of the signal score on a recency index, a citation count, and an ordinal venue score. Written out, the specification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where i indexes retrieved source records. The coefficients answer distinct questions. Beta_1 asks whether more recent sources carry stronger topic signal. Beta_2 asks whether more cited sources carry stronger signal. Beta_3 asks whether venue family is associated with signal once recency and citation attention are held fixed</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Standard errors are computed with the HC1 heteroskedasticity-consistent estimator rather than the classical formula. This choice reflects an honest expectation about the data. A composite count outcome built from heterogeneous sources is unlikely to have constant error variance, and using robust standard errors guards the inference against that heteroskedasticity without changing the coefficients themselves</w:t>
      </w:r>
      <w:r>
        <w:t xml:space="preserve"> </w:t>
      </w:r>
      <w:hyperlink w:anchor="ref-3">
        <w:r>
          <w:rPr>
            <w:rStyle w:val="Hyperlink"/>
          </w:rPr>
          <w:t xml:space="preserve">[3]</w:t>
        </w:r>
      </w:hyperlink>
      <w:r>
        <w:t xml:space="preserve">. The robust covariance widens or narrows the reported precision to match the residual behavior actually present in the sample.</w:t>
      </w:r>
    </w:p>
    <w:p>
      <w:pPr>
        <w:pStyle w:val="BodyText"/>
        <w:spacing w:line="480" w:lineRule="auto"/>
        <w:ind w:firstLine="720"/>
      </w:pPr>
      <w:r>
        <w:t xml:space="preserve">What does this model identify? Under the usual conditions, that the specified predictors are uncorrelated with the error term, the coefficients identify the linear conditional association between each feature and the topic-signal score inside the retained corpus. That is a real quantity and a testable one. It is not, and the dissertation never treats it as, a causal effect of recency or citation on anything in the world. The identification claim is deliberately local: it is about the structure of this corpus, estimated from these rows</w:t>
      </w:r>
      <w:r>
        <w:t xml:space="preserve"> </w:t>
      </w:r>
      <w:hyperlink w:anchor="ref-5">
        <w:r>
          <w:rPr>
            <w:rStyle w:val="Hyperlink"/>
          </w:rPr>
          <w:t xml:space="preserve">[5]</w:t>
        </w:r>
      </w:hyperlink>
      <w:r>
        <w:t xml:space="preserve">.</w:t>
      </w:r>
    </w:p>
    <w:bookmarkEnd w:id="90"/>
    <w:bookmarkStart w:id="91" w:name="X499ee67da3185701a565683973abeacd92aa1f7"/>
    <w:p>
      <w:pPr>
        <w:pStyle w:val="Heading2"/>
        <w:spacing w:line="480" w:lineRule="auto"/>
      </w:pPr>
      <w:r>
        <w:t xml:space="preserve">4.2 Why ordinary least squares is the right tool here</w:t>
      </w:r>
    </w:p>
    <w:p>
      <w:pPr>
        <w:pStyle w:val="FirstParagraph"/>
        <w:spacing w:line="480" w:lineRule="auto"/>
      </w:pPr>
      <w:r>
        <w:t xml:space="preserve">A reader might ask why a count outcome is modeled linearly rather than with a count-specific estimator. The answer is a matter of matching the tool to the claim. The dissertation does not need a model of the data-generating process for the count. It needs a transparent summary of whether the count covaries with three features, reported so that any reader can reconstruct it. Ordinary least squares delivers exactly that summary, with coefficients on the scale of the outcome and a familiar fit statistic. A more elaborate model would trade interpretability for a precision the small sample cannot honestly support</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linear model also makes the null concrete. If the topic signal is unrelated to recency, attention, and venue, then all three slope coefficients should be indistinguishable from zero and the overall F test should fail to reject. That is a clean, falsifiable prediction, and it is one the linear specification states more legibly than any alternative. The design values that legibility because the whole point is to let the data reject the hypothesis if the hypothesis is wrong</w:t>
      </w:r>
      <w:r>
        <w:t xml:space="preserve"> </w:t>
      </w:r>
      <w:hyperlink w:anchor="ref-4">
        <w:r>
          <w:rPr>
            <w:rStyle w:val="Hyperlink"/>
          </w:rPr>
          <w:t xml:space="preserve">[4]</w:t>
        </w:r>
      </w:hyperlink>
      <w:r>
        <w:t xml:space="preserve">.</w:t>
      </w:r>
    </w:p>
    <w:bookmarkEnd w:id="91"/>
    <w:bookmarkStart w:id="92" w:name="X23fb8298972976d88c0341f2ef01bd56244621d"/>
    <w:p>
      <w:pPr>
        <w:pStyle w:val="Heading2"/>
        <w:spacing w:line="480" w:lineRule="auto"/>
      </w:pPr>
      <w:r>
        <w:t xml:space="preserve">4.3 The second estimator: the learning curve of attention</w:t>
      </w:r>
    </w:p>
    <w:p>
      <w:pPr>
        <w:pStyle w:val="FirstParagraph"/>
        <w:spacing w:line="480" w:lineRule="auto"/>
      </w:pPr>
      <w:r>
        <w:t xml:space="preserve">The second model turns from cross-sectional structure to accumulation over time. It asks whether citation attention traces a curve against article age. The specification is a log-log regression,</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where CitesPlus1 is the citation count plus one and AgeIndex is a document-age index. The log-log form is chosen for a specific reason. In a log-log regression the slope coefficient is an elasticity: it reports the percentage change in citation attention associated with a one percent change in article age. That framing connects directly to the learning-curve tradition, where a constant elasticity implies a constant progress ratio</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Adding one before the log transform is not a cosmetic step. Uncited records have a citation count of zero, and the log of zero is undefined. Adding one keeps those records in the sample, which matters because uncited records carry information about the low end of the attention distribution. The cost is that the transform compresses the distinction between zero and one citation, a compression the interpretation in Chapter 6 keeps in view</w:t>
      </w:r>
      <w:r>
        <w:t xml:space="preserve"> </w:t>
      </w:r>
      <w:hyperlink w:anchor="ref-4">
        <w:r>
          <w:rPr>
            <w:rStyle w:val="Hyperlink"/>
          </w:rPr>
          <w:t xml:space="preserve">[4]</w:t>
        </w:r>
      </w:hyperlink>
      <w:r>
        <w:t xml:space="preserve">. Robust HC1 standard errors are again used, for the same reason as in the first model.</w:t>
      </w:r>
    </w:p>
    <w:bookmarkEnd w:id="92"/>
    <w:bookmarkStart w:id="93" w:name="what-the-learning-curve-model-identifies"/>
    <w:p>
      <w:pPr>
        <w:pStyle w:val="Heading2"/>
        <w:spacing w:line="480" w:lineRule="auto"/>
      </w:pPr>
      <w:r>
        <w:t xml:space="preserve">4.4 What the learning-curve model identifies</w:t>
      </w:r>
    </w:p>
    <w:p>
      <w:pPr>
        <w:pStyle w:val="FirstParagraph"/>
        <w:spacing w:line="480" w:lineRule="auto"/>
      </w:pPr>
      <w:r>
        <w:t xml:space="preserve">Under the standard conditions, the elasticity identifies the average log-linear relationship between age and citation attention across the retained records. A negative elasticity would mean that, in this corpus, older records carry proportionally less attention than a naive count would suggest, which is a substantive and slightly counterintuitive pattern worth testing. A near-zero elasticity would mean that age and attention are effectively unrelated in the record, so the corpus does not, on its own, trace a stable attention curve</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identification here is bounded in the same way as the first model. The elasticity describes a relationship inside the retrieved records. It cannot separate a genuine attention dynamic from the mechanical fact that older documents have had more time to accumulate citations, nor from the flooring introduced by a local citation index that reports many zeros. These are not defects to be concealed. They are the reasons the coefficient must be read as corpus-screen evidence rather than as a law of citation growth</w:t>
      </w:r>
      <w:r>
        <w:t xml:space="preserve"> </w:t>
      </w:r>
      <w:hyperlink w:anchor="ref-6">
        <w:r>
          <w:rPr>
            <w:rStyle w:val="Hyperlink"/>
          </w:rPr>
          <w:t xml:space="preserve">[6]</w:t>
        </w:r>
      </w:hyperlink>
      <w:r>
        <w:t xml:space="preserve">.</w:t>
      </w:r>
    </w:p>
    <w:bookmarkEnd w:id="93"/>
    <w:bookmarkStart w:id="94" w:name="threats-to-identification"/>
    <w:p>
      <w:pPr>
        <w:pStyle w:val="Heading2"/>
        <w:spacing w:line="480" w:lineRule="auto"/>
      </w:pPr>
      <w:r>
        <w:t xml:space="preserve">4.5 Threats to identification</w:t>
      </w:r>
    </w:p>
    <w:p>
      <w:pPr>
        <w:pStyle w:val="FirstParagraph"/>
        <w:spacing w:line="480" w:lineRule="auto"/>
      </w:pPr>
      <w:r>
        <w:t xml:space="preserve">Four threats bound what either model can claim, and naming them is part of the identification argument rather than an afterthought.</w:t>
      </w:r>
    </w:p>
    <w:p>
      <w:pPr>
        <w:pStyle w:val="BodyText"/>
        <w:spacing w:line="480" w:lineRule="auto"/>
        <w:ind w:firstLine="720"/>
      </w:pPr>
      <w:r>
        <w:t xml:space="preserve">Source selection is the first. The corpus is a retrieved set, not a random sample of the field. Whatever structure the models find is structure in that set, and generalization beyond it is a separate empirical question the design does not pretend to have answered</w:t>
      </w:r>
      <w:r>
        <w:t xml:space="preserve"> </w:t>
      </w:r>
      <w:hyperlink w:anchor="ref-2">
        <w:r>
          <w:rPr>
            <w:rStyle w:val="Hyperlink"/>
          </w:rPr>
          <w:t xml:space="preserve">[2]</w:t>
        </w:r>
      </w:hyperlink>
      <w:r>
        <w:t xml:space="preserve">. Proxy measurement is the second. Topic-signal counts, ordinal venue codes, and local citation counts are proxies, and a coefficient on a proxy is a statement about the proxy, not about the latent quantity it stands in for</w:t>
      </w:r>
      <w:r>
        <w:t xml:space="preserve"> </w:t>
      </w:r>
      <w:hyperlink w:anchor="ref-4">
        <w:r>
          <w:rPr>
            <w:rStyle w:val="Hyperlink"/>
          </w:rPr>
          <w:t xml:space="preserve">[4]</w:t>
        </w:r>
      </w:hyperlink>
      <w:r>
        <w:t xml:space="preserve"> </w:t>
      </w:r>
      <w:hyperlink w:anchor="ref-5">
        <w:r>
          <w:rPr>
            <w:rStyle w:val="Hyperlink"/>
          </w:rPr>
          <w:t xml:space="preserve">[5]</w:t>
        </w:r>
      </w:hyperlink>
      <w:r>
        <w:t xml:space="preserve">. Omitted variables are the third. A metadata model cannot include the technical, institutional, and market drivers that shape a topic’s trajectory, so the coefficients absorb whatever those omitted forces leave in the observed features</w:t>
      </w:r>
      <w:r>
        <w:t xml:space="preserve"> </w:t>
      </w:r>
      <w:hyperlink w:anchor="ref-3">
        <w:r>
          <w:rPr>
            <w:rStyle w:val="Hyperlink"/>
          </w:rPr>
          <w:t xml:space="preserve">[3]</w:t>
        </w:r>
      </w:hyperlink>
      <w:r>
        <w:t xml:space="preserve">. Overinterpretation is the fourth and most insidious, because it is a threat from the analyst rather than the data. Prose can quietly promote an association into an effect. The design resists this by fixing the interpretive rule in advance: precise coefficients read as structure, imprecise coefficients read as absence of a strong claim, and neither reads as cause</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94"/>
    <w:bookmarkStart w:id="95" w:name="the-identification-contribution"/>
    <w:p>
      <w:pPr>
        <w:pStyle w:val="Heading2"/>
        <w:spacing w:line="480" w:lineRule="auto"/>
      </w:pPr>
      <w:r>
        <w:t xml:space="preserve">4.6 The identification contribution</w:t>
      </w:r>
    </w:p>
    <w:bookmarkEnd w:id="95"/>
    <w:bookmarkStart w:id="96" w:name="reading-robust-standard-errors-correctly"/>
    <w:p>
      <w:pPr>
        <w:pStyle w:val="Heading2"/>
        <w:spacing w:line="480" w:lineRule="auto"/>
      </w:pPr>
      <w:r>
        <w:t xml:space="preserve">4.7 Reading robust standard errors correctly</w:t>
      </w:r>
    </w:p>
    <w:p>
      <w:pPr>
        <w:pStyle w:val="FirstParagraph"/>
        <w:spacing w:line="480" w:lineRule="auto"/>
      </w:pPr>
      <w:r>
        <w:t xml:space="preserve">Because both models use HC1 robust standard errors, it is worth being precise about what that choice does and does not accomplish, since the distinction bears directly on how the results should be read. Robust standard errors correct the reported precision of the coefficients for heteroskedasticity, the condition where the error variance differs across observations. They do not change the coefficients, and they do not fix bias from omitted variables or from a misspecified functional form</w:t>
      </w:r>
      <w:r>
        <w:t xml:space="preserve"> </w:t>
      </w:r>
      <w:hyperlink w:anchor="ref-3">
        <w:r>
          <w:rPr>
            <w:rStyle w:val="Hyperlink"/>
          </w:rPr>
          <w:t xml:space="preserve">[3]</w:t>
        </w:r>
      </w:hyperlink>
      <w:r>
        <w:t xml:space="preserve">. A robust standard error protects against one specific problem and is silent about the others.</w:t>
      </w:r>
    </w:p>
    <w:p>
      <w:pPr>
        <w:pStyle w:val="BodyText"/>
        <w:spacing w:line="480" w:lineRule="auto"/>
        <w:ind w:firstLine="720"/>
      </w:pPr>
      <w:r>
        <w:t xml:space="preserve">This matters for interpretation in a concrete way. When Chapter 6 reports that the venue coefficient is precise and the recency coefficient is not, that contrast is a statement about the robust standard errors, which reflect how much the residuals vary around each estimated relationship. A precise coefficient under robust inference is a coefficient the data pin down even after allowing the error variance to differ across records. That is a stronger claim than precision under classical assumptions, and the design uses robust errors precisely so that any precision it reports has cleared the higher bar</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choice also has a cost worth naming. Robust standard errors are themselves estimated, and in a sample of thirty they are estimated with some uncertainty. The HC1 variant applies a small-sample correction to partly address this, which is why it is preferred here over the uncorrected HC0 form</w:t>
      </w:r>
      <w:r>
        <w:t xml:space="preserve"> </w:t>
      </w:r>
      <w:hyperlink w:anchor="ref-3">
        <w:r>
          <w:rPr>
            <w:rStyle w:val="Hyperlink"/>
          </w:rPr>
          <w:t xml:space="preserve">[3]</w:t>
        </w:r>
      </w:hyperlink>
      <w:r>
        <w:t xml:space="preserve">. Even so, the reader should treat the reported p-values as reasonable approximations rather than exact probabilities, and the interpretation in later chapters leans on the clear cases, a coefficient far below or far above a conventional threshold, rather than on borderline distinctions that a small sample cannot support.</w:t>
      </w:r>
    </w:p>
    <w:bookmarkEnd w:id="96"/>
    <w:bookmarkStart w:id="97" w:name="Xf7792a2d33d6764a96f6180efae096c7ead3e28"/>
    <w:p>
      <w:pPr>
        <w:pStyle w:val="Heading2"/>
        <w:spacing w:line="480" w:lineRule="auto"/>
      </w:pPr>
      <w:r>
        <w:t xml:space="preserve">4.8 The functional form of the learning curve</w:t>
      </w:r>
    </w:p>
    <w:p>
      <w:pPr>
        <w:pStyle w:val="FirstParagraph"/>
        <w:spacing w:line="480" w:lineRule="auto"/>
      </w:pPr>
      <w:r>
        <w:t xml:space="preserve">The log-log form of the second model encodes a specific assumption about how attention relates to age, and making that assumption explicit is part of the identification argument. A log-log regression assumes a constant-elasticity relationship: a given percentage change in age is associated with the same percentage change in attention regardless of where on the age scale one starts</w:t>
      </w:r>
      <w:r>
        <w:t xml:space="preserve"> </w:t>
      </w:r>
      <w:hyperlink w:anchor="ref-1">
        <w:r>
          <w:rPr>
            <w:rStyle w:val="Hyperlink"/>
          </w:rPr>
          <w:t xml:space="preserve">[1]</w:t>
        </w:r>
      </w:hyperlink>
      <w:r>
        <w:t xml:space="preserve"> </w:t>
      </w:r>
      <w:hyperlink w:anchor="ref-6">
        <w:r>
          <w:rPr>
            <w:rStyle w:val="Hyperlink"/>
          </w:rPr>
          <w:t xml:space="preserve">[6]</w:t>
        </w:r>
      </w:hyperlink>
      <w:r>
        <w:t xml:space="preserve">. This is the classic learning-curve form, and it is chosen because it lets a single coefficient summarize the whole relationship as an elasticity, which is directly interpretable as a progress ratio.</w:t>
      </w:r>
    </w:p>
    <w:p>
      <w:pPr>
        <w:pStyle w:val="BodyText"/>
        <w:spacing w:line="480" w:lineRule="auto"/>
        <w:ind w:firstLine="720"/>
      </w:pPr>
      <w:r>
        <w:t xml:space="preserve">The assumption is a genuine restriction, and the design accepts it consciously. A concern whose attention grew linearly with age, or that spiked at a particular vintage, would be poorly summarized by a constant elasticity, and the log-log model would miss that structure</w:t>
      </w:r>
      <w:r>
        <w:t xml:space="preserve"> </w:t>
      </w:r>
      <w:hyperlink w:anchor="ref-2">
        <w:r>
          <w:rPr>
            <w:rStyle w:val="Hyperlink"/>
          </w:rPr>
          <w:t xml:space="preserve">[2]</w:t>
        </w:r>
      </w:hyperlink>
      <w:r>
        <w:t xml:space="preserve">. The dissertation does not claim the constant-elasticity form is the true data-generating process. It claims the form is a transparent and conventional summary whose single coefficient is easy to report and easy to check. When that coefficient turns out imprecise, as Chapter 6 will show, the imprecision is informative under the assumed form: it says that no constant-elasticity accumulation curve fits the retained records, which is exactly the kind of bounded, falsifiable statement the design is built to produce</w:t>
      </w:r>
      <w:r>
        <w:t xml:space="preserve"> </w:t>
      </w:r>
      <w:hyperlink w:anchor="ref-6">
        <w:r>
          <w:rPr>
            <w:rStyle w:val="Hyperlink"/>
          </w:rPr>
          <w:t xml:space="preserve">[6]</w:t>
        </w:r>
      </w:hyperlink>
      <w:r>
        <w:t xml:space="preserve">.</w:t>
      </w:r>
    </w:p>
    <w:bookmarkEnd w:id="97"/>
    <w:bookmarkStart w:id="98" w:name="Xef0c7174c8163a83726b9b17783e8292663dfbb"/>
    <w:p>
      <w:pPr>
        <w:pStyle w:val="Heading2"/>
        <w:spacing w:line="480" w:lineRule="auto"/>
      </w:pPr>
      <w:r>
        <w:t xml:space="preserve">4.9 Pre-registration of the interpretive rule</w:t>
      </w:r>
    </w:p>
    <w:p>
      <w:pPr>
        <w:pStyle w:val="FirstParagraph"/>
        <w:spacing w:line="480" w:lineRule="auto"/>
      </w:pPr>
      <w:r>
        <w:t xml:space="preserve">The most important methodological commitment is not statistical but procedural: the rule for reading coefficients is fixed before the results are seen, not chosen afterward to flatter them. That rule has three clauses. A coefficient with a p-value below a conventional threshold reads as structure in the corpus. A coefficient above that threshold reads as absence of a strong claim, regardless of its sign. No coefficient, at any precision, reads as a causal effect on the world outside the corpus</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Fixing this rule in advance defends against the most common failure in applied policy work, which is not fraud but drift: the gradual, often unconscious promotion of a suggestive sign into a finding, and a finding into a recommendation. By committing to the rule before estimation, the design removes the analyst’s discretion at exactly the point where discretion does the most damage</w:t>
      </w:r>
      <w:r>
        <w:t xml:space="preserve"> </w:t>
      </w:r>
      <w:hyperlink w:anchor="ref-4">
        <w:r>
          <w:rPr>
            <w:rStyle w:val="Hyperlink"/>
          </w:rPr>
          <w:t xml:space="preserve">[4]</w:t>
        </w:r>
      </w:hyperlink>
      <w:r>
        <w:t xml:space="preserve">. The consequence is visible throughout Chapter 6. The negative recency coefficient has a sign that would fit the rising-concern story, and a less disciplined reading might lean on it. The rule forbids that lean, because the coefficient is imprecise, and the dissertation abides by the rule even where doing so costs it a tempting result</w:t>
      </w:r>
      <w:r>
        <w:t xml:space="preserve"> </w:t>
      </w:r>
      <w:hyperlink w:anchor="ref-5">
        <w:r>
          <w:rPr>
            <w:rStyle w:val="Hyperlink"/>
          </w:rPr>
          <w:t xml:space="preserve">[5]</w:t>
        </w:r>
      </w:hyperlink>
      <w:r>
        <w:t xml:space="preserve">.</w:t>
      </w:r>
    </w:p>
    <w:p>
      <w:pPr>
        <w:pStyle w:val="BodyText"/>
        <w:spacing w:line="480" w:lineRule="auto"/>
        <w:ind w:firstLine="720"/>
      </w:pPr>
      <w:r>
        <w:t xml:space="preserve">This is the identification contribution stated at the procedural level. Identification is usually discussed as a property of estimators, but in a screening study with proxy variables it is equally a property of the analyst’s commitments. A transparent estimator paired with an undisciplined interpreter identifies nothing reliable. The pairing here, transparent estimators plus a pre-committed reading rule, is what lets the study make claims a reader can trust to be bounded by the evidence rather than by the writer’s hopes</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98"/>
    <w:bookmarkStart w:id="99" w:name="Xe092d2e6df23b2cf552bd8dfb51f9858fa48f41"/>
    <w:p>
      <w:pPr>
        <w:pStyle w:val="Heading2"/>
        <w:spacing w:line="480" w:lineRule="auto"/>
      </w:pPr>
      <w:r>
        <w:t xml:space="preserve">4.10 What identification means in a screening study</w:t>
      </w:r>
    </w:p>
    <w:p>
      <w:pPr>
        <w:pStyle w:val="FirstParagraph"/>
        <w:spacing w:line="480" w:lineRule="auto"/>
      </w:pPr>
      <w:r>
        <w:t xml:space="preserve">The word identification carries heavy freight in econometrics, usually implying a design that recovers a causal parameter, and it is important to be exact about the lighter sense in which this study uses it. Here identification means that the estimated coefficient corresponds to a well-defined feature of the retained corpus, the linear conditional association between a predictor and the outcome, and that this feature is what the model recovers under stated assumptions</w:t>
      </w:r>
      <w:r>
        <w:t xml:space="preserve"> </w:t>
      </w:r>
      <w:hyperlink w:anchor="ref-2">
        <w:r>
          <w:rPr>
            <w:rStyle w:val="Hyperlink"/>
          </w:rPr>
          <w:t xml:space="preserve">[2]</w:t>
        </w:r>
      </w:hyperlink>
      <w:r>
        <w:t xml:space="preserve"> </w:t>
      </w:r>
      <w:hyperlink w:anchor="ref-5">
        <w:r>
          <w:rPr>
            <w:rStyle w:val="Hyperlink"/>
          </w:rPr>
          <w:t xml:space="preserve">[5]</w:t>
        </w:r>
      </w:hyperlink>
      <w:r>
        <w:t xml:space="preserve">. It does not mean the coefficient is a causal effect, and the study never smuggles the heavier meaning in through the lighter word.</w:t>
      </w:r>
    </w:p>
    <w:p>
      <w:pPr>
        <w:pStyle w:val="BodyText"/>
        <w:spacing w:line="480" w:lineRule="auto"/>
        <w:ind w:firstLine="720"/>
      </w:pPr>
      <w:r>
        <w:t xml:space="preserve">This distinction is not pedantic; it changes what a reader may conclude. Under the screening sense of identification, a precise venue coefficient licenses the statement that venue family covaries with topic signal in this corpus, holding the other predictors fixed</w:t>
      </w:r>
      <w:r>
        <w:t xml:space="preserve"> </w:t>
      </w:r>
      <w:hyperlink w:anchor="ref-3">
        <w:r>
          <w:rPr>
            <w:rStyle w:val="Hyperlink"/>
          </w:rPr>
          <w:t xml:space="preserve">[3]</w:t>
        </w:r>
      </w:hyperlink>
      <w:r>
        <w:t xml:space="preserve">. It does not license the statement that venue causes signal, nor that the same association would appear in a different corpus. The design earns the screening sense honestly, through transparent estimators and inspectable data, and refuses the causal sense, which its cross-sectional, proxy-based structure cannot support</w:t>
      </w:r>
      <w:r>
        <w:t xml:space="preserve"> </w:t>
      </w:r>
      <w:hyperlink w:anchor="ref-4">
        <w:r>
          <w:rPr>
            <w:rStyle w:val="Hyperlink"/>
          </w:rPr>
          <w:t xml:space="preserve">[4]</w:t>
        </w:r>
      </w:hyperlink>
      <w:r>
        <w:t xml:space="preserve">. Keeping these two senses apart is the single most important interpretive discipline the methodology imposes.</w:t>
      </w:r>
    </w:p>
    <w:p>
      <w:pPr>
        <w:pStyle w:val="BodyText"/>
        <w:spacing w:line="480" w:lineRule="auto"/>
        <w:ind w:firstLine="720"/>
      </w:pPr>
      <w:r>
        <w:t xml:space="preserve">A screening identification is worth having precisely because it is achievable where a causal one is not. Causal identification of commercial cadence’s governance effects would require rule-timing data, exogenous variation, and controls the documentary record does not contain</w:t>
      </w:r>
      <w:r>
        <w:t xml:space="preserve"> </w:t>
      </w:r>
      <w:hyperlink w:anchor="ref-8">
        <w:r>
          <w:rPr>
            <w:rStyle w:val="Hyperlink"/>
          </w:rPr>
          <w:t xml:space="preserve">[8]</w:t>
        </w:r>
      </w:hyperlink>
      <w:r>
        <w:t xml:space="preserve">. Screening identification requires only a fixed corpus, deterministic variables, and honest inference, all of which the study has. The contribution is to extract the strongest claim the available evidence can support, label it accurately, and stop, rather than to overreach toward a causal claim the data cannot ground</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99"/>
    <w:bookmarkStart w:id="100" w:name="estimation-software-and-reproducibility"/>
    <w:p>
      <w:pPr>
        <w:pStyle w:val="Heading2"/>
        <w:spacing w:line="480" w:lineRule="auto"/>
      </w:pPr>
      <w:r>
        <w:t xml:space="preserve">4.11 Estimation software and reproducibility</w:t>
      </w:r>
    </w:p>
    <w:p>
      <w:pPr>
        <w:pStyle w:val="FirstParagraph"/>
        <w:spacing w:line="480" w:lineRule="auto"/>
      </w:pPr>
      <w:r>
        <w:t xml:space="preserve">A methodological chapter should say how the numbers are produced, because reproducibility depends on the computation being as inspectable as the data. Both models are estimated with standard, widely available regression routines that compute ordinary least squares coefficients and HC1 robust covariance matrices by conventional formulas</w:t>
      </w:r>
      <w:r>
        <w:t xml:space="preserve"> </w:t>
      </w:r>
      <w:hyperlink w:anchor="ref-3">
        <w:r>
          <w:rPr>
            <w:rStyle w:val="Hyperlink"/>
          </w:rPr>
          <w:t xml:space="preserve">[3]</w:t>
        </w:r>
      </w:hyperlink>
      <w:r>
        <w:t xml:space="preserve">. Nothing in the estimation is bespoke. A reader with the same thirty rows and the same variable definitions would obtain the same coefficients, standard errors, and fit statistics, because the procedure contains no tuning parameter, no random seed, and no analyst discretion at the estimation step</w:t>
      </w:r>
      <w:r>
        <w:t xml:space="preserve"> </w:t>
      </w:r>
      <w:hyperlink w:anchor="ref-2">
        <w:r>
          <w:rPr>
            <w:rStyle w:val="Hyperlink"/>
          </w:rPr>
          <w:t xml:space="preserve">[2]</w:t>
        </w:r>
      </w:hyperlink>
      <w:r>
        <w:t xml:space="preserve">.</w:t>
      </w:r>
    </w:p>
    <w:p>
      <w:pPr>
        <w:pStyle w:val="BodyText"/>
        <w:spacing w:line="480" w:lineRule="auto"/>
        <w:ind w:firstLine="720"/>
      </w:pPr>
      <w:r>
        <w:t xml:space="preserve">This determinism is a design choice with real consequences for trust. When a result depends on a random initialization or a chosen hyperparameter, reproduction requires matching those choices, and the matching is itself a source of doubt. An ordinary least squares fit on a fixed dataset has no such degrees of freedom; it is a closed-form computation whose output is fully determined by its input</w:t>
      </w:r>
      <w:r>
        <w:t xml:space="preserve"> </w:t>
      </w:r>
      <w:hyperlink w:anchor="ref-4">
        <w:r>
          <w:rPr>
            <w:rStyle w:val="Hyperlink"/>
          </w:rPr>
          <w:t xml:space="preserve">[4]</w:t>
        </w:r>
      </w:hyperlink>
      <w:r>
        <w:t xml:space="preserve">. The study leans on that property deliberately, because the whole architecture, from provenance-tagged rows to deterministic variables to closed-form estimation, is built so that a skeptical reader can regenerate every reported number rather than take it on faith</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Taken together, the two senses of identification and the determinism of the estimation give the study a claim to reproducibility that few policy analyses can match: every number is recoverable, and every recovered number means exactly the bounded thing the chapter says it means</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contribution of this chapter is not a new estimator. It is a disciplined pairing of two familiar estimators with an explicit account of what each can and cannot support. The ordinary least squares model tests cross-sectional structure; the learning-curve model tests temporal accumulation; robust standard errors keep both inferences honest about heteroskedasticity; and a pre-committed interpretive rule keeps the prose from outrunning the numbers. That combination turns a claim that would otherwise remain rhetorical into one the data can confirm or reject</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next chapter documents the data those estimators run on, record by record and variable by variable, so that the results in Chapter 6 rest on a fully specified foundation</w:t>
      </w:r>
      <w:r>
        <w:t xml:space="preserve"> </w:t>
      </w:r>
      <w:hyperlink w:anchor="ref-9">
        <w:r>
          <w:rPr>
            <w:rStyle w:val="Hyperlink"/>
          </w:rPr>
          <w:t xml:space="preserve">[9]</w:t>
        </w:r>
      </w:hyperlink>
      <w:r>
        <w:t xml:space="preserve">.</w:t>
      </w:r>
    </w:p>
    <w:bookmarkEnd w:id="100"/>
    <w:bookmarkEnd w:id="101"/>
    <w:bookmarkStart w:id="112" w:name="chapter-5-data-and-measurement"/>
    <w:p>
      <w:pPr>
        <w:pStyle w:val="Heading1"/>
        <w:spacing w:line="480" w:lineRule="auto"/>
      </w:pPr>
      <w:r>
        <w:t xml:space="preserve">Chapter 5: Data and Measurement</w:t>
      </w:r>
    </w:p>
    <w:p>
      <w:pPr>
        <w:pStyle w:val="FirstParagraph"/>
        <w:spacing w:line="480" w:lineRule="auto"/>
      </w:pPr>
      <w:r>
        <w:t xml:space="preserve">The credibility of this dissertation rests on a dataset a reader could rebuild. Thirty retrieved source records, a handful of deterministic variables, and a provenance column on every row: that is the whole of it. This chapter documents the dataset in full, explains how each variable is constructed, states the sources it draws from, and confronts the measurement limitations that shape what the estimators in Chapter 6 can report. Nothing here is hidden behind a summary statistic. The data are small enough to describe honestly and important enough to describe completely.</w:t>
      </w:r>
    </w:p>
    <w:bookmarkStart w:id="102" w:name="the-corpus"/>
    <w:p>
      <w:pPr>
        <w:pStyle w:val="Heading2"/>
        <w:spacing w:line="480" w:lineRule="auto"/>
      </w:pPr>
      <w:r>
        <w:t xml:space="preserve">5.1 The corpus</w:t>
      </w:r>
    </w:p>
    <w:p>
      <w:pPr>
        <w:pStyle w:val="FirstParagraph"/>
        <w:spacing w:line="480" w:lineRule="auto"/>
      </w:pPr>
      <w:r>
        <w:t xml:space="preserve">The estimation sample contains thirty retrieved source records. Each record corresponds to a document in the candidate’s source corpus, and each is retained with a source identifier, either a public conference URL or a document object identifier, so that the row can be traced back to the original. This provenance column is not decoration. It is the mechanism by which the entire analysis stays auditable. A reader who doubts a row can open the source and check the fields the variables are built from</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corpus spans three venue families. Conference proceedings from the space surveillance community supply the technical and policy records, including a memo on the space debris summit and active debris removal</w:t>
      </w:r>
      <w:r>
        <w:t xml:space="preserve"> </w:t>
      </w:r>
      <w:hyperlink w:anchor="ref-1">
        <w:r>
          <w:rPr>
            <w:rStyle w:val="Hyperlink"/>
          </w:rPr>
          <w:t xml:space="preserve">[1]</w:t>
        </w:r>
      </w:hyperlink>
      <w:r>
        <w:t xml:space="preserve">, work on decentralized space information sharing</w:t>
      </w:r>
      <w:r>
        <w:t xml:space="preserve"> </w:t>
      </w:r>
      <w:hyperlink w:anchor="ref-3">
        <w:r>
          <w:rPr>
            <w:rStyle w:val="Hyperlink"/>
          </w:rPr>
          <w:t xml:space="preserve">[3]</w:t>
        </w:r>
      </w:hyperlink>
      <w:r>
        <w:t xml:space="preserve">, and an analysis of the fundamental role of wide-field imaging in space situational awareness</w:t>
      </w:r>
      <w:r>
        <w:t xml:space="preserve"> </w:t>
      </w:r>
      <w:hyperlink w:anchor="ref-6">
        <w:r>
          <w:rPr>
            <w:rStyle w:val="Hyperlink"/>
          </w:rPr>
          <w:t xml:space="preserve">[6]</w:t>
        </w:r>
      </w:hyperlink>
      <w:r>
        <w:t xml:space="preserve">. Journal articles from Acta Astronautica supply the second family, including reference-scenario development for space environment modeling</w:t>
      </w:r>
      <w:r>
        <w:t xml:space="preserve"> </w:t>
      </w:r>
      <w:hyperlink w:anchor="ref-2">
        <w:r>
          <w:rPr>
            <w:rStyle w:val="Hyperlink"/>
          </w:rPr>
          <w:t xml:space="preserve">[2]</w:t>
        </w:r>
      </w:hyperlink>
      <w:r>
        <w:t xml:space="preserve">, socio-technical configuration analysis of space objects</w:t>
      </w:r>
      <w:r>
        <w:t xml:space="preserve"> </w:t>
      </w:r>
      <w:hyperlink w:anchor="ref-4">
        <w:r>
          <w:rPr>
            <w:rStyle w:val="Hyperlink"/>
          </w:rPr>
          <w:t xml:space="preserve">[4]</w:t>
        </w:r>
      </w:hyperlink>
      <w:r>
        <w:t xml:space="preserve">, and work on trusted stakeholder coordination</w:t>
      </w:r>
      <w:r>
        <w:t xml:space="preserve"> </w:t>
      </w:r>
      <w:hyperlink w:anchor="ref-5">
        <w:r>
          <w:rPr>
            <w:rStyle w:val="Hyperlink"/>
          </w:rPr>
          <w:t xml:space="preserve">[5]</w:t>
        </w:r>
      </w:hyperlink>
      <w:r>
        <w:t xml:space="preserve">. Economics-oriented sources on the new space economy supply the third</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The three families are the basis of the venue variable, and their presence together is what makes a test of topical spread meaningful.</w:t>
      </w:r>
    </w:p>
    <w:bookmarkEnd w:id="102"/>
    <w:bookmarkStart w:id="103" w:name="the-outcome-variable-topic-signal-score"/>
    <w:p>
      <w:pPr>
        <w:pStyle w:val="Heading2"/>
        <w:spacing w:line="480" w:lineRule="auto"/>
      </w:pPr>
      <w:r>
        <w:t xml:space="preserve">5.2 The outcome variable: topic-signal score</w:t>
      </w:r>
    </w:p>
    <w:p>
      <w:pPr>
        <w:pStyle w:val="FirstParagraph"/>
        <w:spacing w:line="480" w:lineRule="auto"/>
      </w:pPr>
      <w:r>
        <w:t xml:space="preserve">The dependent variable in the first model is a composite topic-signal score. It is a deterministic count of how strongly a source matches the candidate theme, built from term hits in four fields: the source title, its snippet, its keyword field, and its author metadata. A source whose title, snippet, and keywords all echo the candidate theme scores higher than a source that mentions it once in passing. The construction is mechanical by design, so that no interpretive judgment enters the outcome</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dataset preserves the components that feed the score. Each row records the count of title words, snippet words, keywords, and theme hits, alongside the final signal score. Retaining the components matters for inspection: a skeptical reader can verify that the composite score reflects the underlying field counts rather than an opaque aggregation. In the observed data the signal score ranges across the corpus from low single digits to values near ten, giving the outcome enough spread to support a regression</w:t>
      </w:r>
      <w:r>
        <w:t xml:space="preserve"> </w:t>
      </w:r>
      <w:hyperlink w:anchor="ref-5">
        <w:r>
          <w:rPr>
            <w:rStyle w:val="Hyperlink"/>
          </w:rPr>
          <w:t xml:space="preserve">[5]</w:t>
        </w:r>
      </w:hyperlink>
      <w:r>
        <w:t xml:space="preserve">.</w:t>
      </w:r>
    </w:p>
    <w:bookmarkEnd w:id="103"/>
    <w:bookmarkStart w:id="104" w:name="the-predictors"/>
    <w:p>
      <w:pPr>
        <w:pStyle w:val="Heading2"/>
        <w:spacing w:line="480" w:lineRule="auto"/>
      </w:pPr>
      <w:r>
        <w:t xml:space="preserve">5.3 The predictors</w:t>
      </w:r>
    </w:p>
    <w:p>
      <w:pPr>
        <w:pStyle w:val="FirstParagraph"/>
        <w:spacing w:line="480" w:lineRule="auto"/>
      </w:pPr>
      <w:r>
        <w:t xml:space="preserve">Three predictors enter the first model, each constructed from observable metadata.</w:t>
      </w:r>
    </w:p>
    <w:p>
      <w:pPr>
        <w:pStyle w:val="BodyText"/>
        <w:spacing w:line="480" w:lineRule="auto"/>
        <w:ind w:firstLine="720"/>
      </w:pPr>
      <w:r>
        <w:t xml:space="preserve">The recency index is computed as a source’s publication year minus the minimum publication year in the sample, plus one. The construction turns absolute years into a relative scale anchored at the oldest record, so the newest sources carry the highest index. In the corpus, publication years run from 2021 to 2025, which places the recency index between eleven and fifteen on the sample’s internal scale. The variable answers a simple question: is this source recent relative to the rest of the retained field</w:t>
      </w:r>
      <w:r>
        <w:t xml:space="preserve"> </w:t>
      </w:r>
      <w:hyperlink w:anchor="ref-4">
        <w:r>
          <w:rPr>
            <w:rStyle w:val="Hyperlink"/>
          </w:rPr>
          <w:t xml:space="preserve">[4]</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The citation count is parsed directly from the local index’s citation field, set to zero where the index reports no count. This is the most limited variable in the dataset, and its limitation is worth stating up front. The local index reports zero citations for many records, so the citation variable is floored across much of the corpus. That flooring shapes what the citation coefficient can reveal, and the interpretation in Chapter 6 treats a weak citation term as partly a consequence of this measurement floor rather than purely a statement about attention</w:t>
      </w:r>
      <w:r>
        <w:t xml:space="preserve"> </w:t>
      </w:r>
      <w:hyperlink w:anchor="ref-2">
        <w:r>
          <w:rPr>
            <w:rStyle w:val="Hyperlink"/>
          </w:rPr>
          <w:t xml:space="preserve">[2]</w:t>
        </w:r>
      </w:hyperlink>
      <w:r>
        <w:t xml:space="preserve">.</w:t>
      </w:r>
    </w:p>
    <w:p>
      <w:pPr>
        <w:pStyle w:val="BodyText"/>
        <w:spacing w:line="480" w:lineRule="auto"/>
        <w:ind w:firstLine="720"/>
      </w:pPr>
      <w:r>
        <w:t xml:space="preserve">The venue score is an ordinal code: one for the space surveillance conference family, two for Acta Astronautica, three for the space economy family. The ordering is a coding convention, not a claim that a space-economy venue is three times anything. The variable is ordinal, and the design reads its coefficient cautiously for exactly that reason</w:t>
      </w:r>
      <w:r>
        <w:t xml:space="preserve"> </w:t>
      </w:r>
      <w:hyperlink w:anchor="ref-3">
        <w:r>
          <w:rPr>
            <w:rStyle w:val="Hyperlink"/>
          </w:rPr>
          <w:t xml:space="preserve">[3]</w:t>
        </w:r>
      </w:hyperlink>
      <w:r>
        <w:t xml:space="preserve"> </w:t>
      </w:r>
      <w:hyperlink w:anchor="ref-11">
        <w:r>
          <w:rPr>
            <w:rStyle w:val="Hyperlink"/>
          </w:rPr>
          <w:t xml:space="preserve">[11]</w:t>
        </w:r>
      </w:hyperlink>
      <w:r>
        <w:t xml:space="preserve">. Coding venue this way lets the model ask whether topical signal shifts across venue families while holding recency and citation fixed, which is the closest the metadata comes to a test of topical spread.</w:t>
      </w:r>
    </w:p>
    <w:bookmarkEnd w:id="104"/>
    <w:bookmarkStart w:id="105" w:name="the-second-dataset-age-and-attention"/>
    <w:p>
      <w:pPr>
        <w:pStyle w:val="Heading2"/>
        <w:spacing w:line="480" w:lineRule="auto"/>
      </w:pPr>
      <w:r>
        <w:t xml:space="preserve">5.4 The second dataset: age and attention</w:t>
      </w:r>
    </w:p>
    <w:p>
      <w:pPr>
        <w:pStyle w:val="FirstParagraph"/>
        <w:spacing w:line="480" w:lineRule="auto"/>
      </w:pPr>
      <w:r>
        <w:t xml:space="preserve">The learning-curve model uses a companion dataset built from the same thirty records but organized around accumulation. Its outcome is citation count plus one, the transform that keeps uncited records in a log specification. Its single predictor is a document-age index, computed as 2026 minus the publication year, plus one. A source from 2021 carries an age index of six; a source from 2025 carries an age index of two</w:t>
      </w:r>
      <w:r>
        <w:t xml:space="preserve"> </w:t>
      </w:r>
      <w:hyperlink w:anchor="ref-1">
        <w:r>
          <w:rPr>
            <w:rStyle w:val="Hyperlink"/>
          </w:rPr>
          <w:t xml:space="preserve">[1]</w:t>
        </w:r>
      </w:hyperlink>
      <w:r>
        <w:t xml:space="preserve">.</w:t>
      </w:r>
    </w:p>
    <w:p>
      <w:pPr>
        <w:pStyle w:val="BodyText"/>
        <w:spacing w:line="480" w:lineRule="auto"/>
        <w:ind w:firstLine="720"/>
      </w:pPr>
      <w:r>
        <w:t xml:space="preserve">The two datasets are deliberately consistent. They cover the same records, preserve the same provenance, and derive their variables from the same underlying fields. A reader can move between them and confirm that the age index in the second is the arithmetic complement of the recency index in the first. This consistency is part of the auditability commitment: the two models are not run on quietly different samples, but on two views of one fixed corpus</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05"/>
    <w:bookmarkStart w:id="106" w:name="provenance-and-reproducibility"/>
    <w:p>
      <w:pPr>
        <w:pStyle w:val="Heading2"/>
        <w:spacing w:line="480" w:lineRule="auto"/>
      </w:pPr>
      <w:r>
        <w:t xml:space="preserve">5.5 Provenance and reproducibility</w:t>
      </w:r>
    </w:p>
    <w:p>
      <w:pPr>
        <w:pStyle w:val="FirstParagraph"/>
        <w:spacing w:line="480" w:lineRule="auto"/>
      </w:pPr>
      <w:r>
        <w:t xml:space="preserve">The data strategy follows a strict hierarchy, and stating it makes the reproducibility claim precise. The bibliography and source metadata establish the universe of records. The paper datasets define the rows, one per retained source. The configuration files define the variables and the estimator formulas. The workbooks reproduce the estimator output from those rows and definitions. The dissertation narrative sits downstream of all four, reporting what the artifacts produce rather than asserting results the artifacts do not contain</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This ordering has a consequence worth making explicit. Because the narrative is downstream, it cannot introduce a number that the workbook did not generate. Every coefficient reported in Chapter 6 exists first in the workbook output and only then in the prose. A reader who wants to check the dissertation checks the workbook, and the workbook checks the rows, and the rows carry their sources. The chain closes</w:t>
      </w:r>
      <w:r>
        <w:t xml:space="preserve"> </w:t>
      </w:r>
      <w:hyperlink w:anchor="ref-2">
        <w:r>
          <w:rPr>
            <w:rStyle w:val="Hyperlink"/>
          </w:rPr>
          <w:t xml:space="preserve">[2]</w:t>
        </w:r>
      </w:hyperlink>
      <w:r>
        <w:t xml:space="preserve">.</w:t>
      </w:r>
    </w:p>
    <w:bookmarkEnd w:id="106"/>
    <w:bookmarkStart w:id="107" w:name="measurement-validity"/>
    <w:p>
      <w:pPr>
        <w:pStyle w:val="Heading2"/>
        <w:spacing w:line="480" w:lineRule="auto"/>
      </w:pPr>
      <w:r>
        <w:t xml:space="preserve">5.6 Measurement validity</w:t>
      </w:r>
    </w:p>
    <w:p>
      <w:pPr>
        <w:pStyle w:val="FirstParagraph"/>
        <w:spacing w:line="480" w:lineRule="auto"/>
      </w:pPr>
      <w:r>
        <w:t xml:space="preserve">Measurement validity here is a question of fit between what the design asks and what the data can answer. The design is strongest when it asks whether observable records contain structure, because that is precisely what the retained metadata can speak to. It is weakest, and the dissertation says so, when read as proof of a policy or program outcome outside the corpus, because the metadata contains no such outcome to measure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Three specific limits bound the measurement. The citation floor compresses the attention variable, as already noted. The ordinal venue code cannot distinguish substantive spread from publication practice. The topic-signal count simplifies a complex concept into a term-matching procedure that captures topical presence but not topical importance</w:t>
      </w:r>
      <w:r>
        <w:t xml:space="preserve"> </w:t>
      </w:r>
      <w:hyperlink w:anchor="ref-6">
        <w:r>
          <w:rPr>
            <w:rStyle w:val="Hyperlink"/>
          </w:rPr>
          <w:t xml:space="preserve">[6]</w:t>
        </w:r>
      </w:hyperlink>
      <w:r>
        <w:t xml:space="preserve">. None of these limits is fatal, and none is concealed. They define the ceiling on interpretation that Chapter 6 respects when it reports the exact estimator output and reads it as corpus-screen evidence rather than as a verdict on the space sector</w:t>
      </w:r>
      <w:r>
        <w:t xml:space="preserve"> </w:t>
      </w:r>
      <w:hyperlink w:anchor="ref-1">
        <w:r>
          <w:rPr>
            <w:rStyle w:val="Hyperlink"/>
          </w:rPr>
          <w:t xml:space="preserve">[1]</w:t>
        </w:r>
      </w:hyperlink>
      <w:r>
        <w:t xml:space="preserve">.</w:t>
      </w:r>
    </w:p>
    <w:bookmarkEnd w:id="107"/>
    <w:bookmarkStart w:id="108" w:name="a-closer-look-at-the-retained-records"/>
    <w:p>
      <w:pPr>
        <w:pStyle w:val="Heading2"/>
        <w:spacing w:line="480" w:lineRule="auto"/>
      </w:pPr>
      <w:r>
        <w:t xml:space="preserve">5.7 A closer look at the retained records</w:t>
      </w:r>
    </w:p>
    <w:p>
      <w:pPr>
        <w:pStyle w:val="FirstParagraph"/>
        <w:spacing w:line="480" w:lineRule="auto"/>
      </w:pPr>
      <w:r>
        <w:t xml:space="preserve">It helps to describe a few records concretely, because an abstract account of thirty rows can obscure what the corpus actually contains. The debris summit memo enters the corpus as a technical-policy record from 2022, in the space surveillance conference family, with a recency index of twelve on the sample’s internal scale and a topic-signal score in the middle of the observed range</w:t>
      </w:r>
      <w:r>
        <w:t xml:space="preserve"> </w:t>
      </w:r>
      <w:hyperlink w:anchor="ref-1">
        <w:r>
          <w:rPr>
            <w:rStyle w:val="Hyperlink"/>
          </w:rPr>
          <w:t xml:space="preserve">[1]</w:t>
        </w:r>
      </w:hyperlink>
      <w:r>
        <w:t xml:space="preserve">. The reference-scenario work enters from 2024, in the Acta Astronautica family, with a higher recency index and a lower topic-signal score, reflecting that its title and metadata match the candidate theme less densely even though its author base is unusually broad</w:t>
      </w:r>
      <w:r>
        <w:t xml:space="preserve"> </w:t>
      </w:r>
      <w:hyperlink w:anchor="ref-2">
        <w:r>
          <w:rPr>
            <w:rStyle w:val="Hyperlink"/>
          </w:rPr>
          <w:t xml:space="preserve">[2]</w:t>
        </w:r>
      </w:hyperlink>
      <w:r>
        <w:t xml:space="preserve">. The information-sharing record from 2021 sits at the low end of the recency scale, anchoring the oldest edge of the sample, and carries a strong topic-signal score consistent with its close fit to the governance theme</w:t>
      </w:r>
      <w:r>
        <w:t xml:space="preserve"> </w:t>
      </w:r>
      <w:hyperlink w:anchor="ref-3">
        <w:r>
          <w:rPr>
            <w:rStyle w:val="Hyperlink"/>
          </w:rPr>
          <w:t xml:space="preserve">[3]</w:t>
        </w:r>
      </w:hyperlink>
      <w:r>
        <w:t xml:space="preserve">.</w:t>
      </w:r>
    </w:p>
    <w:p>
      <w:pPr>
        <w:pStyle w:val="BodyText"/>
        <w:spacing w:line="480" w:lineRule="auto"/>
        <w:ind w:firstLine="720"/>
      </w:pPr>
      <w:r>
        <w:t xml:space="preserve">These examples make the venue coding tangible. A conference proceeding and a journal article on adjacent concerns receive different venue scores, one and two respectively, not because one is more important but because they reach different audiences and follow different conventions</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corpus contains enough of both, plus the economics-oriented records that receive a venue score of three, for the venue variable to have real variation to work with</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This is the practical reason the venue term can be estimated precisely later: the three families are all present in usable numbers, so the model is not asked to extrapolate a venue effect from a family it barely observes.</w:t>
      </w:r>
    </w:p>
    <w:p>
      <w:pPr>
        <w:pStyle w:val="BodyText"/>
        <w:spacing w:line="480" w:lineRule="auto"/>
        <w:ind w:firstLine="720"/>
      </w:pPr>
      <w:r>
        <w:t xml:space="preserve">The citation column tells a starker story when examined record by record. Across the retained sources, the local index reports zero citations for the great majority, including several records that are certainly cited in the wider literature</w:t>
      </w:r>
      <w:r>
        <w:t xml:space="preserve"> </w:t>
      </w:r>
      <w:hyperlink w:anchor="ref-2">
        <w:r>
          <w:rPr>
            <w:rStyle w:val="Hyperlink"/>
          </w:rPr>
          <w:t xml:space="preserve">[2]</w:t>
        </w:r>
      </w:hyperlink>
      <w:r>
        <w:t xml:space="preserve"> </w:t>
      </w:r>
      <w:hyperlink w:anchor="ref-5">
        <w:r>
          <w:rPr>
            <w:rStyle w:val="Hyperlink"/>
          </w:rPr>
          <w:t xml:space="preserve">[5]</w:t>
        </w:r>
      </w:hyperlink>
      <w:r>
        <w:t xml:space="preserve">. This is not an error in the data so much as a property of the local index, which captures citations recorded in its own holdings rather than universal citation counts. The consequence is a citation variable that is nearly constant across the corpus, and a nearly constant variable cannot explain variation in an outcome no matter how the model is specified. Seeing this at the record level, rather than inferring it from a summary, is what justifies the caution the interpretation later applies to every citation-based claim.</w:t>
      </w:r>
    </w:p>
    <w:bookmarkEnd w:id="108"/>
    <w:bookmarkStart w:id="109" w:name="the-provenance-discipline-in-practice"/>
    <w:p>
      <w:pPr>
        <w:pStyle w:val="Heading2"/>
        <w:spacing w:line="480" w:lineRule="auto"/>
      </w:pPr>
      <w:r>
        <w:t xml:space="preserve">5.8 The provenance discipline in practice</w:t>
      </w:r>
    </w:p>
    <w:p>
      <w:pPr>
        <w:pStyle w:val="FirstParagraph"/>
        <w:spacing w:line="480" w:lineRule="auto"/>
      </w:pPr>
      <w:r>
        <w:t xml:space="preserve">The provenance column is easy to describe and easy to underrate, so it is worth showing what it buys. Every row carries either a conference URL or a document object identifier that resolves to the original source</w:t>
      </w:r>
      <w:r>
        <w:t xml:space="preserve"> </w:t>
      </w:r>
      <w:hyperlink w:anchor="ref-1">
        <w:r>
          <w:rPr>
            <w:rStyle w:val="Hyperlink"/>
          </w:rPr>
          <w:t xml:space="preserve">[1]</w:t>
        </w:r>
      </w:hyperlink>
      <w:r>
        <w:t xml:space="preserve"> </w:t>
      </w:r>
      <w:hyperlink w:anchor="ref-3">
        <w:r>
          <w:rPr>
            <w:rStyle w:val="Hyperlink"/>
          </w:rPr>
          <w:t xml:space="preserve">[3]</w:t>
        </w:r>
      </w:hyperlink>
      <w:r>
        <w:t xml:space="preserve">. This means the audit chain is not a promise but a mechanism: a reader who doubts that a particular record’s topic-signal score is correct can open the source, read the title and snippet, count the theme hits, and confirm or refute the value. The design does not ask for trust where it can supply verification.</w:t>
      </w:r>
    </w:p>
    <w:p>
      <w:pPr>
        <w:pStyle w:val="BodyText"/>
        <w:spacing w:line="480" w:lineRule="auto"/>
        <w:ind w:firstLine="720"/>
      </w:pPr>
      <w:r>
        <w:t xml:space="preserve">This discipline also constrains the analyst, which is its real purpose. Because every variable must be derivable from fields a reader can inspect, the analyst cannot introduce a hand-tuned adjustment, an outlier drop, or a favorable recode without the change being visible in the gap between the source and the reported value</w:t>
      </w:r>
      <w:r>
        <w:t xml:space="preserve"> </w:t>
      </w:r>
      <w:hyperlink w:anchor="ref-4">
        <w:r>
          <w:rPr>
            <w:rStyle w:val="Hyperlink"/>
          </w:rPr>
          <w:t xml:space="preserve">[4]</w:t>
        </w:r>
      </w:hyperlink>
      <w:r>
        <w:t xml:space="preserve"> </w:t>
      </w:r>
      <w:hyperlink w:anchor="ref-5">
        <w:r>
          <w:rPr>
            <w:rStyle w:val="Hyperlink"/>
          </w:rPr>
          <w:t xml:space="preserve">[5]</w:t>
        </w:r>
      </w:hyperlink>
      <w:r>
        <w:t xml:space="preserve">. Auditability is usually presented as a service to the reader, and it is, but it is equally a constraint on the writer, and the constraint is what gives the reader’s audit something to find or fail to find. A study that could be quietly adjusted is a study whose clean results prove less than they appear to.</w:t>
      </w:r>
    </w:p>
    <w:p>
      <w:pPr>
        <w:pStyle w:val="BodyText"/>
        <w:spacing w:line="480" w:lineRule="auto"/>
        <w:ind w:firstLine="720"/>
      </w:pPr>
      <w:r>
        <w:t xml:space="preserve">The hierarchy from bibliography to rows to configuration to workbook, described earlier as an ordering of artifacts, is enforced by this same provenance logic. Each layer references the one below it, so a claim in the narrative can be traced down through the workbook to the configuration that defines its variable and finally to the row and its source</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chain has no gap at which an unverifiable judgment could enter. That closure is the single most important property of the dataset, more important than its size or its coverage, because it is what makes the modest findings that follow worth reporting at all.</w:t>
      </w:r>
    </w:p>
    <w:bookmarkEnd w:id="109"/>
    <w:bookmarkStart w:id="110" w:name="X69dd176078e6e4a89af7a724aafda5f9cddaff1"/>
    <w:p>
      <w:pPr>
        <w:pStyle w:val="Heading2"/>
        <w:spacing w:line="480" w:lineRule="auto"/>
      </w:pPr>
      <w:r>
        <w:t xml:space="preserve">5.9 Fit between the data and the question, revisited</w:t>
      </w:r>
    </w:p>
    <w:p>
      <w:pPr>
        <w:pStyle w:val="FirstParagraph"/>
        <w:spacing w:line="480" w:lineRule="auto"/>
      </w:pPr>
      <w:r>
        <w:t xml:space="preserve">Having described the data in full, the fit between what it can answer and what the study asks can now be stated precisely rather than abstractly. The venue question is well matched to the data: three venue families are present, the coding is transparent, and the topic-signal outcome varies enough to detect a venue relationship</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The recency question is moderately matched: the year range from 2021 to 2025 gives the recency index real spread, though five years is a short window in which to detect a temporal skew</w:t>
      </w:r>
      <w:r>
        <w:t xml:space="preserve"> </w:t>
      </w:r>
      <w:hyperlink w:anchor="ref-4">
        <w:r>
          <w:rPr>
            <w:rStyle w:val="Hyperlink"/>
          </w:rPr>
          <w:t xml:space="preserve">[4]</w:t>
        </w:r>
      </w:hyperlink>
      <w:r>
        <w:t xml:space="preserve"> </w:t>
      </w:r>
      <w:hyperlink w:anchor="ref-15">
        <w:r>
          <w:rPr>
            <w:rStyle w:val="Hyperlink"/>
          </w:rPr>
          <w:t xml:space="preserve">[15]</w:t>
        </w:r>
      </w:hyperlink>
      <w:r>
        <w:t xml:space="preserve">. The citation and accumulation questions are poorly matched, not because the design is flawed but because the local citation index floors the relevant variable, leaving almost nothing for the attention and learning-curve analyses to work with</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Naming this fit before the results is a deliberate act of expectation-setting. A reader who understands, from the data description alone, that venue is the well-measured channel and attention is the poorly-measured one will not be surprised when Chapter 6 reports a precise venue coefficient and null attention results. The pattern of findings is, in a real sense, foreseeable from the dataset, and foreseeing it from the data rather than discovering it in the output is exactly the transparency the design is meant to deliver</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10"/>
    <w:bookmarkStart w:id="111" w:name="the-topic-signal-construction-examined"/>
    <w:p>
      <w:pPr>
        <w:pStyle w:val="Heading2"/>
        <w:spacing w:line="480" w:lineRule="auto"/>
      </w:pPr>
      <w:r>
        <w:t xml:space="preserve">5.10 The topic-signal construction examined</w:t>
      </w:r>
    </w:p>
    <w:p>
      <w:pPr>
        <w:pStyle w:val="FirstParagraph"/>
        <w:spacing w:line="480" w:lineRule="auto"/>
      </w:pPr>
      <w:r>
        <w:t xml:space="preserve">The topic-signal score deserves one more pass, because it is the outcome of the central model and its construction shapes what the whole study can claim. The score counts theme term hits across four fields, and the dataset preserves the intermediate counts, title words, snippet words, keyword count, and theme hits, so the aggregation is fully visible</w:t>
      </w:r>
      <w:r>
        <w:t xml:space="preserve"> </w:t>
      </w:r>
      <w:hyperlink w:anchor="ref-2">
        <w:r>
          <w:rPr>
            <w:rStyle w:val="Hyperlink"/>
          </w:rPr>
          <w:t xml:space="preserve">[2]</w:t>
        </w:r>
      </w:hyperlink>
      <w:r>
        <w:t xml:space="preserve"> </w:t>
      </w:r>
      <w:hyperlink w:anchor="ref-4">
        <w:r>
          <w:rPr>
            <w:rStyle w:val="Hyperlink"/>
          </w:rPr>
          <w:t xml:space="preserve">[4]</w:t>
        </w:r>
      </w:hyperlink>
      <w:r>
        <w:t xml:space="preserve">. A reader can see that a record scoring seven does so because its title and keyword fields carry several theme terms, not because of an opaque weighting. This transparency is what lets the score serve as an auditable outcome rather than a black box.</w:t>
      </w:r>
    </w:p>
    <w:p>
      <w:pPr>
        <w:pStyle w:val="BodyText"/>
        <w:spacing w:line="480" w:lineRule="auto"/>
        <w:ind w:firstLine="720"/>
      </w:pPr>
      <w:r>
        <w:t xml:space="preserve">The construction also has a known bias the interpretation must carry. Term matching rewards sources whose metadata happens to use the candidate theme’s vocabulary and penalizes sources that address the concern in different words</w:t>
      </w:r>
      <w:r>
        <w:t xml:space="preserve"> </w:t>
      </w:r>
      <w:hyperlink w:anchor="ref-5">
        <w:r>
          <w:rPr>
            <w:rStyle w:val="Hyperlink"/>
          </w:rPr>
          <w:t xml:space="preserve">[5]</w:t>
        </w:r>
      </w:hyperlink>
      <w:r>
        <w:t xml:space="preserve">. A record engaging commercial cadence through, say, the language of market competition rather than the exact theme terms would score lower despite being substantively relevant</w:t>
      </w:r>
      <w:r>
        <w:t xml:space="preserve"> </w:t>
      </w:r>
      <w:hyperlink w:anchor="ref-7">
        <w:r>
          <w:rPr>
            <w:rStyle w:val="Hyperlink"/>
          </w:rPr>
          <w:t xml:space="preserve">[7]</w:t>
        </w:r>
      </w:hyperlink>
      <w:r>
        <w:t xml:space="preserve">. The score therefore measures topical vocabulary presence, a proxy for relevance, not relevance itself, and the venue finding must be read as a finding about where that vocabulary concentrates</w:t>
      </w:r>
      <w:r>
        <w:t xml:space="preserve"> </w:t>
      </w:r>
      <w:hyperlink w:anchor="ref-3">
        <w:r>
          <w:rPr>
            <w:rStyle w:val="Hyperlink"/>
          </w:rPr>
          <w:t xml:space="preserve">[3]</w:t>
        </w:r>
      </w:hyperlink>
      <w:r>
        <w:t xml:space="preserve"> </w:t>
      </w:r>
      <w:hyperlink w:anchor="ref-6">
        <w:r>
          <w:rPr>
            <w:rStyle w:val="Hyperlink"/>
          </w:rPr>
          <w:t xml:space="preserve">[6]</w:t>
        </w:r>
      </w:hyperlink>
      <w:r>
        <w:t xml:space="preserve">. Naming this bias is the last piece of specifying the outcome honestly, and it is the reason Chapter 8 recommends replacing the count with direct human coding in any successor study.</w:t>
      </w:r>
    </w:p>
    <w:p>
      <w:pPr>
        <w:pStyle w:val="BodyText"/>
        <w:spacing w:line="480" w:lineRule="auto"/>
        <w:ind w:firstLine="720"/>
      </w:pPr>
      <w:r>
        <w:t xml:space="preserve">One last property of the dataset bears emphasis before the results. The two datasets, the cross-sectional one and the age-based one, are not independent constructions that happen to overlap; they are two organized views of a single fixed set of thirty records, sharing provenance, years, and the underlying fields from which every variable derives</w:t>
      </w:r>
      <w:r>
        <w:t xml:space="preserve"> </w:t>
      </w:r>
      <w:hyperlink w:anchor="ref-2">
        <w:r>
          <w:rPr>
            <w:rStyle w:val="Hyperlink"/>
          </w:rPr>
          <w:t xml:space="preserve">[2]</w:t>
        </w:r>
      </w:hyperlink>
      <w:r>
        <w:t xml:space="preserve"> </w:t>
      </w:r>
      <w:hyperlink w:anchor="ref-4">
        <w:r>
          <w:rPr>
            <w:rStyle w:val="Hyperlink"/>
          </w:rPr>
          <w:t xml:space="preserve">[4]</w:t>
        </w:r>
      </w:hyperlink>
      <w:r>
        <w:t xml:space="preserve">. A reader who verifies one view has verified most of the other, because the age index is the arithmetic complement of the recency index and the citation columns are identical</w:t>
      </w:r>
      <w:r>
        <w:t xml:space="preserve"> </w:t>
      </w:r>
      <w:hyperlink w:anchor="ref-1">
        <w:r>
          <w:rPr>
            <w:rStyle w:val="Hyperlink"/>
          </w:rPr>
          <w:t xml:space="preserve">[1]</w:t>
        </w:r>
      </w:hyperlink>
      <w:r>
        <w:t xml:space="preserve"> </w:t>
      </w:r>
      <w:hyperlink w:anchor="ref-6">
        <w:r>
          <w:rPr>
            <w:rStyle w:val="Hyperlink"/>
          </w:rPr>
          <w:t xml:space="preserve">[6]</w:t>
        </w:r>
      </w:hyperlink>
      <w:r>
        <w:t xml:space="preserve">. This shared foundation means the two models cannot quietly disagree about what corpus they are describing, which is a small but real guarantee that the asymmetry in their results reflects the data’s structure rather than a difference in samples</w:t>
      </w:r>
      <w:r>
        <w:t xml:space="preserve"> </w:t>
      </w:r>
      <w:hyperlink w:anchor="ref-5">
        <w:r>
          <w:rPr>
            <w:rStyle w:val="Hyperlink"/>
          </w:rPr>
          <w:t xml:space="preserve">[5]</w:t>
        </w:r>
      </w:hyperlink>
      <w:r>
        <w:t xml:space="preserve">.</w:t>
      </w:r>
    </w:p>
    <w:p>
      <w:pPr>
        <w:pStyle w:val="BodyText"/>
        <w:spacing w:line="480" w:lineRule="auto"/>
        <w:ind w:firstLine="720"/>
      </w:pPr>
      <w:r>
        <w:t xml:space="preserve">With the corpus described, the variables constructed, and the limits named, the analysis is fully specified. The results chapter reports what the two estimators return when run on these thirty records, coefficient by coefficient, and interprets the signs and magnitudes within the boundary this chapter has drawn</w:t>
      </w:r>
      <w:r>
        <w:t xml:space="preserve"> </w:t>
      </w:r>
      <w:hyperlink w:anchor="ref-7">
        <w:r>
          <w:rPr>
            <w:rStyle w:val="Hyperlink"/>
          </w:rPr>
          <w:t xml:space="preserve">[7]</w:t>
        </w:r>
      </w:hyperlink>
      <w:r>
        <w:t xml:space="preserve"> </w:t>
      </w:r>
      <w:hyperlink w:anchor="ref-8">
        <w:r>
          <w:rPr>
            <w:rStyle w:val="Hyperlink"/>
          </w:rPr>
          <w:t xml:space="preserve">[8]</w:t>
        </w:r>
      </w:hyperlink>
      <w:r>
        <w:t xml:space="preserve">. Because the dataset is small, fully described, and provenance-tagged, the reader approaches those results already knowing where the evidence is strong and where it is floored, which is precisely the informed vantage a screening study should give before its findings arrive</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11"/>
    <w:bookmarkEnd w:id="112"/>
    <w:bookmarkStart w:id="123" w:name="chapter-6-results"/>
    <w:p>
      <w:pPr>
        <w:pStyle w:val="Heading1"/>
        <w:spacing w:line="480" w:lineRule="auto"/>
      </w:pPr>
      <w:r>
        <w:t xml:space="preserve">Chapter 6: Results</w:t>
      </w:r>
    </w:p>
    <w:p>
      <w:pPr>
        <w:pStyle w:val="FirstParagraph"/>
        <w:spacing w:line="480" w:lineRule="auto"/>
      </w:pPr>
      <w:r>
        <w:t xml:space="preserve">This chapter reports what the two estimators return when run on the thirty retained records, and it reports them exactly. Every coefficient, standard error indication, p-value, and fit statistic below is the deterministic output of the workbooks described in Chapter 5. The interpretation that follows each result stays inside the boundary drawn in Chapter 4: precise coefficients read as structure in the corpus, imprecise coefficients read as absence of a strong claim, and no coefficient reads as a causal effect on the world</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Start w:id="113" w:name="the-cross-sectional-model"/>
    <w:p>
      <w:pPr>
        <w:pStyle w:val="Heading2"/>
        <w:spacing w:line="480" w:lineRule="auto"/>
      </w:pPr>
      <w:r>
        <w:t xml:space="preserve">6.1 The cross-sectional model</w:t>
      </w:r>
    </w:p>
    <w:p>
      <w:pPr>
        <w:pStyle w:val="FirstParagraph"/>
        <w:spacing w:line="480" w:lineRule="auto"/>
      </w:pPr>
      <w:r>
        <w:t xml:space="preserve">The first estimator is an ordinary least squares regression of the topic-signal score on recency, citation count, and venue family, with robust HC1 standard errors. The overall fit is as follows. The model is estimated on N = 30 records. The coefficient of determination is R2 = 0.345563773205777, and the adjusted coefficient of determination is R2_adj = 0.2700519008833666. The overall F statistic is F = 4.433590357338824, with an associated p-value of F_p = 0.01206549137713079.</w:t>
      </w:r>
    </w:p>
    <w:p>
      <w:pPr>
        <w:pStyle w:val="BodyText"/>
        <w:spacing w:line="480" w:lineRule="auto"/>
        <w:ind w:firstLine="720"/>
      </w:pPr>
      <w:r>
        <w:t xml:space="preserve">The term-level output is as follows. The constant has a coefficient of 9.100485542284108, with p = 2.228321036260067e-05. The recency index has a coefficient of -0.19673945936877413, with p = 0.16396071668297352. The citation count has a coefficient of 0.03643882066444004, with p = 0.3796797874792147. The venue score has a coefficient of -1.5910041862818214, with p = 0.00027583915365918526.</w:t>
      </w:r>
    </w:p>
    <w:p>
      <w:pPr>
        <w:pStyle w:val="BodyText"/>
        <w:spacing w:line="480" w:lineRule="auto"/>
        <w:ind w:firstLine="720"/>
      </w:pPr>
      <w:r>
        <w:t xml:space="preserve">Read these numbers together before reading any one of them alone. The model accounts for roughly a third of the variation in the topic-signal score, with an adjusted figure near 0.27 once the penalty for three predictors is applied. The F statistic of about 4.43, significant at p near 0.012, rejects the joint null that all three slopes are zero. Something in the trio of recency, attention, and venue is systematically related to the topic signal in this corpus. The overall test therefore lands on the alternative for the first hypothesis, though which predictor carries the weight is a separate question the term-level estimates answer.</w:t>
      </w:r>
    </w:p>
    <w:bookmarkEnd w:id="113"/>
    <w:bookmarkStart w:id="114" w:name="what-each-term-says"/>
    <w:p>
      <w:pPr>
        <w:pStyle w:val="Heading2"/>
        <w:spacing w:line="480" w:lineRule="auto"/>
      </w:pPr>
      <w:r>
        <w:t xml:space="preserve">6.2 What each term says</w:t>
      </w:r>
    </w:p>
    <w:p>
      <w:pPr>
        <w:pStyle w:val="FirstParagraph"/>
        <w:spacing w:line="480" w:lineRule="auto"/>
      </w:pPr>
      <w:r>
        <w:t xml:space="preserve">The venue score is the load-bearing predictor. Its coefficient of about -1.59 is the most precise slope in the model, with a p-value near 0.00028, comfortably below any conventional threshold. The sign is negative, which on the ordinal coding means that moving from the space surveillance conference family toward Acta Astronautica and then toward the space-economy family is associated with a lower topic-signal score, holding recency and citation attention fixed. In plain terms, the candidate theme registers most strongly in the technical and policy conference records and more faintly as the venue moves toward economics-oriented outlets</w:t>
      </w:r>
      <w:r>
        <w:t xml:space="preserve"> </w:t>
      </w:r>
      <w:hyperlink w:anchor="ref-3">
        <w:r>
          <w:rPr>
            <w:rStyle w:val="Hyperlink"/>
          </w:rPr>
          <w:t xml:space="preserve">[3]</w:t>
        </w:r>
      </w:hyperlink>
      <w:r>
        <w:t xml:space="preserve"> </w:t>
      </w:r>
      <w:hyperlink w:anchor="ref-6">
        <w:r>
          <w:rPr>
            <w:rStyle w:val="Hyperlink"/>
          </w:rPr>
          <w:t xml:space="preserve">[6]</w:t>
        </w:r>
      </w:hyperlink>
      <w:r>
        <w:t xml:space="preserve">. This is the clearest structural finding in the model, and it is consistent with a topic whose documentary center of gravity sits in the technical-governance community rather than the economics community.</w:t>
      </w:r>
    </w:p>
    <w:p>
      <w:pPr>
        <w:pStyle w:val="BodyText"/>
        <w:spacing w:line="480" w:lineRule="auto"/>
        <w:ind w:firstLine="720"/>
      </w:pPr>
      <w:r>
        <w:t xml:space="preserve">The recency index tells a quieter story. Its coefficient of about -0.197 is negative, which would suggest that more recent sources carry slightly weaker topic signal, but the p-value of about 0.164 places it outside conventional significance. The design does not read a stable relationship into this term. The mechanism in Chapter 3 predicted that a rising concern would skew toward recency; this coefficient neither confirms that prediction nor cleanly contradicts it, because its imprecision means the corpus cannot sustain a firm reading either way</w:t>
      </w:r>
      <w:r>
        <w:t xml:space="preserve"> </w:t>
      </w:r>
      <w:hyperlink w:anchor="ref-4">
        <w:r>
          <w:rPr>
            <w:rStyle w:val="Hyperlink"/>
          </w:rPr>
          <w:t xml:space="preserve">[4]</w:t>
        </w:r>
      </w:hyperlink>
      <w:r>
        <w:t xml:space="preserve">. The honest statement is that recency, on its own, does not organize the topic signal in these thirty records.</w:t>
      </w:r>
    </w:p>
    <w:p>
      <w:pPr>
        <w:pStyle w:val="BodyText"/>
        <w:spacing w:line="480" w:lineRule="auto"/>
        <w:ind w:firstLine="720"/>
      </w:pPr>
      <w:r>
        <w:t xml:space="preserve">The citation count is the weakest term, and its weakness is expected. Its coefficient of about 0.036 is positive, in the direction the mechanism predicted, more citation attention associated with more topic signal, but its p-value of about 0.380 is far from significance. Chapter 5 anticipated this outcome. The local citation index reports zero for many records, flooring the variable across much of the corpus, and a floored predictor cannot carry a precise coefficient</w:t>
      </w:r>
      <w:r>
        <w:t xml:space="preserve"> </w:t>
      </w:r>
      <w:hyperlink w:anchor="ref-2">
        <w:r>
          <w:rPr>
            <w:rStyle w:val="Hyperlink"/>
          </w:rPr>
          <w:t xml:space="preserve">[2]</w:t>
        </w:r>
      </w:hyperlink>
      <w:r>
        <w:t xml:space="preserve">. The sign is encouraging and the imprecision is diagnostic: the attention channel is present in direction but cannot be measured cleanly from this index.</w:t>
      </w:r>
    </w:p>
    <w:p>
      <w:pPr>
        <w:pStyle w:val="BodyText"/>
        <w:spacing w:line="480" w:lineRule="auto"/>
        <w:ind w:firstLine="720"/>
      </w:pPr>
      <w:r>
        <w:t xml:space="preserve">The constant of about 9.10, highly precise at p near 2.2e-05, is the model’s baseline and should not be overinterpreted. It is the fitted signal score when the predictors take the value zero, a point outside the observed range of the ordinal and index variables, so it functions as a fitting anchor rather than a substantive quantity.</w:t>
      </w:r>
    </w:p>
    <w:bookmarkEnd w:id="114"/>
    <w:bookmarkStart w:id="115" w:name="the-learning-curve-model"/>
    <w:p>
      <w:pPr>
        <w:pStyle w:val="Heading2"/>
        <w:spacing w:line="480" w:lineRule="auto"/>
      </w:pPr>
      <w:r>
        <w:t xml:space="preserve">6.3 The learning-curve model</w:t>
      </w:r>
    </w:p>
    <w:p>
      <w:pPr>
        <w:pStyle w:val="FirstParagraph"/>
        <w:spacing w:line="480" w:lineRule="auto"/>
      </w:pPr>
      <w:r>
        <w:t xml:space="preserve">The second estimator is a log-log learning-curve regression of the log of citation count plus one on the log of the article-age index, with robust HC1 standard errors. The fit is deliberately spare because the specification has a single predictor. The model is estimated on N = 30 records. The coefficient of determination is R2 = 0.00887910595308905. The estimated elasticity is elasticity_b = -0.16394874664913825, and the implied progress ratio, computed as two raised to that elasticity, is progress_ratio_2^b = 0.8925786807631536.</w:t>
      </w:r>
    </w:p>
    <w:p>
      <w:pPr>
        <w:pStyle w:val="BodyText"/>
        <w:spacing w:line="480" w:lineRule="auto"/>
        <w:ind w:firstLine="720"/>
      </w:pPr>
      <w:r>
        <w:t xml:space="preserve">The term-level output is as follows. The constant has a coefficient of 0.8542804068275238, with p = 0.024989454396255908. The log age term, labeled _ln_x, has a coefficient of -0.16394874664913825, with p = 0.4257940584193741.</w:t>
      </w:r>
    </w:p>
    <w:p>
      <w:pPr>
        <w:pStyle w:val="BodyText"/>
        <w:spacing w:line="480" w:lineRule="auto"/>
        <w:ind w:firstLine="720"/>
      </w:pPr>
      <w:r>
        <w:t xml:space="preserve">The reading here is short because the evidence is thin, and saying so is the finding. The R2 of about 0.0089 means the age index explains under one percent of the variation in logged citation attention. The elasticity of about -0.164 is negative, which would nominally suggest that older records carry proportionally less attention, but its p-value of about 0.426 is nowhere near significance. The corpus does not, on its own, trace a stable attention curve against age</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implied progress ratio of about 0.89 is a mechanical restatement of the imprecise elasticity and should not be presented as a measured learning rate; with the underlying coefficient indistinguishable from zero, the progress ratio is a number without a claim behind it.</w:t>
      </w:r>
    </w:p>
    <w:bookmarkEnd w:id="115"/>
    <w:bookmarkStart w:id="116" w:name="the-two-results-together"/>
    <w:p>
      <w:pPr>
        <w:pStyle w:val="Heading2"/>
        <w:spacing w:line="480" w:lineRule="auto"/>
      </w:pPr>
      <w:r>
        <w:t xml:space="preserve">6.4 The two results together</w:t>
      </w:r>
    </w:p>
    <w:p>
      <w:pPr>
        <w:pStyle w:val="FirstParagraph"/>
        <w:spacing w:line="480" w:lineRule="auto"/>
      </w:pPr>
      <w:r>
        <w:t xml:space="preserve">Set the two models side by side and the pattern is coherent and honest. The cross-sectional model finds real structure: its joint test rejects the null, and one predictor, venue family, carries a precise and interpretable coefficient. The learning-curve model finds no structure: its single predictor is imprecise and its explanatory power is negligible. The first hypothesis lands partly on the alternative, driven by venue; the second hypothesis fails to reject the null</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This asymmetry is exactly the outcome Chapter 3 warned might occur, and it is informative rather than disappointing. The candidate topic is structured in the cross section, concentrated by venue family, but the retained records do not show a measurable accumulation of attention over article age. The most plausible reason lies in the data itself. The citation variable is floored at zero for many records, which starves both the citation term in the first model and the entire second model of the variation they would need to detect an attention dynamic</w:t>
      </w:r>
      <w:r>
        <w:t xml:space="preserve"> </w:t>
      </w:r>
      <w:hyperlink w:anchor="ref-2">
        <w:r>
          <w:rPr>
            <w:rStyle w:val="Hyperlink"/>
          </w:rPr>
          <w:t xml:space="preserve">[2]</w:t>
        </w:r>
      </w:hyperlink>
      <w:r>
        <w:t xml:space="preserve">. A topic can be genuinely present and venue-concentrated while the local citation index is simply too sparse to reveal how attention accumulates.</w:t>
      </w:r>
    </w:p>
    <w:bookmarkEnd w:id="116"/>
    <w:bookmarkStart w:id="117" w:name="Xbb3e57f9123bfc2099b35949c149f0f9182700d"/>
    <w:p>
      <w:pPr>
        <w:pStyle w:val="Heading2"/>
        <w:spacing w:line="480" w:lineRule="auto"/>
      </w:pPr>
      <w:r>
        <w:t xml:space="preserve">6.5 What the results support and what they do not</w:t>
      </w:r>
    </w:p>
    <w:p>
      <w:pPr>
        <w:pStyle w:val="FirstParagraph"/>
        <w:spacing w:line="480" w:lineRule="auto"/>
      </w:pPr>
      <w:r>
        <w:t xml:space="preserve">The results support a bounded set of statements. They support the claim that the topic signal is not random with respect to observable features, because the joint F test rejects at p near 0.012. They support the specific claim that venue family organizes the signal, because that coefficient is precise at p near 0.00028. They do not support a claim that recency drives the signal, because that term is imprecise. They do not support a claim that citation attention drives the signal, because that term is imprecise and its predictor is floored. They do not support any claim about accumulation over time, because the learning-curve model explains almost none of the variation</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17"/>
    <w:bookmarkStart w:id="118" w:name="Xe13b928c3a3aa98dd34f842266c63e1702dd7af"/>
    <w:p>
      <w:pPr>
        <w:pStyle w:val="Heading2"/>
        <w:spacing w:line="480" w:lineRule="auto"/>
      </w:pPr>
      <w:r>
        <w:t xml:space="preserve">6.6 The magnitude of the venue effect in context</w:t>
      </w:r>
    </w:p>
    <w:p>
      <w:pPr>
        <w:pStyle w:val="FirstParagraph"/>
        <w:spacing w:line="480" w:lineRule="auto"/>
      </w:pPr>
      <w:r>
        <w:t xml:space="preserve">Precision is only half of what a coefficient reports; the other half is magnitude, and the venue coefficient’s magnitude deserves a careful reading. A slope of -1.5910041862818214 on an ordinal venue score means that each step up the venue ordering, from the conference family to Acta Astronautica, and again to the space-economy family, is associated with a topic-signal score lower by about 1.59 points, holding recency and citation attention fixed. Against a topic-signal outcome whose observed values run roughly from the low single digits to near ten, a shift of about 1.59 points per venue step is substantial, not marginal</w:t>
      </w:r>
      <w:r>
        <w:t xml:space="preserve"> </w:t>
      </w:r>
      <w:hyperlink w:anchor="ref-3">
        <w:r>
          <w:rPr>
            <w:rStyle w:val="Hyperlink"/>
          </w:rPr>
          <w:t xml:space="preserve">[3]</w:t>
        </w:r>
      </w:hyperlink>
      <w:r>
        <w:t xml:space="preserve"> </w:t>
      </w:r>
      <w:hyperlink w:anchor="ref-11">
        <w:r>
          <w:rPr>
            <w:rStyle w:val="Hyperlink"/>
          </w:rPr>
          <w:t xml:space="preserve">[11]</w:t>
        </w:r>
      </w:hyperlink>
      <w:r>
        <w:t xml:space="preserve">. Moving across the full venue range, two steps, is associated with a drop of roughly 3.2 points, a meaningful fraction of the outcome’s observed spread.</w:t>
      </w:r>
    </w:p>
    <w:p>
      <w:pPr>
        <w:pStyle w:val="BodyText"/>
        <w:spacing w:line="480" w:lineRule="auto"/>
        <w:ind w:firstLine="720"/>
      </w:pPr>
      <w:r>
        <w:t xml:space="preserve">This magnitude is what makes the venue finding governance-relevant rather than merely statistically detectable. A small but precise coefficient would establish structure without establishing importance. Here the coefficient is both precise, at p = 0.00027583915365918526, and large relative to the outcome scale, which together support the substantive reading that the candidate theme is genuinely concentrated in the technical and policy venues and genuinely faint in the economics venues</w:t>
      </w:r>
      <w:r>
        <w:t xml:space="preserve"> </w:t>
      </w:r>
      <w:hyperlink w:anchor="ref-6">
        <w:r>
          <w:rPr>
            <w:rStyle w:val="Hyperlink"/>
          </w:rPr>
          <w:t xml:space="preserve">[6]</w:t>
        </w:r>
      </w:hyperlink>
      <w:r>
        <w:t xml:space="preserve">. The concentration is not a subtle statistical artifact. It is a strong feature of how the concern is distributed across the retained record.</w:t>
      </w:r>
    </w:p>
    <w:bookmarkEnd w:id="118"/>
    <w:bookmarkStart w:id="119" w:name="robustness-of-the-reported-pattern"/>
    <w:p>
      <w:pPr>
        <w:pStyle w:val="Heading2"/>
        <w:spacing w:line="480" w:lineRule="auto"/>
      </w:pPr>
      <w:r>
        <w:t xml:space="preserve">6.7 Robustness of the reported pattern</w:t>
      </w:r>
    </w:p>
    <w:p>
      <w:pPr>
        <w:pStyle w:val="FirstParagraph"/>
        <w:spacing w:line="480" w:lineRule="auto"/>
      </w:pPr>
      <w:r>
        <w:t xml:space="preserve">A screening result should be examined for whether it depends on a single fragile choice, and several features of the output speak to that question without requiring additional models. The joint F test of 4.433590357338824 at F_p = 0.01206549137713079 rejects the null even though two of the three predictors are individually imprecise, which tells us the rejection is not manufactured by a lucky combination of weak terms; it is driven by the one strong term, venue, whose individual p-value is far below the joint threshold</w:t>
      </w:r>
      <w:r>
        <w:t xml:space="preserve"> </w:t>
      </w:r>
      <w:hyperlink w:anchor="ref-2">
        <w:r>
          <w:rPr>
            <w:rStyle w:val="Hyperlink"/>
          </w:rPr>
          <w:t xml:space="preserve">[2]</w:t>
        </w:r>
      </w:hyperlink>
      <w:r>
        <w:t xml:space="preserve"> </w:t>
      </w:r>
      <w:hyperlink w:anchor="ref-4">
        <w:r>
          <w:rPr>
            <w:rStyle w:val="Hyperlink"/>
          </w:rPr>
          <w:t xml:space="preserve">[4]</w:t>
        </w:r>
      </w:hyperlink>
      <w:r>
        <w:t xml:space="preserve">. When a joint test and a single dominant coefficient agree this closely, the finding is unlikely to be an accident of the particular specification.</w:t>
      </w:r>
    </w:p>
    <w:p>
      <w:pPr>
        <w:pStyle w:val="BodyText"/>
        <w:spacing w:line="480" w:lineRule="auto"/>
        <w:ind w:firstLine="720"/>
      </w:pPr>
      <w:r>
        <w:t xml:space="preserve">The adjusted coefficient of determination provides a second check. At R2_adj = 0.2700519008833666, the adjusted figure falls only modestly below the unadjusted R2 = 0.345563773205777, which indicates that the three predictors are not merely inflating fit through overparameterization of a small sample</w:t>
      </w:r>
      <w:r>
        <w:t xml:space="preserve"> </w:t>
      </w:r>
      <w:hyperlink w:anchor="ref-3">
        <w:r>
          <w:rPr>
            <w:rStyle w:val="Hyperlink"/>
          </w:rPr>
          <w:t xml:space="preserve">[3]</w:t>
        </w:r>
      </w:hyperlink>
      <w:r>
        <w:t xml:space="preserve">. If the model were fitting noise, the adjustment penalty for three predictors on thirty records would have eroded the fit far more sharply. The gap between the two figures is consistent with a model whose explanatory power rests on genuine structure, concentrated in venue, rather than on the flexibility of a many-parameter fit.</w:t>
      </w:r>
    </w:p>
    <w:p>
      <w:pPr>
        <w:pStyle w:val="BodyText"/>
        <w:spacing w:line="480" w:lineRule="auto"/>
        <w:ind w:firstLine="720"/>
      </w:pPr>
      <w:r>
        <w:t xml:space="preserve">The learning-curve model offers its own internal check, in the opposite direction. Its R2 = 0.00887910595308905 is so close to zero that no reasonable robustness concern arises about a spurious positive finding; there is simply nothing to be spurious about</w:t>
      </w:r>
      <w:r>
        <w:t xml:space="preserve"> </w:t>
      </w:r>
      <w:hyperlink w:anchor="ref-1">
        <w:r>
          <w:rPr>
            <w:rStyle w:val="Hyperlink"/>
          </w:rPr>
          <w:t xml:space="preserve">[1]</w:t>
        </w:r>
      </w:hyperlink>
      <w:r>
        <w:t xml:space="preserve">. The elasticity of -0.16394874664913825, at p = 0.4257940584193741, and the derived progress ratio of 0.8925786807631536 all describe a relationship the data cannot distinguish from no relationship. The robustness question for this model is not whether the finding survives perturbation but whether the null is credible, and the null is entirely credible given the citation floor documented in Chapter 5</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19"/>
    <w:bookmarkStart w:id="120" w:name="reconciling-the-two-models"/>
    <w:p>
      <w:pPr>
        <w:pStyle w:val="Heading2"/>
        <w:spacing w:line="480" w:lineRule="auto"/>
      </w:pPr>
      <w:r>
        <w:t xml:space="preserve">6.8 Reconciling the two models</w:t>
      </w:r>
    </w:p>
    <w:p>
      <w:pPr>
        <w:pStyle w:val="FirstParagraph"/>
        <w:spacing w:line="480" w:lineRule="auto"/>
      </w:pPr>
      <w:r>
        <w:t xml:space="preserve">An apparent tension is worth resolving directly. The first model finds that citation count, though imprecise, enters with a positive coefficient of 0.03643882066444004, consistent with more attention accompanying more signal, while the second model finds no age-based accumulation of attention at all. These are not in conflict. The first model treats citation count as one predictor among three in explaining the topic signal, where it happens to be floored and therefore weak</w:t>
      </w:r>
      <w:r>
        <w:t xml:space="preserve"> </w:t>
      </w:r>
      <w:hyperlink w:anchor="ref-4">
        <w:r>
          <w:rPr>
            <w:rStyle w:val="Hyperlink"/>
          </w:rPr>
          <w:t xml:space="preserve">[4]</w:t>
        </w:r>
      </w:hyperlink>
      <w:r>
        <w:t xml:space="preserve">. The second model asks the entirely different question of whether attention accumulates with age, and it fails not because attention is unrelated to age in principle but because the floored citation variable leaves the outcome nearly constant</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Both results, read together, point to the same underlying data condition rather than to two separate substantive facts. The citation index is too sparse to support any attention-based inference, whether as a predictor of signal or as an outcome accumulating over age</w:t>
      </w:r>
      <w:r>
        <w:t xml:space="preserve"> </w:t>
      </w:r>
      <w:hyperlink w:anchor="ref-2">
        <w:r>
          <w:rPr>
            <w:rStyle w:val="Hyperlink"/>
          </w:rPr>
          <w:t xml:space="preserve">[2]</w:t>
        </w:r>
      </w:hyperlink>
      <w:r>
        <w:t xml:space="preserve">. That single condition explains the weak citation term in the first model and the null second model at once. Recognizing the common cause is important, because it tells the successor design that one fix, a richer citation measure, would address both weaknesses simultaneously rather than requiring two separate remedies</w:t>
      </w:r>
      <w:r>
        <w:t xml:space="preserve"> </w:t>
      </w:r>
      <w:hyperlink w:anchor="ref-5">
        <w:r>
          <w:rPr>
            <w:rStyle w:val="Hyperlink"/>
          </w:rPr>
          <w:t xml:space="preserve">[5]</w:t>
        </w:r>
      </w:hyperlink>
      <w:r>
        <w:t xml:space="preserve">.</w:t>
      </w:r>
    </w:p>
    <w:bookmarkEnd w:id="120"/>
    <w:bookmarkStart w:id="121" w:name="X1d0105f340a4cf01e5fe6921589ba64bf013d3f"/>
    <w:p>
      <w:pPr>
        <w:pStyle w:val="Heading2"/>
        <w:spacing w:line="480" w:lineRule="auto"/>
      </w:pPr>
      <w:r>
        <w:t xml:space="preserve">6.9 What the constant terms do and do not tell us</w:t>
      </w:r>
    </w:p>
    <w:p>
      <w:pPr>
        <w:pStyle w:val="FirstParagraph"/>
        <w:spacing w:line="480" w:lineRule="auto"/>
      </w:pPr>
      <w:r>
        <w:t xml:space="preserve">Both models report a precise constant, and a careful results chapter should say what those constants mean rather than let them pass as incidental. In the cross-sectional model the constant of 9.100485542284108, at p = 2.228321036260067e-05, is the fitted topic-signal score when recency, citation count, and venue score all equal zero. Because the venue score never takes the value zero in the data, its lowest observed level is one, the constant describes a point outside the observed range and functions as a mathematical anchor for the fitted plane rather than as a substantive quantity</w:t>
      </w:r>
      <w:r>
        <w:t xml:space="preserve"> </w:t>
      </w:r>
      <w:hyperlink w:anchor="ref-3">
        <w:r>
          <w:rPr>
            <w:rStyle w:val="Hyperlink"/>
          </w:rPr>
          <w:t xml:space="preserve">[3]</w:t>
        </w:r>
      </w:hyperlink>
      <w:r>
        <w:t xml:space="preserve">. Its high precision reflects that the intercept of a well-fitting plane is tightly determined, not that any record actually sits at the intercept.</w:t>
      </w:r>
    </w:p>
    <w:p>
      <w:pPr>
        <w:pStyle w:val="BodyText"/>
        <w:spacing w:line="480" w:lineRule="auto"/>
        <w:ind w:firstLine="720"/>
      </w:pPr>
      <w:r>
        <w:t xml:space="preserve">The learning-curve constant of 0.8542804068275238, at p = 0.024989454396255908, is likewise a fitted intercept, here the predicted log of citation-count-plus-one when the log age index is zero, that is, at an age index of one</w:t>
      </w:r>
      <w:r>
        <w:t xml:space="preserve"> </w:t>
      </w:r>
      <w:hyperlink w:anchor="ref-1">
        <w:r>
          <w:rPr>
            <w:rStyle w:val="Hyperlink"/>
          </w:rPr>
          <w:t xml:space="preserve">[1]</w:t>
        </w:r>
      </w:hyperlink>
      <w:r>
        <w:t xml:space="preserve">. Its statistical significance stands in instructive contrast to the insignificance of the age slope. The model can pin down the average level of logged attention, because the outcome is nearly constant across the corpus, while being unable to pin down how that level changes with age, because there is almost no variation for the slope to explain</w:t>
      </w:r>
      <w:r>
        <w:t xml:space="preserve"> </w:t>
      </w:r>
      <w:hyperlink w:anchor="ref-2">
        <w:r>
          <w:rPr>
            <w:rStyle w:val="Hyperlink"/>
          </w:rPr>
          <w:t xml:space="preserve">[2]</w:t>
        </w:r>
      </w:hyperlink>
      <w:r>
        <w:t xml:space="preserve"> </w:t>
      </w:r>
      <w:hyperlink w:anchor="ref-6">
        <w:r>
          <w:rPr>
            <w:rStyle w:val="Hyperlink"/>
          </w:rPr>
          <w:t xml:space="preserve">[6]</w:t>
        </w:r>
      </w:hyperlink>
      <w:r>
        <w:t xml:space="preserve">. A significant intercept beside an insignificant slope is the signature of an outcome with a stable mean and no detectable trend, which is exactly what a floored citation variable would produce.</w:t>
      </w:r>
    </w:p>
    <w:bookmarkEnd w:id="121"/>
    <w:bookmarkStart w:id="122" w:name="X689fea5ae961ea6be178f4c103a4814e4df0123"/>
    <w:p>
      <w:pPr>
        <w:pStyle w:val="Heading2"/>
        <w:spacing w:line="480" w:lineRule="auto"/>
      </w:pPr>
      <w:r>
        <w:t xml:space="preserve">6.10 The results as a map for the successor design</w:t>
      </w:r>
    </w:p>
    <w:p>
      <w:pPr>
        <w:pStyle w:val="FirstParagraph"/>
        <w:spacing w:line="480" w:lineRule="auto"/>
      </w:pPr>
      <w:r>
        <w:t xml:space="preserve">Read as guidance rather than as verdict, the output points cleanly at what a stronger study must change. The venue channel works, so a successor should retain venue and test whether its coefficient of about -1.59 persists in a larger corpus</w:t>
      </w:r>
      <w:r>
        <w:t xml:space="preserve"> </w:t>
      </w:r>
      <w:hyperlink w:anchor="ref-3">
        <w:r>
          <w:rPr>
            <w:rStyle w:val="Hyperlink"/>
          </w:rPr>
          <w:t xml:space="preserve">[3]</w:t>
        </w:r>
      </w:hyperlink>
      <w:r>
        <w:t xml:space="preserve">. The recency channel is inconclusive at p = 0.16396071668297352, so a successor with a wider year range might resolve whether the negative sign reflects a real pattern or sampling noise</w:t>
      </w:r>
      <w:r>
        <w:t xml:space="preserve"> </w:t>
      </w:r>
      <w:hyperlink w:anchor="ref-4">
        <w:r>
          <w:rPr>
            <w:rStyle w:val="Hyperlink"/>
          </w:rPr>
          <w:t xml:space="preserve">[4]</w:t>
        </w:r>
      </w:hyperlink>
      <w:r>
        <w:t xml:space="preserve">. The citation and accumulation channels are starved by the floor, so a successor’s first priority is a citation source with genuine variation, without which neither the cross-sectional citation term nor the learning curve can be revived</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results, in this sense, are not only a finding but a specification for the next round of data collection.</w:t>
      </w:r>
    </w:p>
    <w:p>
      <w:pPr>
        <w:pStyle w:val="BodyText"/>
        <w:spacing w:line="480" w:lineRule="auto"/>
        <w:ind w:firstLine="720"/>
      </w:pPr>
      <w:r>
        <w:t xml:space="preserve">Stepping back from the individual coefficients, the results as a set tell one coherent story: the candidate theme is concentrated by venue in a way the data measure clearly, and every other channel is either inconclusive or starved by the citation floor</w:t>
      </w:r>
      <w:r>
        <w:t xml:space="preserve"> </w:t>
      </w:r>
      <w:hyperlink w:anchor="ref-2">
        <w:r>
          <w:rPr>
            <w:rStyle w:val="Hyperlink"/>
          </w:rPr>
          <w:t xml:space="preserve">[2]</w:t>
        </w:r>
      </w:hyperlink>
      <w:r>
        <w:t xml:space="preserve"> </w:t>
      </w:r>
      <w:hyperlink w:anchor="ref-3">
        <w:r>
          <w:rPr>
            <w:rStyle w:val="Hyperlink"/>
          </w:rPr>
          <w:t xml:space="preserve">[3]</w:t>
        </w:r>
      </w:hyperlink>
      <w:r>
        <w:t xml:space="preserve">. That coherence, one strong signal amid honest silence, is the most trustworthy shape a screen of this size could produce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That is the whole of what the thirty records can carry, and stating the ceiling is part of the result. The analysis is a corpus screen. It has told future work which channel is measurable now, venue, and which channels need a better dataset before they can be tested, attention and its accumulation. Chapter 7 takes up what these bounded findings mean for the governance question that motivated the study, and where their limits point the next design</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22"/>
    <w:bookmarkEnd w:id="123"/>
    <w:bookmarkStart w:id="134" w:name="chapter-7-discussion-and-limitations"/>
    <w:p>
      <w:pPr>
        <w:pStyle w:val="Heading1"/>
        <w:spacing w:line="480" w:lineRule="auto"/>
      </w:pPr>
      <w:r>
        <w:t xml:space="preserve">Chapter 7: Discussion and Limitations</w:t>
      </w:r>
    </w:p>
    <w:p>
      <w:pPr>
        <w:pStyle w:val="FirstParagraph"/>
        <w:spacing w:line="480" w:lineRule="auto"/>
      </w:pPr>
      <w:r>
        <w:t xml:space="preserve">The results are modest, and reading them well means neither inflating the one clear finding nor dismissing the several null ones. This chapter interprets what the two models mean for the governance question that motivated the study, then turns to the threats to validity that bound every claim, and finally states what the data simply cannot show. The discipline throughout is the same one that governed the analysis: say what the record supports, mark where it stops, and leave the rest to a better-designed successor study.</w:t>
      </w:r>
    </w:p>
    <w:bookmarkStart w:id="124" w:name="what-the-venue-finding-means"/>
    <w:p>
      <w:pPr>
        <w:pStyle w:val="Heading2"/>
        <w:spacing w:line="480" w:lineRule="auto"/>
      </w:pPr>
      <w:r>
        <w:t xml:space="preserve">7.1 What the venue finding means</w:t>
      </w:r>
    </w:p>
    <w:p>
      <w:pPr>
        <w:pStyle w:val="FirstParagraph"/>
        <w:spacing w:line="480" w:lineRule="auto"/>
      </w:pPr>
      <w:r>
        <w:t xml:space="preserve">The single robust result is that venue family organizes the topic signal, with the signal concentrated in the technical and policy conference records and thinning as the venue moves toward economics-oriented outlets</w:t>
      </w:r>
      <w:r>
        <w:t xml:space="preserve"> </w:t>
      </w:r>
      <w:hyperlink w:anchor="ref-3">
        <w:r>
          <w:rPr>
            <w:rStyle w:val="Hyperlink"/>
          </w:rPr>
          <w:t xml:space="preserve">[3]</w:t>
        </w:r>
      </w:hyperlink>
      <w:r>
        <w:t xml:space="preserve"> </w:t>
      </w:r>
      <w:hyperlink w:anchor="ref-6">
        <w:r>
          <w:rPr>
            <w:rStyle w:val="Hyperlink"/>
          </w:rPr>
          <w:t xml:space="preserve">[6]</w:t>
        </w:r>
      </w:hyperlink>
      <w:r>
        <w:t xml:space="preserve">. This is worth dwelling on, because it speaks to the mechanism proposed in Chapter 3. A rising governance concern was expected to spread across venue families as it acquired economic and institutional weight. The venue coefficient suggests that, in this corpus, the concern has not yet spread evenly. Its documentary center of gravity remains in the technical-governance community that first raised it</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That is a substantively meaningful pattern for a study of commercial cadence. It is consistent with a concern that is real and actively discussed among the practitioners closest to the operational risk, but that has not yet migrated fully into the economic literature where market actors and investors reason about value</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A concern at this stage of its trajectory is precisely the kind that outruns rulemaking: intensely present in one community, still forming in others, and not yet consolidated into the cross-venue consensus that usually precedes binding action</w:t>
      </w:r>
      <w:r>
        <w:t xml:space="preserve"> </w:t>
      </w:r>
      <w:hyperlink w:anchor="ref-7">
        <w:r>
          <w:rPr>
            <w:rStyle w:val="Hyperlink"/>
          </w:rPr>
          <w:t xml:space="preserve">[7]</w:t>
        </w:r>
      </w:hyperlink>
      <w:r>
        <w:t xml:space="preserve">. The venue finding, read this way, is a documentary snapshot of a concern mid-migration.</w:t>
      </w:r>
    </w:p>
    <w:p>
      <w:pPr>
        <w:pStyle w:val="BodyText"/>
        <w:spacing w:line="480" w:lineRule="auto"/>
        <w:ind w:firstLine="720"/>
      </w:pPr>
      <w:r>
        <w:t xml:space="preserve">The reading has to stay careful, though. Venue is coded ordinally, and the coefficient could reflect the citation and topical conventions of different venue families rather than the substantive spread of the concern</w:t>
      </w:r>
      <w:r>
        <w:t xml:space="preserve"> </w:t>
      </w:r>
      <w:hyperlink w:anchor="ref-3">
        <w:r>
          <w:rPr>
            <w:rStyle w:val="Hyperlink"/>
          </w:rPr>
          <w:t xml:space="preserve">[3]</w:t>
        </w:r>
      </w:hyperlink>
      <w:r>
        <w:t xml:space="preserve">. A conference proceeding and a journal article treat topical terms differently, and some of the venue effect may be an artifact of those conventions. The dissertation does not claim to have separated substance from convention here. It claims only that venue is where measurable structure lives in this corpus, and that the pattern is consistent with, though not proof of, a concern concentrated in its originating community.</w:t>
      </w:r>
    </w:p>
    <w:bookmarkEnd w:id="124"/>
    <w:bookmarkStart w:id="125" w:name="what-the-null-findings-mean"/>
    <w:p>
      <w:pPr>
        <w:pStyle w:val="Heading2"/>
        <w:spacing w:line="480" w:lineRule="auto"/>
      </w:pPr>
      <w:r>
        <w:t xml:space="preserve">7.2 What the null findings mean</w:t>
      </w:r>
    </w:p>
    <w:p>
      <w:pPr>
        <w:pStyle w:val="FirstParagraph"/>
        <w:spacing w:line="480" w:lineRule="auto"/>
      </w:pPr>
      <w:r>
        <w:t xml:space="preserve">The imprecise recency term and the failed learning-curve model are not failures of the study. They are findings about the limits of the retained record, and they carry their own governance lesson. The recency coefficient’s imprecision means the corpus cannot establish that the concern is accelerating in publication terms, even though the operational literature clearly treats it as urgent</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gap between felt urgency and measurable recency structure is itself informative: urgency in a small technical community does not automatically produce the documentary acceleration that a measurement design can detect.</w:t>
      </w:r>
    </w:p>
    <w:p>
      <w:pPr>
        <w:pStyle w:val="BodyText"/>
        <w:spacing w:line="480" w:lineRule="auto"/>
        <w:ind w:firstLine="720"/>
      </w:pPr>
      <w:r>
        <w:t xml:space="preserve">The learning-curve null is more pointed. With under one percent of the variation in logged attention explained by article age, the corpus does not trace any stable accumulation of citation attention</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most credible explanation is the citation floor documented in Chapter 5. When a local index reports zero citations for most records, there is almost no variation left for an age-based model to work with, and a model with no variation to explain will explain nothing regardless of the underlying reality</w:t>
      </w:r>
      <w:r>
        <w:t xml:space="preserve"> </w:t>
      </w:r>
      <w:hyperlink w:anchor="ref-2">
        <w:r>
          <w:rPr>
            <w:rStyle w:val="Hyperlink"/>
          </w:rPr>
          <w:t xml:space="preserve">[2]</w:t>
        </w:r>
      </w:hyperlink>
      <w:r>
        <w:t xml:space="preserve">. The null here is a statement about the index, not a refutation of the idea that attention accumulates.</w:t>
      </w:r>
    </w:p>
    <w:p>
      <w:pPr>
        <w:pStyle w:val="BodyText"/>
        <w:spacing w:line="480" w:lineRule="auto"/>
        <w:ind w:firstLine="720"/>
      </w:pPr>
      <w:r>
        <w:t xml:space="preserve">For governance, the combined lesson is a caution against premature confidence. A first-pass documentary screen of commercial cadence finds one solid pattern and several channels it cannot yet measure. A decision maker who wanted this analysis to license immediate action would be overreading it. A decision maker who wanted it to establish that the concern is measurable, venue-structured, and worth a richer study would be reading it correctly</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25"/>
    <w:bookmarkStart w:id="126" w:name="threats-to-validity"/>
    <w:p>
      <w:pPr>
        <w:pStyle w:val="Heading2"/>
        <w:spacing w:line="480" w:lineRule="auto"/>
      </w:pPr>
      <w:r>
        <w:t xml:space="preserve">7.3 Threats to validity</w:t>
      </w:r>
    </w:p>
    <w:p>
      <w:pPr>
        <w:pStyle w:val="FirstParagraph"/>
        <w:spacing w:line="480" w:lineRule="auto"/>
      </w:pPr>
      <w:r>
        <w:t xml:space="preserve">Four threats bound the interpretation, and each was anticipated in the design rather than discovered after the fact.</w:t>
      </w:r>
    </w:p>
    <w:p>
      <w:pPr>
        <w:pStyle w:val="BodyText"/>
        <w:spacing w:line="480" w:lineRule="auto"/>
        <w:ind w:firstLine="720"/>
      </w:pPr>
      <w:r>
        <w:t xml:space="preserve">Source selection is the first and most consequential. The thirty records are a retrieved set, not a random draw from the field of commercial-cadence writing. The venue structure the model finds is structure in that set, and it may partly reflect how the sources were gathered rather than how the field is actually distributed</w:t>
      </w:r>
      <w:r>
        <w:t xml:space="preserve"> </w:t>
      </w:r>
      <w:hyperlink w:anchor="ref-2">
        <w:r>
          <w:rPr>
            <w:rStyle w:val="Hyperlink"/>
          </w:rPr>
          <w:t xml:space="preserve">[2]</w:t>
        </w:r>
      </w:hyperlink>
      <w:r>
        <w:t xml:space="preserve">. Any generalization beyond the retained corpus is a separate empirical question this study does not resolve.</w:t>
      </w:r>
    </w:p>
    <w:p>
      <w:pPr>
        <w:pStyle w:val="BodyText"/>
        <w:spacing w:line="480" w:lineRule="auto"/>
        <w:ind w:firstLine="720"/>
      </w:pPr>
      <w:r>
        <w:t xml:space="preserve">Proxy measurement is the second. Every variable is a proxy. The topic-signal score proxies topical relevance through term matching, the venue code proxies community through an ordinal scale, and the citation count proxies attention through a sparse local index</w:t>
      </w:r>
      <w:r>
        <w:t xml:space="preserve"> </w:t>
      </w:r>
      <w:hyperlink w:anchor="ref-4">
        <w:r>
          <w:rPr>
            <w:rStyle w:val="Hyperlink"/>
          </w:rPr>
          <w:t xml:space="preserve">[4]</w:t>
        </w:r>
      </w:hyperlink>
      <w:r>
        <w:t xml:space="preserve"> </w:t>
      </w:r>
      <w:hyperlink w:anchor="ref-5">
        <w:r>
          <w:rPr>
            <w:rStyle w:val="Hyperlink"/>
          </w:rPr>
          <w:t xml:space="preserve">[5]</w:t>
        </w:r>
      </w:hyperlink>
      <w:r>
        <w:t xml:space="preserve">. A coefficient on a proxy is a statement about the proxy. The venue finding is a finding about the ordinal venue code, and while that code plausibly tracks community, the two are not identical.</w:t>
      </w:r>
    </w:p>
    <w:p>
      <w:pPr>
        <w:pStyle w:val="BodyText"/>
        <w:spacing w:line="480" w:lineRule="auto"/>
        <w:ind w:firstLine="720"/>
      </w:pPr>
      <w:r>
        <w:t xml:space="preserve">Omitted variables are the third. A metadata model cannot include the technical, institutional, and market forces that actually drive a topic’s trajectory</w:t>
      </w:r>
      <w:r>
        <w:t xml:space="preserve"> </w:t>
      </w:r>
      <w:hyperlink w:anchor="ref-3">
        <w:r>
          <w:rPr>
            <w:rStyle w:val="Hyperlink"/>
          </w:rPr>
          <w:t xml:space="preserve">[3]</w:t>
        </w:r>
      </w:hyperlink>
      <w:r>
        <w:t xml:space="preserve">. Whatever those forces leave in the observed features, the coefficients absorb, which means even the precise venue term may be standing in for correlated forces the model never sees.</w:t>
      </w:r>
    </w:p>
    <w:p>
      <w:pPr>
        <w:pStyle w:val="BodyText"/>
        <w:spacing w:line="480" w:lineRule="auto"/>
        <w:ind w:firstLine="720"/>
      </w:pPr>
      <w:r>
        <w:t xml:space="preserve">Overinterpretation is the fourth, and it is a threat from the writer rather than the data. It would be easy to let the venue finding grow, in successive retellings, from an association in a small corpus into a claim about the whole space sector. The pre-committed interpretive rule guards against this: the finding is corpus-local, and it stays corpus-local no matter how suggestive it feels</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126"/>
    <w:bookmarkStart w:id="127" w:name="what-the-data-cannot-show"/>
    <w:p>
      <w:pPr>
        <w:pStyle w:val="Heading2"/>
        <w:spacing w:line="480" w:lineRule="auto"/>
      </w:pPr>
      <w:r>
        <w:t xml:space="preserve">7.4 What the data cannot show</w:t>
      </w:r>
    </w:p>
    <w:p>
      <w:pPr>
        <w:pStyle w:val="FirstParagraph"/>
        <w:spacing w:line="480" w:lineRule="auto"/>
      </w:pPr>
      <w:r>
        <w:t xml:space="preserve">Some limits are worth stating not as threats to be managed but as questions the design was never built to answer. The data cannot show whether commercial cadence has actually delayed any specific rule, because no rule-timing outcome exists in the corpus to measure against. The data cannot show the direction of causation between attention and governance, because the design is cross-sectional and the temporal model failed. The data cannot show whether the concern will migrate into the economic literature, because that is a claim about the future and the corpus is a snapshot</w:t>
      </w:r>
      <w:r>
        <w:t xml:space="preserve"> </w:t>
      </w:r>
      <w:hyperlink w:anchor="ref-8">
        <w:r>
          <w:rPr>
            <w:rStyle w:val="Hyperlink"/>
          </w:rPr>
          <w:t xml:space="preserve">[8]</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These are not evasions. They are the honest perimeter of a documentary screen. The study measures whether a topic is structured in a body of records, and it answers that with a qualified yes for venue and a clear no for temporal accumulation. Everything beyond that perimeter, causal impact, policy timing, future migration, requires data the design deliberately did not claim to have</w:t>
      </w:r>
      <w:r>
        <w:t xml:space="preserve"> </w:t>
      </w:r>
      <w:hyperlink w:anchor="ref-9">
        <w:r>
          <w:rPr>
            <w:rStyle w:val="Hyperlink"/>
          </w:rPr>
          <w:t xml:space="preserve">[9]</w:t>
        </w:r>
      </w:hyperlink>
      <w:r>
        <w:t xml:space="preserve">.</w:t>
      </w:r>
    </w:p>
    <w:bookmarkEnd w:id="127"/>
    <w:bookmarkStart w:id="128" w:name="the-value-of-a-disciplined-null"/>
    <w:p>
      <w:pPr>
        <w:pStyle w:val="Heading2"/>
        <w:spacing w:line="480" w:lineRule="auto"/>
      </w:pPr>
      <w:r>
        <w:t xml:space="preserve">7.5 The value of a disciplined null</w:t>
      </w:r>
    </w:p>
    <w:bookmarkEnd w:id="128"/>
    <w:bookmarkStart w:id="129" w:name="X4342e4b2fa478308f9297b257c89bd668c33bae"/>
    <w:p>
      <w:pPr>
        <w:pStyle w:val="Heading2"/>
        <w:spacing w:line="480" w:lineRule="auto"/>
      </w:pPr>
      <w:r>
        <w:t xml:space="preserve">7.6 The venue asymmetry as a governance leading indicator</w:t>
      </w:r>
    </w:p>
    <w:p>
      <w:pPr>
        <w:pStyle w:val="FirstParagraph"/>
        <w:spacing w:line="480" w:lineRule="auto"/>
      </w:pPr>
      <w:r>
        <w:t xml:space="preserve">It is worth developing the venue finding into a governance claim carefully, because this is where the study’s one solid result does its most useful work. If a concern’s migration across venue families precedes the cross-community consensus that usually precedes binding rules, then the degree of migration is a leading indicator of how close a concern is to producing coordinated governance</w:t>
      </w:r>
      <w:r>
        <w:t xml:space="preserve"> </w:t>
      </w:r>
      <w:hyperlink w:anchor="ref-7">
        <w:r>
          <w:rPr>
            <w:rStyle w:val="Hyperlink"/>
          </w:rPr>
          <w:t xml:space="preserve">[7]</w:t>
        </w:r>
      </w:hyperlink>
      <w:r>
        <w:t xml:space="preserve"> </w:t>
      </w:r>
      <w:hyperlink w:anchor="ref-11">
        <w:r>
          <w:rPr>
            <w:rStyle w:val="Hyperlink"/>
          </w:rPr>
          <w:t xml:space="preserve">[11]</w:t>
        </w:r>
      </w:hyperlink>
      <w:r>
        <w:t xml:space="preserve">. The venue coefficient in this corpus indicates that the commercial-cadence concern has not migrated far: it remains concentrated in the technical and policy conference literature and thin in the economics venues</w:t>
      </w:r>
      <w:r>
        <w:t xml:space="preserve"> </w:t>
      </w:r>
      <w:hyperlink w:anchor="ref-3">
        <w:r>
          <w:rPr>
            <w:rStyle w:val="Hyperlink"/>
          </w:rPr>
          <w:t xml:space="preserve">[3]</w:t>
        </w:r>
      </w:hyperlink>
      <w:r>
        <w:t xml:space="preserve"> </w:t>
      </w:r>
      <w:hyperlink w:anchor="ref-6">
        <w:r>
          <w:rPr>
            <w:rStyle w:val="Hyperlink"/>
          </w:rPr>
          <w:t xml:space="preserve">[6]</w:t>
        </w:r>
      </w:hyperlink>
      <w:r>
        <w:t xml:space="preserve">. Read as a leading indicator, that concentration says the concern is early in its governance trajectory.</w:t>
      </w:r>
    </w:p>
    <w:p>
      <w:pPr>
        <w:pStyle w:val="BodyText"/>
        <w:spacing w:line="480" w:lineRule="auto"/>
        <w:ind w:firstLine="720"/>
      </w:pPr>
      <w:r>
        <w:t xml:space="preserve">This reading has a practical edge for anyone tracking the concern. A concern still bound to its originating community is a concern whose eventual governance is neither imminent nor assembled, which means the actors closest to the operational risk are, for now, largely talking among themselves</w:t>
      </w:r>
      <w:r>
        <w:t xml:space="preserve"> </w:t>
      </w:r>
      <w:hyperlink w:anchor="ref-1">
        <w:r>
          <w:rPr>
            <w:rStyle w:val="Hyperlink"/>
          </w:rPr>
          <w:t xml:space="preserve">[1]</w:t>
        </w:r>
      </w:hyperlink>
      <w:r>
        <w:t xml:space="preserve"> </w:t>
      </w:r>
      <w:hyperlink w:anchor="ref-5">
        <w:r>
          <w:rPr>
            <w:rStyle w:val="Hyperlink"/>
          </w:rPr>
          <w:t xml:space="preserve">[5]</w:t>
        </w:r>
      </w:hyperlink>
      <w:r>
        <w:t xml:space="preserve">. That is a double-edged situation. It offers time to shape the response before positions harden, and it warns that the economic and sustainability communities whose eventual buy-in matters have not yet engaged</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A program office reading the venue asymmetry would draw a specific inference: the window for influencing the framing of commercial-cadence governance is probably still open, precisely because the concern has not yet consolidated across venues.</w:t>
      </w:r>
    </w:p>
    <w:p>
      <w:pPr>
        <w:pStyle w:val="BodyText"/>
        <w:spacing w:line="480" w:lineRule="auto"/>
        <w:ind w:firstLine="720"/>
      </w:pPr>
      <w:r>
        <w:t xml:space="preserve">The inference must be held loosely, and the reasons are the ones already stated. Venue is ordinal, the corpus is retrieved rather than random, and the coefficient may reflect convention as much as substance</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study offers the venue asymmetry as a hypothesis-shaped observation, a pattern worth watching in a larger corpus, not as a settled fact about the field. Even at that modest strength, it is more than the impressionistic claims it competes with, because it is checkable against the same thirty records anyone can open.</w:t>
      </w:r>
    </w:p>
    <w:bookmarkEnd w:id="129"/>
    <w:bookmarkStart w:id="130" w:name="X41ca88ce8da05323b79b3017d8d4b77b88a963f"/>
    <w:p>
      <w:pPr>
        <w:pStyle w:val="Heading2"/>
        <w:spacing w:line="480" w:lineRule="auto"/>
      </w:pPr>
      <w:r>
        <w:t xml:space="preserve">7.7 What a floored citation index does to a literature study</w:t>
      </w:r>
    </w:p>
    <w:p>
      <w:pPr>
        <w:pStyle w:val="FirstParagraph"/>
        <w:spacing w:line="480" w:lineRule="auto"/>
      </w:pPr>
      <w:r>
        <w:t xml:space="preserve">The citation floor deserves a section of its own, because it is both the study’s chief limitation and a general lesson for documentary work in this domain. A local index that reports zero citations for most records does not merely weaken one variable; it removes an entire channel of inference</w:t>
      </w:r>
      <w:r>
        <w:t xml:space="preserve"> </w:t>
      </w:r>
      <w:hyperlink w:anchor="ref-2">
        <w:r>
          <w:rPr>
            <w:rStyle w:val="Hyperlink"/>
          </w:rPr>
          <w:t xml:space="preserve">[2]</w:t>
        </w:r>
      </w:hyperlink>
      <w:r>
        <w:t xml:space="preserve">. Attention, in all its forms, becomes unmeasurable, and any hypothesis that runs through attention, whether as a predictor or an outcome, inherits the floor’s silence. The failed learning-curve model is the most visible casualty, but the weak citation term in the cross-sectional model is a casualty too</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lesson generalizes beyond this study. Anyone attempting to read a space governance literature from a local index should expect the citation channel to be the first to fail, because local indices capture their own holdings rather than universal citation counts, and holdings are always partial</w:t>
      </w:r>
      <w:r>
        <w:t xml:space="preserve"> </w:t>
      </w:r>
      <w:hyperlink w:anchor="ref-5">
        <w:r>
          <w:rPr>
            <w:rStyle w:val="Hyperlink"/>
          </w:rPr>
          <w:t xml:space="preserve">[5]</w:t>
        </w:r>
      </w:hyperlink>
      <w:r>
        <w:t xml:space="preserve">. The methodological implication is that citation-based measures should be treated as optional in a screening design, not load-bearing, until a richer index is available. This study’s architecture, which places the falsifiable weight on venue rather than on attention, turns out to be well chosen for exactly this reason, though the choice was made on principle rather than foresight</w:t>
      </w:r>
      <w:r>
        <w:t xml:space="preserve"> </w:t>
      </w:r>
      <w:hyperlink w:anchor="ref-3">
        <w:r>
          <w:rPr>
            <w:rStyle w:val="Hyperlink"/>
          </w:rPr>
          <w:t xml:space="preserve">[3]</w:t>
        </w:r>
      </w:hyperlink>
      <w:r>
        <w:t xml:space="preserve">.</w:t>
      </w:r>
    </w:p>
    <w:p>
      <w:pPr>
        <w:pStyle w:val="BodyText"/>
        <w:spacing w:line="480" w:lineRule="auto"/>
        <w:ind w:firstLine="720"/>
      </w:pPr>
      <w:r>
        <w:t xml:space="preserve">There is a governance implication as well. If attention is systematically hard to measure from available indices, then claims about a concern’s rising attention, which are common in space policy writing, are typically unfalsifiable from the same sources that generate them</w:t>
      </w:r>
      <w:r>
        <w:t xml:space="preserve"> </w:t>
      </w:r>
      <w:hyperlink w:anchor="ref-1">
        <w:r>
          <w:rPr>
            <w:rStyle w:val="Hyperlink"/>
          </w:rPr>
          <w:t xml:space="preserve">[1]</w:t>
        </w:r>
      </w:hyperlink>
      <w:r>
        <w:t xml:space="preserve"> </w:t>
      </w:r>
      <w:hyperlink w:anchor="ref-7">
        <w:r>
          <w:rPr>
            <w:rStyle w:val="Hyperlink"/>
          </w:rPr>
          <w:t xml:space="preserve">[7]</w:t>
        </w:r>
      </w:hyperlink>
      <w:r>
        <w:t xml:space="preserve">. A field that wants its salience claims to be checkable needs better citation data, or it needs to shift its measurable claims toward features like venue that local records can actually support. That is a small but real prescription this study can offer from its own encounter with the floor.</w:t>
      </w:r>
    </w:p>
    <w:bookmarkEnd w:id="130"/>
    <w:bookmarkStart w:id="131" w:name="X4ae4e7ab9817603f834f2bb0f4ed27c8c4b5980"/>
    <w:p>
      <w:pPr>
        <w:pStyle w:val="Heading2"/>
        <w:spacing w:line="480" w:lineRule="auto"/>
      </w:pPr>
      <w:r>
        <w:t xml:space="preserve">7.8 The asymmetry between the two hypotheses reconsidered</w:t>
      </w:r>
    </w:p>
    <w:p>
      <w:pPr>
        <w:pStyle w:val="FirstParagraph"/>
        <w:spacing w:line="480" w:lineRule="auto"/>
      </w:pPr>
      <w:r>
        <w:t xml:space="preserve">The study rejected one null and failed to reject the other, and the asymmetry itself carries a lesson about how to design documentary tests. The rejected null, the cross-sectional one, ran through a well-measured feature, venue, that the retained records represent with real variation</w:t>
      </w:r>
      <w:r>
        <w:t xml:space="preserve"> </w:t>
      </w:r>
      <w:hyperlink w:anchor="ref-3">
        <w:r>
          <w:rPr>
            <w:rStyle w:val="Hyperlink"/>
          </w:rPr>
          <w:t xml:space="preserve">[3]</w:t>
        </w:r>
      </w:hyperlink>
      <w:r>
        <w:t xml:space="preserve">. The unrejected null, the temporal one, ran through a floored feature, citation attention, that the records barely vary in</w:t>
      </w:r>
      <w:r>
        <w:t xml:space="preserve"> </w:t>
      </w:r>
      <w:hyperlink w:anchor="ref-2">
        <w:r>
          <w:rPr>
            <w:rStyle w:val="Hyperlink"/>
          </w:rPr>
          <w:t xml:space="preserve">[2]</w:t>
        </w:r>
      </w:hyperlink>
      <w:r>
        <w:t xml:space="preserve">. The asymmetry in outcomes tracks the asymmetry in measurement quality almost perfectly, which suggests the results are reporting the state of the data as much as the state of the world.</w:t>
      </w:r>
    </w:p>
    <w:p>
      <w:pPr>
        <w:pStyle w:val="BodyText"/>
        <w:spacing w:line="480" w:lineRule="auto"/>
        <w:ind w:firstLine="720"/>
      </w:pPr>
      <w:r>
        <w:t xml:space="preserve">This is a sobering interpretation, and the study embraces it rather than resisting it. A documentary screen cannot fully separate a genuine absence of structure from an absence of measurable structure, and honesty requires saying so</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temporal null might mean commercial-cadence attention genuinely does not accumulate with age, or it might mean the citation floor hides an accumulation that is really there. The study cannot distinguish these, and it declines to guess. What it can do is hand the successor design a precise instruction: fix the citation measure first, then re-ask the temporal question on data that could actually answer it</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131"/>
    <w:bookmarkStart w:id="132" w:name="X1222714bef152f4228c9a908b8c1996d012e407"/>
    <w:p>
      <w:pPr>
        <w:pStyle w:val="Heading2"/>
        <w:spacing w:line="480" w:lineRule="auto"/>
      </w:pPr>
      <w:r>
        <w:t xml:space="preserve">7.9 Implications for how salience claims should be made</w:t>
      </w:r>
    </w:p>
    <w:p>
      <w:pPr>
        <w:pStyle w:val="FirstParagraph"/>
        <w:spacing w:line="480" w:lineRule="auto"/>
      </w:pPr>
      <w:r>
        <w:t xml:space="preserve">The study’s encounter with its own data suggests a broader discipline for how salience is argued in space policy. A claim that a concern is rising should, wherever possible, be attached to a measurable feature and a falsifiable test rather than to selection and emphasis</w:t>
      </w:r>
      <w:r>
        <w:t xml:space="preserve"> </w:t>
      </w:r>
      <w:hyperlink w:anchor="ref-4">
        <w:r>
          <w:rPr>
            <w:rStyle w:val="Hyperlink"/>
          </w:rPr>
          <w:t xml:space="preserve">[4]</w:t>
        </w:r>
      </w:hyperlink>
      <w:r>
        <w:t xml:space="preserve"> </w:t>
      </w:r>
      <w:hyperlink w:anchor="ref-5">
        <w:r>
          <w:rPr>
            <w:rStyle w:val="Hyperlink"/>
          </w:rPr>
          <w:t xml:space="preserve">[5]</w:t>
        </w:r>
      </w:hyperlink>
      <w:r>
        <w:t xml:space="preserve">. Where the measurable feature is venue distribution, the claim can be made and checked, as this study demonstrates</w:t>
      </w:r>
      <w:r>
        <w:t xml:space="preserve"> </w:t>
      </w:r>
      <w:hyperlink w:anchor="ref-3">
        <w:r>
          <w:rPr>
            <w:rStyle w:val="Hyperlink"/>
          </w:rPr>
          <w:t xml:space="preserve">[3]</w:t>
        </w:r>
      </w:hyperlink>
      <w:r>
        <w:t xml:space="preserve">. Where it runs through citation attention, the claim will often be uncheckable against local indices, and the honest move is either to secure better data or to lower the confidence of the claim to match the evidence</w:t>
      </w:r>
      <w:r>
        <w:t xml:space="preserve"> </w:t>
      </w:r>
      <w:hyperlink w:anchor="ref-2">
        <w:r>
          <w:rPr>
            <w:rStyle w:val="Hyperlink"/>
          </w:rPr>
          <w:t xml:space="preserve">[2]</w:t>
        </w:r>
      </w:hyperlink>
      <w:r>
        <w:t xml:space="preserve">.</w:t>
      </w:r>
    </w:p>
    <w:p>
      <w:pPr>
        <w:pStyle w:val="BodyText"/>
        <w:spacing w:line="480" w:lineRule="auto"/>
        <w:ind w:firstLine="720"/>
      </w:pPr>
      <w:r>
        <w:t xml:space="preserve">This is a prescription the field can adopt without adopting the specific topic. It asks only that authors distinguish the salience claims they can support from those they cannot, and that they route their strongest assertions through the channels their data actually measure</w:t>
      </w:r>
      <w:r>
        <w:t xml:space="preserve"> </w:t>
      </w:r>
      <w:hyperlink w:anchor="ref-6">
        <w:r>
          <w:rPr>
            <w:rStyle w:val="Hyperlink"/>
          </w:rPr>
          <w:t xml:space="preserve">[6]</w:t>
        </w:r>
      </w:hyperlink>
      <w:r>
        <w:t xml:space="preserve"> </w:t>
      </w:r>
      <w:hyperlink w:anchor="ref-7">
        <w:r>
          <w:rPr>
            <w:rStyle w:val="Hyperlink"/>
          </w:rPr>
          <w:t xml:space="preserve">[7]</w:t>
        </w:r>
      </w:hyperlink>
      <w:r>
        <w:t xml:space="preserve">. A literature that followed this discipline would make fewer unfalsifiable claims and more checkable ones, and its checkable claims would compound into cumulative knowledge, which impressionistic assertions never do</w:t>
      </w:r>
      <w:r>
        <w:t xml:space="preserve"> </w:t>
      </w:r>
      <w:hyperlink w:anchor="ref-5">
        <w:r>
          <w:rPr>
            <w:rStyle w:val="Hyperlink"/>
          </w:rPr>
          <w:t xml:space="preserve">[5]</w:t>
        </w:r>
      </w:hyperlink>
      <w:r>
        <w:t xml:space="preserve">. The dissertation cannot reform the field, but it can model the discipline on one topic and show that the discipline is affordable even on a corpus of thirty records.</w:t>
      </w:r>
    </w:p>
    <w:bookmarkEnd w:id="132"/>
    <w:bookmarkStart w:id="133" w:name="the-limits-as-a-research-specification"/>
    <w:p>
      <w:pPr>
        <w:pStyle w:val="Heading2"/>
        <w:spacing w:line="480" w:lineRule="auto"/>
      </w:pPr>
      <w:r>
        <w:t xml:space="preserve">7.10 The limits as a research specification</w:t>
      </w:r>
    </w:p>
    <w:p>
      <w:pPr>
        <w:pStyle w:val="FirstParagraph"/>
        <w:spacing w:line="480" w:lineRule="auto"/>
      </w:pPr>
      <w:r>
        <w:t xml:space="preserve">The limits catalogued in this chapter are not only cautions; assembled, they read as a specification for a better study, and it is worth stating them in that constructive form. The source-selection limit specifies that the successor needs a larger, less selectively retrieved corpus</w:t>
      </w:r>
      <w:r>
        <w:t xml:space="preserve"> </w:t>
      </w:r>
      <w:hyperlink w:anchor="ref-2">
        <w:r>
          <w:rPr>
            <w:rStyle w:val="Hyperlink"/>
          </w:rPr>
          <w:t xml:space="preserve">[2]</w:t>
        </w:r>
      </w:hyperlink>
      <w:r>
        <w:t xml:space="preserve">. The proxy-measurement limit specifies that the topic-signal count should give way to direct coding and the ordinal venue code to a richer venue characterization</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omitted-variable limit specifies that operator-level and regulatory data must be brought alongside the documentary record</w:t>
      </w:r>
      <w:r>
        <w:t xml:space="preserve"> </w:t>
      </w:r>
      <w:hyperlink w:anchor="ref-8">
        <w:r>
          <w:rPr>
            <w:rStyle w:val="Hyperlink"/>
          </w:rPr>
          <w:t xml:space="preserve">[8]</w:t>
        </w:r>
      </w:hyperlink>
      <w:r>
        <w:t xml:space="preserve">. The citation-floor limit specifies that a universal citation source is the highest-priority acquisition</w:t>
      </w:r>
      <w:r>
        <w:t xml:space="preserve"> </w:t>
      </w:r>
      <w:hyperlink w:anchor="ref-6">
        <w:r>
          <w:rPr>
            <w:rStyle w:val="Hyperlink"/>
          </w:rPr>
          <w:t xml:space="preserve">[6]</w:t>
        </w:r>
      </w:hyperlink>
      <w:r>
        <w:t xml:space="preserve">.</w:t>
      </w:r>
    </w:p>
    <w:p>
      <w:pPr>
        <w:pStyle w:val="BodyText"/>
        <w:spacing w:line="480" w:lineRule="auto"/>
        <w:ind w:firstLine="720"/>
      </w:pPr>
      <w:r>
        <w:t xml:space="preserve">Framed this way, the discussion converts every weakness into an instruction, which is the most useful thing a screening study can do with its shortcomings</w:t>
      </w:r>
      <w:r>
        <w:t xml:space="preserve"> </w:t>
      </w:r>
      <w:hyperlink w:anchor="ref-5">
        <w:r>
          <w:rPr>
            <w:rStyle w:val="Hyperlink"/>
          </w:rPr>
          <w:t xml:space="preserve">[5]</w:t>
        </w:r>
      </w:hyperlink>
      <w:r>
        <w:t xml:space="preserve">. A study that merely listed its limits would leave the reader with doubt; a study that turns each limit into a design requirement leaves the reader with a plan. The commercial-cadence inquiry ends the discussion chapter not with an apology for what it could not measure but with a specification for measuring it next, and Chapter 8 carries that specification into a concrete successor design</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discussion thus arrives at a settled posture toward its own findings. It holds one result firmly, the venue concentration, reads it as a leading indicator worth watching rather than a proven fact, and treats every null as a mapped boundary that instructs the next study</w:t>
      </w:r>
      <w:r>
        <w:t xml:space="preserve"> </w:t>
      </w:r>
      <w:hyperlink w:anchor="ref-3">
        <w:r>
          <w:rPr>
            <w:rStyle w:val="Hyperlink"/>
          </w:rPr>
          <w:t xml:space="preserve">[3]</w:t>
        </w:r>
      </w:hyperlink>
      <w:r>
        <w:t xml:space="preserve"> </w:t>
      </w:r>
      <w:hyperlink w:anchor="ref-5">
        <w:r>
          <w:rPr>
            <w:rStyle w:val="Hyperlink"/>
          </w:rPr>
          <w:t xml:space="preserve">[5]</w:t>
        </w:r>
      </w:hyperlink>
      <w:r>
        <w:t xml:space="preserve">. That posture is the mature form of a screening study’s self-understanding: confident where the data earn confidence, silent where they do not, and useful in both registers</w:t>
      </w:r>
      <w:r>
        <w:t xml:space="preserve"> </w:t>
      </w:r>
      <w:hyperlink w:anchor="ref-6">
        <w:r>
          <w:rPr>
            <w:rStyle w:val="Hyperlink"/>
          </w:rPr>
          <w:t xml:space="preserve">[6]</w:t>
        </w:r>
      </w:hyperlink>
      <w:r>
        <w:t xml:space="preserve">.</w:t>
      </w:r>
    </w:p>
    <w:p>
      <w:pPr>
        <w:pStyle w:val="BodyText"/>
        <w:spacing w:line="480" w:lineRule="auto"/>
        <w:ind w:firstLine="720"/>
      </w:pPr>
      <w:r>
        <w:t xml:space="preserve">There is a governance argument for valuing a study that produces so many nulls. A claim that survives source tracing, variable construction, and estimator review is stronger than an impressionistic claim, and a claim that fails those tests is genuinely useful because it blocks premature confidence</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commercial-cadence concern is exactly the kind of topic where impressionistic confidence is cheap and abundant. A screen that says the concern is venue-structured but not yet temporally measurable does real work: it tells the field where the evidence is solid and where enthusiasm has outrun the data. Chapter 8 draws the contribution together and specifies the successor design that the limits of this one make necessary</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133"/>
    <w:bookmarkEnd w:id="134"/>
    <w:bookmarkStart w:id="174"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do one small thing well. It took Commercial Cadence Political Economy (S-1) from a broad policy intuition to a falsifiable document-level test, ran that test on thirty auditable records, and reported the result without inflating it. The concluding chapter states the contribution plainly, locates it in the governance conversation it belongs to, and specifies the successor design that the study’s own limits make necessary. The measure of the work is not the size of its finding but the honesty of its chain from source to claim.</w:t>
      </w:r>
    </w:p>
    <w:bookmarkStart w:id="135" w:name="the-contribution-restated"/>
    <w:p>
      <w:pPr>
        <w:pStyle w:val="Heading2"/>
        <w:spacing w:line="480" w:lineRule="auto"/>
      </w:pPr>
      <w:r>
        <w:t xml:space="preserve">8.1 The contribution restated</w:t>
      </w:r>
    </w:p>
    <w:p>
      <w:pPr>
        <w:pStyle w:val="FirstParagraph"/>
        <w:spacing w:line="480" w:lineRule="auto"/>
      </w:pPr>
      <w:r>
        <w:t xml:space="preserve">The contribution is a reproducible screen. Two estimators, run on a fixed corpus, answered a pre-registered pair of hypotheses. The first estimator, an ordinary least squares model of the topic-signal score on recency, citation attention, and venue family, rejected the joint null: with N = 30, R2 = 0.345563773205777, and F = 4.433590357338824 at F_p = 0.01206549137713079, the trio of predictors is systematically related to the signal. The rejection is carried by venue family, whose coefficient of -1.5910041862818214 at p = 0.00027583915365918526 is the model’s one precise slope. Recency, at -0.19673945936877413 with p = 0.16396071668297352, and citation count, at 0.03643882066444004 with p = 0.3796797874792147, are imprecise and license no strong claim</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second estimator, a log-log learning-curve model of citation accumulation on article age, failed to reject its null. With N = 30 and R2 = 0.00887910595308905, the elasticity of -0.16394874664913825 at p = 0.4257940584193741 is indistinguishable from zero, and the implied progress ratio of 0.8925786807631536 is a mechanical artifact of an imprecise coefficient rather than a measured learning rate</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two results are not interchangeable. One establishes cross-sectional structure; the other establishes that temporal structure is not measurable in this corpus. Their value is cumulative precisely because they disagree in an interpretable way.</w:t>
      </w:r>
    </w:p>
    <w:bookmarkEnd w:id="135"/>
    <w:bookmarkStart w:id="136" w:name="why-the-finding-is-worth-having"/>
    <w:p>
      <w:pPr>
        <w:pStyle w:val="Heading2"/>
        <w:spacing w:line="480" w:lineRule="auto"/>
      </w:pPr>
      <w:r>
        <w:t xml:space="preserve">8.2 Why the finding is worth having</w:t>
      </w:r>
    </w:p>
    <w:p>
      <w:pPr>
        <w:pStyle w:val="FirstParagraph"/>
        <w:spacing w:line="480" w:lineRule="auto"/>
      </w:pPr>
      <w:r>
        <w:t xml:space="preserve">A reader might ask what a venue coefficient and a null learning curve add to a field already rich in confident claims. The answer is that they add discipline. The venue finding says something specific and checkable: in this corpus, the commercial-cadence concern is concentrated in the technical and policy conference literature and thins toward the economics venues</w:t>
      </w:r>
      <w:r>
        <w:t xml:space="preserve"> </w:t>
      </w:r>
      <w:hyperlink w:anchor="ref-3">
        <w:r>
          <w:rPr>
            <w:rStyle w:val="Hyperlink"/>
          </w:rPr>
          <w:t xml:space="preserve">[3]</w:t>
        </w:r>
      </w:hyperlink>
      <w:r>
        <w:t xml:space="preserve"> </w:t>
      </w:r>
      <w:hyperlink w:anchor="ref-6">
        <w:r>
          <w:rPr>
            <w:rStyle w:val="Hyperlink"/>
          </w:rPr>
          <w:t xml:space="preserve">[6]</w:t>
        </w:r>
      </w:hyperlink>
      <w:r>
        <w:t xml:space="preserve">. That is a documentary snapshot of a concern that has not yet migrated across the communities whose eventual agreement usually precedes binding rules</w:t>
      </w:r>
      <w:r>
        <w:t xml:space="preserve"> </w:t>
      </w:r>
      <w:hyperlink w:anchor="ref-7">
        <w:r>
          <w:rPr>
            <w:rStyle w:val="Hyperlink"/>
          </w:rPr>
          <w:t xml:space="preserve">[7]</w:t>
        </w:r>
      </w:hyperlink>
      <w:r>
        <w:t xml:space="preserve"> </w:t>
      </w:r>
      <w:hyperlink w:anchor="ref-11">
        <w:r>
          <w:rPr>
            <w:rStyle w:val="Hyperlink"/>
          </w:rPr>
          <w:t xml:space="preserve">[11]</w:t>
        </w:r>
      </w:hyperlink>
      <w:r>
        <w:t xml:space="preserve">. It is exactly the profile of a topic that outruns its governance, still intense in its originating community and not yet consolidated elsewhere.</w:t>
      </w:r>
    </w:p>
    <w:p>
      <w:pPr>
        <w:pStyle w:val="BodyText"/>
        <w:spacing w:line="480" w:lineRule="auto"/>
        <w:ind w:firstLine="720"/>
      </w:pPr>
      <w:r>
        <w:t xml:space="preserve">The nulls are worth having for the opposite reason. They mark where the record cannot yet speak. The citation channel is floored by a sparse local index, and the temporal model has almost no variation to explain</w:t>
      </w:r>
      <w:r>
        <w:t xml:space="preserve"> </w:t>
      </w:r>
      <w:hyperlink w:anchor="ref-2">
        <w:r>
          <w:rPr>
            <w:rStyle w:val="Hyperlink"/>
          </w:rPr>
          <w:t xml:space="preserve">[2]</w:t>
        </w:r>
      </w:hyperlink>
      <w:r>
        <w:t xml:space="preserve">. A field that treats commercial cadence as self-evidently accelerating should be interested in a screen that finds the acceleration unmeasurable in the available records. The finding does not deny the acceleration. It denies that this corpus can demonstrate it, which is a more useful and more honest statement</w:t>
      </w:r>
      <w:r>
        <w:t xml:space="preserve"> </w:t>
      </w:r>
      <w:hyperlink w:anchor="ref-5">
        <w:r>
          <w:rPr>
            <w:rStyle w:val="Hyperlink"/>
          </w:rPr>
          <w:t xml:space="preserve">[5]</w:t>
        </w:r>
      </w:hyperlink>
      <w:r>
        <w:t xml:space="preserve">.</w:t>
      </w:r>
    </w:p>
    <w:bookmarkEnd w:id="136"/>
    <w:bookmarkStart w:id="137" w:name="governance-and-program-relevance"/>
    <w:p>
      <w:pPr>
        <w:pStyle w:val="Heading2"/>
        <w:spacing w:line="480" w:lineRule="auto"/>
      </w:pPr>
      <w:r>
        <w:t xml:space="preserve">8.3 Governance and program relevance</w:t>
      </w:r>
    </w:p>
    <w:p>
      <w:pPr>
        <w:pStyle w:val="FirstParagraph"/>
        <w:spacing w:line="480" w:lineRule="auto"/>
      </w:pPr>
      <w:r>
        <w:t xml:space="preserve">For the governance conversation, the study offers a template as much as a result. The template is a staged approach to evidence. A first pass uses public records and metadata to establish whether a claim is even visible and structured, which is the pass this dissertation completes. A second pass adds operator-level, mission-level, and regulatory data that the documentary record does not contain. A third pass tests whether the observed structure survives stronger controls, matched comparisons, and longitudinal designs</w:t>
      </w:r>
      <w:r>
        <w:t xml:space="preserve"> </w:t>
      </w:r>
      <w:hyperlink w:anchor="ref-4">
        <w:r>
          <w:rPr>
            <w:rStyle w:val="Hyperlink"/>
          </w:rPr>
          <w:t xml:space="preserve">[4]</w:t>
        </w:r>
      </w:hyperlink>
      <w:r>
        <w:t xml:space="preserve"> </w:t>
      </w:r>
      <w:hyperlink w:anchor="ref-8">
        <w:r>
          <w:rPr>
            <w:rStyle w:val="Hyperlink"/>
          </w:rPr>
          <w:t xml:space="preserve">[8]</w:t>
        </w:r>
      </w:hyperlink>
      <w:r>
        <w:t xml:space="preserve">. The present work occupies the first stage and names the later stages plainly rather than pretending to have reached them.</w:t>
      </w:r>
    </w:p>
    <w:p>
      <w:pPr>
        <w:pStyle w:val="BodyText"/>
        <w:spacing w:line="480" w:lineRule="auto"/>
        <w:ind w:firstLine="720"/>
      </w:pPr>
      <w:r>
        <w:t xml:space="preserve">The program relevance follows from the staging. A program office watching commercial cadence does not need a documentary screen to tell it that cadence is high; it lives with that fact. What a screen can offer is an early, auditable read on whether the concern is consolidating across communities, which is a leading indicator of whether coordinated governance is likely to form</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venue finding, read this way, suggests the concern is still community-bound. That is actionable context: it implies that the cross-venue consensus which typically precedes rulemaking has not yet assembled, and that a program anticipating regulation has time it might not have assumed it had</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relevance extends to the sustainability and economic communities the concern has not yet fully reached. If commercial cadence is genuinely a political-economy problem, its absence from the economics venues is itself a governance signal</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A concern that stays technical while its economic stakes grow is a concern whose governance may lag its consequences. The dissertation cannot prove that lag, but it can document the venue asymmetry that would produce it, and documenting it is a contribution the economic literature can act on</w:t>
      </w:r>
      <w:r>
        <w:t xml:space="preserve"> </w:t>
      </w:r>
      <w:hyperlink w:anchor="ref-12">
        <w:r>
          <w:rPr>
            <w:rStyle w:val="Hyperlink"/>
          </w:rPr>
          <w:t xml:space="preserve">[12]</w:t>
        </w:r>
      </w:hyperlink>
      <w:r>
        <w:t xml:space="preserve">.</w:t>
      </w:r>
    </w:p>
    <w:bookmarkEnd w:id="137"/>
    <w:bookmarkStart w:id="138" w:name="future-work"/>
    <w:p>
      <w:pPr>
        <w:pStyle w:val="Heading2"/>
        <w:spacing w:line="480" w:lineRule="auto"/>
      </w:pPr>
      <w:r>
        <w:t xml:space="preserve">8.4 Future work</w:t>
      </w:r>
    </w:p>
    <w:p>
      <w:pPr>
        <w:pStyle w:val="FirstParagraph"/>
        <w:spacing w:line="480" w:lineRule="auto"/>
      </w:pPr>
      <w:r>
        <w:t xml:space="preserve">The study’s limits write its research agenda. The most binding limit is the citation floor, and the first improvement is a richer attention measure drawn from a citation index that does not report zero for most records. With genuine variation in attention, both the citation term in the cross-sectional model and the entire learning-curve model could be re-estimated on a foundation that can actually reveal an accumulation dynamic</w:t>
      </w:r>
      <w:r>
        <w:t xml:space="preserve"> </w:t>
      </w:r>
      <w:hyperlink w:anchor="ref-2">
        <w:r>
          <w:rPr>
            <w:rStyle w:val="Hyperlink"/>
          </w:rPr>
          <w:t xml:space="preserve">[2]</w:t>
        </w:r>
      </w:hyperlink>
      <w:r>
        <w:t xml:space="preserve"> </w:t>
      </w:r>
      <w:hyperlink w:anchor="ref-6">
        <w:r>
          <w:rPr>
            <w:rStyle w:val="Hyperlink"/>
          </w:rPr>
          <w:t xml:space="preserve">[6]</w:t>
        </w:r>
      </w:hyperlink>
      <w:r>
        <w:t xml:space="preserve">. This is the single highest-value next step, because it directly targets the channel the current data cannot measure.</w:t>
      </w:r>
    </w:p>
    <w:p>
      <w:pPr>
        <w:pStyle w:val="BodyText"/>
        <w:spacing w:line="480" w:lineRule="auto"/>
        <w:ind w:firstLine="720"/>
      </w:pPr>
      <w:r>
        <w:t xml:space="preserve">The second improvement is a direct document-coding design. Rather than proxying topical relevance through term matching, a successor study would code each source for the substantive governance stance it takes, turning the topic-signal score from a count into a measured position</w:t>
      </w:r>
      <w:r>
        <w:t xml:space="preserve"> </w:t>
      </w:r>
      <w:hyperlink w:anchor="ref-1">
        <w:r>
          <w:rPr>
            <w:rStyle w:val="Hyperlink"/>
          </w:rPr>
          <w:t xml:space="preserve">[1]</w:t>
        </w:r>
      </w:hyperlink>
      <w:r>
        <w:t xml:space="preserve"> </w:t>
      </w:r>
      <w:hyperlink w:anchor="ref-4">
        <w:r>
          <w:rPr>
            <w:rStyle w:val="Hyperlink"/>
          </w:rPr>
          <w:t xml:space="preserve">[4]</w:t>
        </w:r>
      </w:hyperlink>
      <w:r>
        <w:t xml:space="preserve">. That coding would let the analysis ask not just whether the concern is present but what the concern is arguing, which is where the political-economy question actually lives.</w:t>
      </w:r>
    </w:p>
    <w:p>
      <w:pPr>
        <w:pStyle w:val="BodyText"/>
        <w:spacing w:line="480" w:lineRule="auto"/>
        <w:ind w:firstLine="720"/>
      </w:pPr>
      <w:r>
        <w:t xml:space="preserve">The third improvement is scope. Thirty records is enough for a screen and too few for generalization. Extending the source universe, across more venues, more years, and more communities, would let a successor study test whether the venue structure found here persists or dissolves under a broader draw</w:t>
      </w:r>
      <w:r>
        <w:t xml:space="preserve"> </w:t>
      </w:r>
      <w:hyperlink w:anchor="ref-3">
        <w:r>
          <w:rPr>
            <w:rStyle w:val="Hyperlink"/>
          </w:rPr>
          <w:t xml:space="preserve">[3]</w:t>
        </w:r>
      </w:hyperlink>
      <w:r>
        <w:t xml:space="preserve"> </w:t>
      </w:r>
      <w:hyperlink w:anchor="ref-13">
        <w:r>
          <w:rPr>
            <w:rStyle w:val="Hyperlink"/>
          </w:rPr>
          <w:t xml:space="preserve">[13]</w:t>
        </w:r>
      </w:hyperlink>
      <w:r>
        <w:t xml:space="preserve">. Only with a larger, less selectively retrieved corpus could the finding move from corpus-local to field-level.</w:t>
      </w:r>
    </w:p>
    <w:bookmarkEnd w:id="138"/>
    <w:bookmarkStart w:id="139" w:name="closing"/>
    <w:p>
      <w:pPr>
        <w:pStyle w:val="Heading2"/>
        <w:spacing w:line="480" w:lineRule="auto"/>
      </w:pPr>
      <w:r>
        <w:t xml:space="preserve">8.5 Closing</w:t>
      </w:r>
    </w:p>
    <w:bookmarkEnd w:id="139"/>
    <w:bookmarkStart w:id="140" w:name="X997a36689601f03e2f976d4212b2822f76b007b"/>
    <w:p>
      <w:pPr>
        <w:pStyle w:val="Heading2"/>
        <w:spacing w:line="480" w:lineRule="auto"/>
      </w:pPr>
      <w:r>
        <w:t xml:space="preserve">8.6 The methodological contribution beyond this topic</w:t>
      </w:r>
    </w:p>
    <w:p>
      <w:pPr>
        <w:pStyle w:val="FirstParagraph"/>
        <w:spacing w:line="480" w:lineRule="auto"/>
      </w:pPr>
      <w:r>
        <w:t xml:space="preserve">The substantive contribution is bounded to commercial cadence, but the methodological contribution travels further, and it is worth stating on its own because it is arguably the more durable of the two. The dissertation demonstrates a repeatable procedure for converting an asserted salience claim into a falsifiable screen: retrieve a fixed corpus, construct deterministic variables from inspectable fields, pair a cross-sectional model with a temporal one, and read the coefficients under a pre-committed rule</w:t>
      </w:r>
      <w:r>
        <w:t xml:space="preserve"> </w:t>
      </w:r>
      <w:hyperlink w:anchor="ref-2">
        <w:r>
          <w:rPr>
            <w:rStyle w:val="Hyperlink"/>
          </w:rPr>
          <w:t xml:space="preserve">[2]</w:t>
        </w:r>
      </w:hyperlink>
      <w:r>
        <w:t xml:space="preserve"> </w:t>
      </w:r>
      <w:hyperlink w:anchor="ref-4">
        <w:r>
          <w:rPr>
            <w:rStyle w:val="Hyperlink"/>
          </w:rPr>
          <w:t xml:space="preserve">[4]</w:t>
        </w:r>
      </w:hyperlink>
      <w:r>
        <w:t xml:space="preserve">. Any space governance concern that generates a documentary trace could be run through the same procedure, and the procedure would either find structure or fail to, honestly, on records a reader could check.</w:t>
      </w:r>
    </w:p>
    <w:p>
      <w:pPr>
        <w:pStyle w:val="BodyText"/>
        <w:spacing w:line="480" w:lineRule="auto"/>
        <w:ind w:firstLine="720"/>
      </w:pPr>
      <w:r>
        <w:t xml:space="preserve">This matters because space policy is unusually rich in salience claims and unusually poor in tests of them. Assertions that a concern is rising, urgent, or consolidating appear constantly, and they are rarely accompanied by anything a skeptic could reject</w:t>
      </w:r>
      <w:r>
        <w:t xml:space="preserve"> </w:t>
      </w:r>
      <w:hyperlink w:anchor="ref-7">
        <w:r>
          <w:rPr>
            <w:rStyle w:val="Hyperlink"/>
          </w:rPr>
          <w:t xml:space="preserve">[7]</w:t>
        </w:r>
      </w:hyperlink>
      <w:r>
        <w:t xml:space="preserve"> </w:t>
      </w:r>
      <w:hyperlink w:anchor="ref-13">
        <w:r>
          <w:rPr>
            <w:rStyle w:val="Hyperlink"/>
          </w:rPr>
          <w:t xml:space="preserve">[13]</w:t>
        </w:r>
      </w:hyperlink>
      <w:r>
        <w:t xml:space="preserve">. A procedure that turns such assertions into checkable screens raises the evidentiary floor of the field, even when any single screen returns mostly nulls. The value is in the discipline, not in the particular coefficient, and the discipline is portable in a way the commercial-cadence finding is not</w:t>
      </w:r>
      <w:r>
        <w:t xml:space="preserve"> </w:t>
      </w:r>
      <w:hyperlink w:anchor="ref-5">
        <w:r>
          <w:rPr>
            <w:rStyle w:val="Hyperlink"/>
          </w:rPr>
          <w:t xml:space="preserve">[5]</w:t>
        </w:r>
      </w:hyperlink>
      <w:r>
        <w:t xml:space="preserve">.</w:t>
      </w:r>
    </w:p>
    <w:p>
      <w:pPr>
        <w:pStyle w:val="BodyText"/>
        <w:spacing w:line="480" w:lineRule="auto"/>
        <w:ind w:firstLine="720"/>
      </w:pPr>
      <w:r>
        <w:t xml:space="preserve">The procedure also carries its own warnings, learned from this application. It teaches that citation-based channels will often fail against local indices, so a well-designed screen should place its falsifiable weight on features like venue that local records represent reliably</w:t>
      </w:r>
      <w:r>
        <w:t xml:space="preserve"> </w:t>
      </w:r>
      <w:hyperlink w:anchor="ref-3">
        <w:r>
          <w:rPr>
            <w:rStyle w:val="Hyperlink"/>
          </w:rPr>
          <w:t xml:space="preserve">[3]</w:t>
        </w:r>
      </w:hyperlink>
      <w:r>
        <w:t xml:space="preserve"> </w:t>
      </w:r>
      <w:hyperlink w:anchor="ref-6">
        <w:r>
          <w:rPr>
            <w:rStyle w:val="Hyperlink"/>
          </w:rPr>
          <w:t xml:space="preserve">[6]</w:t>
        </w:r>
      </w:hyperlink>
      <w:r>
        <w:t xml:space="preserve">. It teaches that a small corpus can still test a low-dimensional, high-effect feature while being helpless against a floored one, so sample size and measurement quality must be diagnosed separately</w:t>
      </w:r>
      <w:r>
        <w:t xml:space="preserve"> </w:t>
      </w:r>
      <w:hyperlink w:anchor="ref-2">
        <w:r>
          <w:rPr>
            <w:rStyle w:val="Hyperlink"/>
          </w:rPr>
          <w:t xml:space="preserve">[2]</w:t>
        </w:r>
      </w:hyperlink>
      <w:r>
        <w:t xml:space="preserve">. These are transferable lessons, and a candidate carrying them into a larger program starts ahead of where this study began.</w:t>
      </w:r>
    </w:p>
    <w:bookmarkEnd w:id="140"/>
    <w:bookmarkStart w:id="141" w:name="Xa8c1fa94ac19d2af08ac2c54c05ddfc9cdb7c3f"/>
    <w:p>
      <w:pPr>
        <w:pStyle w:val="Heading2"/>
        <w:spacing w:line="480" w:lineRule="auto"/>
      </w:pPr>
      <w:r>
        <w:t xml:space="preserve">8.7 Honest accounting of what was and was not learned</w:t>
      </w:r>
    </w:p>
    <w:p>
      <w:pPr>
        <w:pStyle w:val="FirstParagraph"/>
        <w:spacing w:line="480" w:lineRule="auto"/>
      </w:pPr>
      <w:r>
        <w:t xml:space="preserve">A conclusion earns trust by tallying its own ledger plainly, so here is the tally. The study learned that the commercial-cadence concern is venue-structured, concentrated in the technical and policy conference literature, with a precise and substantively large venue coefficient</w:t>
      </w:r>
      <w:r>
        <w:t xml:space="preserve"> </w:t>
      </w:r>
      <w:hyperlink w:anchor="ref-3">
        <w:r>
          <w:rPr>
            <w:rStyle w:val="Hyperlink"/>
          </w:rPr>
          <w:t xml:space="preserve">[3]</w:t>
        </w:r>
      </w:hyperlink>
      <w:r>
        <w:t xml:space="preserve"> </w:t>
      </w:r>
      <w:hyperlink w:anchor="ref-6">
        <w:r>
          <w:rPr>
            <w:rStyle w:val="Hyperlink"/>
          </w:rPr>
          <w:t xml:space="preserve">[6]</w:t>
        </w:r>
      </w:hyperlink>
      <w:r>
        <w:t xml:space="preserve">. It learned that recency does not organize the topic signal in these records at a level the data can pin down</w:t>
      </w:r>
      <w:r>
        <w:t xml:space="preserve"> </w:t>
      </w:r>
      <w:hyperlink w:anchor="ref-4">
        <w:r>
          <w:rPr>
            <w:rStyle w:val="Hyperlink"/>
          </w:rPr>
          <w:t xml:space="preserve">[4]</w:t>
        </w:r>
      </w:hyperlink>
      <w:r>
        <w:t xml:space="preserve">. It learned that citation attention is effectively unmeasurable from the local index, both as a predictor and as an accumulating outcome</w:t>
      </w:r>
      <w:r>
        <w:t xml:space="preserve"> </w:t>
      </w:r>
      <w:hyperlink w:anchor="ref-2">
        <w:r>
          <w:rPr>
            <w:rStyle w:val="Hyperlink"/>
          </w:rPr>
          <w:t xml:space="preserve">[2]</w:t>
        </w:r>
      </w:hyperlink>
      <w:r>
        <w:t xml:space="preserve">. It learned that the temporal accumulation question cannot be answered from this corpus at all</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What the study did not learn is equally clear. It did not learn whether commercial cadence has delayed any rule, because no rule-timing outcome exists in the corpus</w:t>
      </w:r>
      <w:r>
        <w:t xml:space="preserve"> </w:t>
      </w:r>
      <w:hyperlink w:anchor="ref-8">
        <w:r>
          <w:rPr>
            <w:rStyle w:val="Hyperlink"/>
          </w:rPr>
          <w:t xml:space="preserve">[8]</w:t>
        </w:r>
      </w:hyperlink>
      <w:r>
        <w:t xml:space="preserve">. It did not learn the direction of causation between attention and governance, because the design is a cross-sectional screen</w:t>
      </w:r>
      <w:r>
        <w:t xml:space="preserve"> </w:t>
      </w:r>
      <w:hyperlink w:anchor="ref-5">
        <w:r>
          <w:rPr>
            <w:rStyle w:val="Hyperlink"/>
          </w:rPr>
          <w:t xml:space="preserve">[5]</w:t>
        </w:r>
      </w:hyperlink>
      <w:r>
        <w:t xml:space="preserve">. It did not learn whether the concern will migrate into the economic literature, because that is a claim about the future and the corpus is a snapshot</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Listing these non-findings is not an apology. It is the perimeter of the screen, drawn so that no reader mistakes the venue result for a broader victory it is not.</w:t>
      </w:r>
    </w:p>
    <w:p>
      <w:pPr>
        <w:pStyle w:val="BodyText"/>
        <w:spacing w:line="480" w:lineRule="auto"/>
        <w:ind w:firstLine="720"/>
      </w:pPr>
      <w:r>
        <w:t xml:space="preserve">The ledger’s shape, one solid finding surrounded by honest nulls, is what a screening study should look like when it is done right. A screen that returned only significant results on thirty records with a floored citation variable would be more suspicious than reassuring</w:t>
      </w:r>
      <w:r>
        <w:t xml:space="preserve"> </w:t>
      </w:r>
      <w:hyperlink w:anchor="ref-4">
        <w:r>
          <w:rPr>
            <w:rStyle w:val="Hyperlink"/>
          </w:rPr>
          <w:t xml:space="preserve">[4]</w:t>
        </w:r>
      </w:hyperlink>
      <w:r>
        <w:t xml:space="preserve">. The mix here is credible precisely because it tracks the measurement quality of each channel: strong where the data are strong, silent where the data are floored. Credibility of this kind is the asset the dissertation most wants to leave behind</w:t>
      </w:r>
      <w:r>
        <w:t xml:space="preserve"> </w:t>
      </w:r>
      <w:hyperlink w:anchor="ref-5">
        <w:r>
          <w:rPr>
            <w:rStyle w:val="Hyperlink"/>
          </w:rPr>
          <w:t xml:space="preserve">[5]</w:t>
        </w:r>
      </w:hyperlink>
      <w:r>
        <w:t xml:space="preserve">.</w:t>
      </w:r>
    </w:p>
    <w:bookmarkEnd w:id="141"/>
    <w:bookmarkStart w:id="142" w:name="the-successor-design-specified"/>
    <w:p>
      <w:pPr>
        <w:pStyle w:val="Heading2"/>
        <w:spacing w:line="480" w:lineRule="auto"/>
      </w:pPr>
      <w:r>
        <w:t xml:space="preserve">8.8 The successor design, specified</w:t>
      </w:r>
    </w:p>
    <w:p>
      <w:pPr>
        <w:pStyle w:val="FirstParagraph"/>
        <w:spacing w:line="480" w:lineRule="auto"/>
      </w:pPr>
      <w:r>
        <w:t xml:space="preserve">The future work sketched earlier can now be stated as a concrete successor design, because the present study has identified exactly what that successor must fix. First, replace the local citation index with a universal citation source, so that the attention channel and the learning-curve question can be re-estimated on a variable that actually varies</w:t>
      </w:r>
      <w:r>
        <w:t xml:space="preserve"> </w:t>
      </w:r>
      <w:hyperlink w:anchor="ref-2">
        <w:r>
          <w:rPr>
            <w:rStyle w:val="Hyperlink"/>
          </w:rPr>
          <w:t xml:space="preserve">[2]</w:t>
        </w:r>
      </w:hyperlink>
      <w:r>
        <w:t xml:space="preserve"> </w:t>
      </w:r>
      <w:hyperlink w:anchor="ref-6">
        <w:r>
          <w:rPr>
            <w:rStyle w:val="Hyperlink"/>
          </w:rPr>
          <w:t xml:space="preserve">[6]</w:t>
        </w:r>
      </w:hyperlink>
      <w:r>
        <w:t xml:space="preserve">. Second, replace the term-matching topic-signal count with a direct human coding of each source’s governance stance, converting the outcome from a proxy for topical presence into a measure of substantive position</w:t>
      </w:r>
      <w:r>
        <w:t xml:space="preserve"> </w:t>
      </w:r>
      <w:hyperlink w:anchor="ref-1">
        <w:r>
          <w:rPr>
            <w:rStyle w:val="Hyperlink"/>
          </w:rPr>
          <w:t xml:space="preserve">[1]</w:t>
        </w:r>
      </w:hyperlink>
      <w:r>
        <w:t xml:space="preserve"> </w:t>
      </w:r>
      <w:hyperlink w:anchor="ref-4">
        <w:r>
          <w:rPr>
            <w:rStyle w:val="Hyperlink"/>
          </w:rPr>
          <w:t xml:space="preserve">[4]</w:t>
        </w:r>
      </w:hyperlink>
      <w:r>
        <w:t xml:space="preserve">. Third, expand the corpus well beyond thirty records and across more venues and years, so that the venue structure found here can be tested for persistence rather than assumed to generalize</w:t>
      </w:r>
      <w:r>
        <w:t xml:space="preserve"> </w:t>
      </w:r>
      <w:hyperlink w:anchor="ref-3">
        <w:r>
          <w:rPr>
            <w:rStyle w:val="Hyperlink"/>
          </w:rPr>
          <w:t xml:space="preserve">[3]</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Executed together, these three changes would move the inquiry from a screen to a study. The venue finding, if it survives a larger and less selectively retrieved corpus, would become a documented feature of the field rather than a corpus-local observation. The attention questions, if a real citation source revives them, would finally be testable. And the direct coding, if it replaces the proxy outcome, would let the analysis ask the political-economy question that the term-matching count can only gesture at</w:t>
      </w:r>
      <w:r>
        <w:t xml:space="preserve"> </w:t>
      </w:r>
      <w:hyperlink w:anchor="ref-5">
        <w:r>
          <w:rPr>
            <w:rStyle w:val="Hyperlink"/>
          </w:rPr>
          <w:t xml:space="preserve">[5]</w:t>
        </w:r>
      </w:hyperlink>
      <w:r>
        <w:t xml:space="preserve"> </w:t>
      </w:r>
      <w:hyperlink w:anchor="ref-8">
        <w:r>
          <w:rPr>
            <w:rStyle w:val="Hyperlink"/>
          </w:rPr>
          <w:t xml:space="preserve">[8]</w:t>
        </w:r>
      </w:hyperlink>
      <w:r>
        <w:t xml:space="preserve">. The present dissertation provides the baseline from which that sequence proceeds, and it provides it with the limits already mapped, which is the most useful thing a first study can hand its successor</w:t>
      </w:r>
      <w:r>
        <w:t xml:space="preserve"> </w:t>
      </w:r>
      <w:hyperlink w:anchor="ref-9">
        <w:r>
          <w:rPr>
            <w:rStyle w:val="Hyperlink"/>
          </w:rPr>
          <w:t xml:space="preserve">[9]</w:t>
        </w:r>
      </w:hyperlink>
      <w:r>
        <w:t xml:space="preserve">.</w:t>
      </w:r>
    </w:p>
    <w:bookmarkEnd w:id="142"/>
    <w:bookmarkStart w:id="143" w:name="X7e6ebd5379eda12979c9f4814f5c7a1d35c5513"/>
    <w:p>
      <w:pPr>
        <w:pStyle w:val="Heading2"/>
        <w:spacing w:line="480" w:lineRule="auto"/>
      </w:pPr>
      <w:r>
        <w:t xml:space="preserve">8.9 Relevance to the broader space governance conversation</w:t>
      </w:r>
    </w:p>
    <w:p>
      <w:pPr>
        <w:pStyle w:val="FirstParagraph"/>
        <w:spacing w:line="480" w:lineRule="auto"/>
      </w:pPr>
      <w:r>
        <w:t xml:space="preserve">The finding connects to a live debate about how commercial space should be governed, and it is worth drawing that connection explicitly. Much of the governance conversation assumes that consensus about a concern precedes and enables coordinated rulemaking, whether the concern is debris, servicing supervision, or spectrum</w:t>
      </w:r>
      <w:r>
        <w:t xml:space="preserve"> </w:t>
      </w:r>
      <w:hyperlink w:anchor="ref-1">
        <w:r>
          <w:rPr>
            <w:rStyle w:val="Hyperlink"/>
          </w:rPr>
          <w:t xml:space="preserve">[1]</w:t>
        </w:r>
      </w:hyperlink>
      <w:r>
        <w:t xml:space="preserve"> </w:t>
      </w:r>
      <w:hyperlink w:anchor="ref-8">
        <w:r>
          <w:rPr>
            <w:rStyle w:val="Hyperlink"/>
          </w:rPr>
          <w:t xml:space="preserve">[8]</w:t>
        </w:r>
      </w:hyperlink>
      <w:r>
        <w:t xml:space="preserve">. If that assumption holds, then a documentary indicator of how far a concern has consolidated across communities is a genuinely useful early warning, telling institutions whether the groundwork for coordinated action has been laid</w:t>
      </w:r>
      <w:r>
        <w:t xml:space="preserve"> </w:t>
      </w:r>
      <w:hyperlink w:anchor="ref-5">
        <w:r>
          <w:rPr>
            <w:rStyle w:val="Hyperlink"/>
          </w:rPr>
          <w:t xml:space="preserve">[5]</w:t>
        </w:r>
      </w:hyperlink>
      <w:r>
        <w:t xml:space="preserve">. The venue asymmetry this study measures is one such indicator, and it reports, for commercial cadence, that the groundwork is still partial.</w:t>
      </w:r>
    </w:p>
    <w:p>
      <w:pPr>
        <w:pStyle w:val="BodyText"/>
        <w:spacing w:line="480" w:lineRule="auto"/>
        <w:ind w:firstLine="720"/>
      </w:pPr>
      <w:r>
        <w:t xml:space="preserve">For the sustainability and transdisciplinary strand, the reading is pointed</w:t>
      </w:r>
      <w:r>
        <w:t xml:space="preserve"> </w:t>
      </w:r>
      <w:hyperlink w:anchor="ref-13">
        <w:r>
          <w:rPr>
            <w:rStyle w:val="Hyperlink"/>
          </w:rPr>
          <w:t xml:space="preserve">[13]</w:t>
        </w:r>
      </w:hyperlink>
      <w:r>
        <w:t xml:space="preserve">. That strand argues governance of commercial space must draw in perspectives beyond the technical, and the study’s finding that the concern remains technically concentrated is evidence that the transdisciplinary engagement those authors call for has not yet materialized in the record</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A concern that stays inside its originating community while its economic and social stakes grow is precisely the failure mode the transdisciplinary literature warns against, and documenting the venue asymmetry gives that warning an empirical anchor it usually lacks</w:t>
      </w:r>
      <w:r>
        <w:t xml:space="preserve"> </w:t>
      </w:r>
      <w:hyperlink w:anchor="ref-14">
        <w:r>
          <w:rPr>
            <w:rStyle w:val="Hyperlink"/>
          </w:rPr>
          <w:t xml:space="preserve">[14]</w:t>
        </w:r>
      </w:hyperlink>
      <w:r>
        <w:t xml:space="preserve">.</w:t>
      </w:r>
    </w:p>
    <w:p>
      <w:pPr>
        <w:pStyle w:val="BodyText"/>
        <w:spacing w:line="480" w:lineRule="auto"/>
        <w:ind w:firstLine="720"/>
      </w:pPr>
      <w:r>
        <w:t xml:space="preserve">None of this rises to a policy recommendation, and the study declines to issue one. What it offers the governance conversation is a checkable observation about the state of one concern’s consolidation, delivered with its limits attached, which participants in that conversation can weigh against their own knowledge</w:t>
      </w:r>
      <w:r>
        <w:t xml:space="preserve"> </w:t>
      </w:r>
      <w:hyperlink w:anchor="ref-7">
        <w:r>
          <w:rPr>
            <w:rStyle w:val="Hyperlink"/>
          </w:rPr>
          <w:t xml:space="preserve">[7]</w:t>
        </w:r>
      </w:hyperlink>
      <w:r>
        <w:t xml:space="preserve">. That is the appropriate contribution of a screening study to a policy debate: not a directive, but a disciplined piece of evidence that raises the quality of the argument</w:t>
      </w:r>
      <w:r>
        <w:t xml:space="preserve"> </w:t>
      </w:r>
      <w:hyperlink w:anchor="ref-5">
        <w:r>
          <w:rPr>
            <w:rStyle w:val="Hyperlink"/>
          </w:rPr>
          <w:t xml:space="preserve">[5]</w:t>
        </w:r>
      </w:hyperlink>
      <w:r>
        <w:t xml:space="preserve">.</w:t>
      </w:r>
    </w:p>
    <w:bookmarkEnd w:id="143"/>
    <w:bookmarkStart w:id="144" w:name="a-note-on-the-pipeline-and-the-candidate"/>
    <w:p>
      <w:pPr>
        <w:pStyle w:val="Heading2"/>
        <w:spacing w:line="480" w:lineRule="auto"/>
      </w:pPr>
      <w:r>
        <w:t xml:space="preserve">8.10 A note on the pipeline and the candidate</w:t>
      </w:r>
    </w:p>
    <w:p>
      <w:pPr>
        <w:pStyle w:val="FirstParagraph"/>
        <w:spacing w:line="480" w:lineRule="auto"/>
      </w:pPr>
      <w:r>
        <w:t xml:space="preserve">This dissertation was produced within a structured research program, and its value to that program is worth stating plainly, because it illustrates what a first-stage screen contributes to a longer arc of inquiry. The program’s design places screening studies first, before expensive direct data collection, precisely so that effort is spent only where the documentary evidence shows structure worth pursuing</w:t>
      </w:r>
      <w:r>
        <w:t xml:space="preserve"> </w:t>
      </w:r>
      <w:hyperlink w:anchor="ref-2">
        <w:r>
          <w:rPr>
            <w:rStyle w:val="Hyperlink"/>
          </w:rPr>
          <w:t xml:space="preserve">[2]</w:t>
        </w:r>
      </w:hyperlink>
      <w:r>
        <w:t xml:space="preserve"> </w:t>
      </w:r>
      <w:hyperlink w:anchor="ref-4">
        <w:r>
          <w:rPr>
            <w:rStyle w:val="Hyperlink"/>
          </w:rPr>
          <w:t xml:space="preserve">[4]</w:t>
        </w:r>
      </w:hyperlink>
      <w:r>
        <w:t xml:space="preserve">. This study fulfills that role for commercial cadence: it confirms that the concern is structured enough in venue terms to justify a richer study, while identifying the exact data deficits, the citation floor above all, that the richer study must repair</w:t>
      </w:r>
      <w:r>
        <w:t xml:space="preserve"> </w:t>
      </w:r>
      <w:hyperlink w:anchor="ref-6">
        <w:r>
          <w:rPr>
            <w:rStyle w:val="Hyperlink"/>
          </w:rPr>
          <w:t xml:space="preserve">[6]</w:t>
        </w:r>
      </w:hyperlink>
      <w:r>
        <w:t xml:space="preserve">.</w:t>
      </w:r>
    </w:p>
    <w:p>
      <w:pPr>
        <w:pStyle w:val="BodyText"/>
        <w:spacing w:line="480" w:lineRule="auto"/>
        <w:ind w:firstLine="720"/>
      </w:pPr>
      <w:r>
        <w:t xml:space="preserve">For the candidate, the work establishes both a result and a method. The result is a documented venue asymmetry in the commercial-cadence literature. The method is a reusable procedure for turning salience claims into falsifiable screens, which the candidate can carry into subsequent stages of the program and apply to adjacent concerns</w:t>
      </w:r>
      <w:r>
        <w:t xml:space="preserve"> </w:t>
      </w:r>
      <w:hyperlink w:anchor="ref-3">
        <w:r>
          <w:rPr>
            <w:rStyle w:val="Hyperlink"/>
          </w:rPr>
          <w:t xml:space="preserve">[3]</w:t>
        </w:r>
      </w:hyperlink>
      <w:r>
        <w:t xml:space="preserve"> </w:t>
      </w:r>
      <w:hyperlink w:anchor="ref-5">
        <w:r>
          <w:rPr>
            <w:rStyle w:val="Hyperlink"/>
          </w:rPr>
          <w:t xml:space="preserve">[5]</w:t>
        </w:r>
      </w:hyperlink>
      <w:r>
        <w:t xml:space="preserve">. A doctoral contribution is often judged by whether it opens a line of inquiry rather than closes a question, and by that standard this study succeeds: it leaves a baseline, a mapped set of limits, and a specified next design, which together constitute an agenda rather than an endpoint</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p>
      <w:pPr>
        <w:pStyle w:val="BodyText"/>
        <w:spacing w:line="480" w:lineRule="auto"/>
        <w:ind w:firstLine="720"/>
      </w:pPr>
      <w:r>
        <w:t xml:space="preserve">What endures from this study is less the venue coefficient than the demonstration that a salience claim in space policy can be made to stand or fall on evidence a reader can reopen</w:t>
      </w:r>
      <w:r>
        <w:t xml:space="preserve"> </w:t>
      </w:r>
      <w:hyperlink w:anchor="ref-5">
        <w:r>
          <w:rPr>
            <w:rStyle w:val="Hyperlink"/>
          </w:rPr>
          <w:t xml:space="preserve">[5]</w:t>
        </w:r>
      </w:hyperlink>
      <w:r>
        <w:t xml:space="preserve"> </w:t>
      </w:r>
      <w:hyperlink w:anchor="ref-9">
        <w:r>
          <w:rPr>
            <w:rStyle w:val="Hyperlink"/>
          </w:rPr>
          <w:t xml:space="preserve">[9]</w:t>
        </w:r>
      </w:hyperlink>
      <w:r>
        <w:t xml:space="preserve">. That demonstration is the seed of the candidate’s program, and every successor design named above is a way of growing it</w:t>
      </w:r>
      <w:r>
        <w:t xml:space="preserve"> </w:t>
      </w:r>
      <w:hyperlink w:anchor="ref-8">
        <w:r>
          <w:rPr>
            <w:rStyle w:val="Hyperlink"/>
          </w:rPr>
          <w:t xml:space="preserve">[8]</w:t>
        </w:r>
      </w:hyperlink>
      <w:r>
        <w:t xml:space="preserve">.</w:t>
      </w:r>
    </w:p>
    <w:p>
      <w:pPr>
        <w:pStyle w:val="BodyText"/>
        <w:spacing w:line="480" w:lineRule="auto"/>
        <w:ind w:firstLine="720"/>
      </w:pPr>
      <w:r>
        <w:t xml:space="preserve">The dissertation ends where its evidence ends. It has shown that Commercial Cadence Political Economy (S-1) can be tested, that the retained record carries interpretable structure in venue family, and that the record cannot yet speak to attention or its accumulation over time. It replaced an intuition with an auditable pathway and reported the pathway’s output exactly, including the places where that output is null</w:t>
      </w:r>
      <w:r>
        <w:t xml:space="preserve"> </w:t>
      </w:r>
      <w:hyperlink w:anchor="ref-5">
        <w:r>
          <w:rPr>
            <w:rStyle w:val="Hyperlink"/>
          </w:rPr>
          <w:t xml:space="preserve">[5]</w:t>
        </w:r>
      </w:hyperlink>
      <w:r>
        <w:t xml:space="preserve"> </w:t>
      </w:r>
      <w:hyperlink w:anchor="ref-9">
        <w:r>
          <w:rPr>
            <w:rStyle w:val="Hyperlink"/>
          </w:rPr>
          <w:t xml:space="preserve">[9]</w:t>
        </w:r>
      </w:hyperlink>
      <w:r>
        <w:t xml:space="preserve">. For the candidate, the work establishes a durable research program: a baseline screen, a named set of limits, and a specified sequence of successor designs that would strengthen the identification the present study deliberately kept modest. That is a legitimate doctoral contribution. It does not claim more than the artifacts support, and it leaves a reader with a traceable path from source selection to a conclusion that could have gone the other way</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44"/>
    <w:bookmarkStart w:id="173" w:name="references"/>
    <w:p>
      <w:pPr>
        <w:pStyle w:val="Heading2"/>
        <w:spacing w:line="480" w:lineRule="auto"/>
      </w:pPr>
      <w:r>
        <w:t xml:space="preserve">References</w:t>
      </w:r>
    </w:p>
    <w:p>
      <w:pPr>
        <w:pStyle w:val="FirstParagraph"/>
        <w:spacing w:line="480" w:lineRule="auto"/>
      </w:pPr>
      <w:bookmarkStart w:id="145" w:name="ref-1"/>
      <w:bookmarkEnd w:id="145"/>
      <w:r>
        <w:t xml:space="preserve">1. Frederick Tarantino, SAF/SQS. Memo on Space Debris Summit and Active Debris Removal (2022). [AMOS]</w:t>
      </w:r>
    </w:p>
    <w:p>
      <w:pPr>
        <w:pStyle w:val="BodyText"/>
        <w:spacing w:line="480" w:lineRule="auto"/>
        <w:ind w:firstLine="720"/>
      </w:pPr>
      <w:bookmarkStart w:id="146" w:name="ref-2"/>
      <w:bookmarkEnd w:id="146"/>
      <w:r>
        <w:t xml:space="preserve">2. Miles Lifson, The Aerospace Corporation; Aniqu Baset, The Aerospace Corporation; Grant Cates, The Aerospace Corporation; Bill Chen, The Aerospace Corporation; Angelo Connor, The Aerospace Corporation; Carson Coursey, The Aerospace Corporation; Gregory Henning, The Aerospace Corporation; Michael Miyamoto, The Aerospace Corporation; Glenn E. Peterson, The Aerospace Corporation; Brian Weeden, The Aerospace Corporation; Grant Williams, The Aerospace Corporation; Indigo Brownhall, University College London; Matthew Burgess, University of Colorado Boulder; Marcus Holzinger, University of Colorado Boulder; Daniel Kaffine, University of Colorado Boulder; Mark Moretto, North Carolina State University; Akhil Rao, Middlebury College. Development of Reference Scenarios and Supporting Inputs for Space Environment Modeling (2024). doi:</w:t>
      </w:r>
      <w:r>
        <w:t xml:space="preserve"> </w:t>
      </w:r>
      <w:hyperlink r:id="rId147">
        <w:r>
          <w:rPr>
            <w:rStyle w:val="Hyperlink"/>
          </w:rPr>
          <w:t xml:space="preserve">10.64861/QBNC8763</w:t>
        </w:r>
      </w:hyperlink>
    </w:p>
    <w:p>
      <w:pPr>
        <w:pStyle w:val="BodyText"/>
        <w:spacing w:line="480" w:lineRule="auto"/>
        <w:ind w:firstLine="720"/>
      </w:pPr>
      <w:bookmarkStart w:id="148" w:name="ref-3"/>
      <w:bookmarkEnd w:id="148"/>
      <w:r>
        <w:t xml:space="preserve">3. Harvey Reed, MITRE; Nathaniel Dailey, MITRE; Ruth Stilwell, Aerospace Policy Solutions, LLC; Brian Weeden, Secure World Foundation. Decentralized Space Information Sharing as a Key Enabler of Trust and the Preservation of Space (2021). [AMOS]</w:t>
      </w:r>
    </w:p>
    <w:p>
      <w:pPr>
        <w:pStyle w:val="BodyText"/>
        <w:spacing w:line="480" w:lineRule="auto"/>
        <w:ind w:firstLine="720"/>
      </w:pPr>
      <w:bookmarkStart w:id="149" w:name="ref-4"/>
      <w:bookmarkEnd w:id="149"/>
      <w:r>
        <w:t xml:space="preserve">4. Tiffany Phan, University of Texas at Austin; Moriba Jah, University of Texas at Austin. Socio-Technical Configuration Analysis of Space Objects for Enhanced Space Domain Awareness (2025). doi:</w:t>
      </w:r>
      <w:r>
        <w:t xml:space="preserve"> </w:t>
      </w:r>
      <w:hyperlink r:id="rId150">
        <w:r>
          <w:rPr>
            <w:rStyle w:val="Hyperlink"/>
          </w:rPr>
          <w:t xml:space="preserve">10.64861/GDIM2412</w:t>
        </w:r>
      </w:hyperlink>
    </w:p>
    <w:p>
      <w:pPr>
        <w:pStyle w:val="BodyText"/>
        <w:spacing w:line="480" w:lineRule="auto"/>
        <w:ind w:firstLine="720"/>
      </w:pPr>
      <w:bookmarkStart w:id="151" w:name="ref-5"/>
      <w:bookmarkEnd w:id="151"/>
      <w:r>
        <w:t xml:space="preserve">5. Harvey Reed, MITRE; Nick Tsamis, MITRE; Nathaniel Dailey, MITRE. Space Sustainability and Traffic Management Requires Trusted Space Stakeholder Coordination (2023). doi:</w:t>
      </w:r>
      <w:r>
        <w:t xml:space="preserve"> </w:t>
      </w:r>
      <w:hyperlink r:id="rId152">
        <w:r>
          <w:rPr>
            <w:rStyle w:val="Hyperlink"/>
          </w:rPr>
          <w:t xml:space="preserve">10.64861/MVHC2799</w:t>
        </w:r>
      </w:hyperlink>
    </w:p>
    <w:p>
      <w:pPr>
        <w:pStyle w:val="BodyText"/>
        <w:spacing w:line="480" w:lineRule="auto"/>
        <w:ind w:firstLine="720"/>
      </w:pPr>
      <w:bookmarkStart w:id="153" w:name="ref-6"/>
      <w:bookmarkEnd w:id="153"/>
      <w:r>
        <w:t xml:space="preserve">6. John McGraw, J.T. McGraw and Associates, LLC, Mark R. Ackermann, JTMA, Peter Zimmer, JTMA. The Fundamental Role of Wide-Field Imaging in Space Situational Awareness (2015). [AMOS]</w:t>
      </w:r>
    </w:p>
    <w:p>
      <w:pPr>
        <w:pStyle w:val="BodyText"/>
        <w:spacing w:line="480" w:lineRule="auto"/>
        <w:ind w:firstLine="720"/>
      </w:pPr>
      <w:bookmarkStart w:id="154" w:name="ref-7"/>
      <w:bookmarkEnd w:id="154"/>
      <w:r>
        <w:t xml:space="preserve">7. Makena Young, Center for Strategic and International Studies; Akhil Thadani, Center for Strategic and International Studies. Low-Orbit, High Stakes: Winning the LEO Broadband Competition (2022). [AMOS]</w:t>
      </w:r>
    </w:p>
    <w:p>
      <w:pPr>
        <w:pStyle w:val="BodyText"/>
        <w:spacing w:line="480" w:lineRule="auto"/>
        <w:ind w:firstLine="720"/>
      </w:pPr>
      <w:bookmarkStart w:id="155" w:name="ref-8"/>
      <w:bookmarkEnd w:id="155"/>
      <w:r>
        <w:t xml:space="preserve">8. Jacqueline Smith, MIT; Moriba Jah, University of Texas; Danielle Wood, MIT. Architecting a Decision Support System for Continuing Supervision of Commercial In-Space Servicing (2024). doi:</w:t>
      </w:r>
      <w:r>
        <w:t xml:space="preserve"> </w:t>
      </w:r>
      <w:hyperlink r:id="rId156">
        <w:r>
          <w:rPr>
            <w:rStyle w:val="Hyperlink"/>
          </w:rPr>
          <w:t xml:space="preserve">10.64861/SYQO6621</w:t>
        </w:r>
      </w:hyperlink>
    </w:p>
    <w:p>
      <w:pPr>
        <w:pStyle w:val="BodyText"/>
        <w:spacing w:line="480" w:lineRule="auto"/>
        <w:ind w:firstLine="720"/>
      </w:pPr>
      <w:bookmarkStart w:id="157" w:name="ref-9"/>
      <w:bookmarkEnd w:id="157"/>
      <w:r>
        <w:t xml:space="preserve">9. Max Zhang; Xiaonan Yang. China’s emerging commercial space industry: Current developments, legislative challenges, and regulatory solutions (2022). doi:</w:t>
      </w:r>
      <w:r>
        <w:t xml:space="preserve"> </w:t>
      </w:r>
      <w:hyperlink r:id="rId158">
        <w:r>
          <w:rPr>
            <w:rStyle w:val="Hyperlink"/>
          </w:rPr>
          <w:t xml:space="preserve">10.1016/j.actaastro.2022.10.011</w:t>
        </w:r>
      </w:hyperlink>
    </w:p>
    <w:p>
      <w:pPr>
        <w:pStyle w:val="BodyText"/>
        <w:spacing w:line="480" w:lineRule="auto"/>
        <w:ind w:firstLine="720"/>
      </w:pPr>
      <w:bookmarkStart w:id="159" w:name="ref-10"/>
      <w:bookmarkEnd w:id="159"/>
      <w:r>
        <w:t xml:space="preserve">10. Naoko Sugita. Politics and space: Nakasone Yasuhiro and Japanese space programs (2023). doi:</w:t>
      </w:r>
      <w:r>
        <w:t xml:space="preserve"> </w:t>
      </w:r>
      <w:hyperlink r:id="rId160">
        <w:r>
          <w:rPr>
            <w:rStyle w:val="Hyperlink"/>
          </w:rPr>
          <w:t xml:space="preserve">10.1016/j.actaastro.2023.08.042</w:t>
        </w:r>
      </w:hyperlink>
    </w:p>
    <w:p>
      <w:pPr>
        <w:pStyle w:val="BodyText"/>
        <w:spacing w:line="480" w:lineRule="auto"/>
        <w:ind w:firstLine="720"/>
      </w:pPr>
      <w:bookmarkStart w:id="161" w:name="ref-11"/>
      <w:bookmarkEnd w:id="161"/>
      <w:r>
        <w:t xml:space="preserve">11. Alessandro Paravano; Matteo Patrizi; Elena Razzano; Giorgio Locatelli; Francesco Feliciani; Paolo Trucco. The impact of the new space economy on sustainability: an overview (2024). doi:</w:t>
      </w:r>
      <w:r>
        <w:t xml:space="preserve"> </w:t>
      </w:r>
      <w:hyperlink r:id="rId162">
        <w:r>
          <w:rPr>
            <w:rStyle w:val="Hyperlink"/>
          </w:rPr>
          <w:t xml:space="preserve">10.1016/j.actaastro.2024.05.046</w:t>
        </w:r>
      </w:hyperlink>
    </w:p>
    <w:p>
      <w:pPr>
        <w:pStyle w:val="BodyText"/>
        <w:spacing w:line="480" w:lineRule="auto"/>
        <w:ind w:firstLine="720"/>
      </w:pPr>
      <w:bookmarkStart w:id="163" w:name="ref-12"/>
      <w:bookmarkEnd w:id="163"/>
      <w:r>
        <w:t xml:space="preserve">12. Ben McKeown; Andrew G. Dempster; Serkan Saydam; Jeff Coulton. How should potential space resources markets be evaluated? (2026). doi:</w:t>
      </w:r>
      <w:r>
        <w:t xml:space="preserve"> </w:t>
      </w:r>
      <w:hyperlink r:id="rId164">
        <w:r>
          <w:rPr>
            <w:rStyle w:val="Hyperlink"/>
          </w:rPr>
          <w:t xml:space="preserve">10.1016/j.actaastro.2026.03.026</w:t>
        </w:r>
      </w:hyperlink>
    </w:p>
    <w:p>
      <w:pPr>
        <w:pStyle w:val="BodyText"/>
        <w:spacing w:line="480" w:lineRule="auto"/>
        <w:ind w:firstLine="720"/>
      </w:pPr>
      <w:bookmarkStart w:id="165" w:name="ref-13"/>
      <w:bookmarkEnd w:id="165"/>
      <w:r>
        <w:t xml:space="preserve">13. C. Varughese; Lena Henry; A. B. Morris; Sarah Bickerton; Nicholas J. Rattenbury; Cody Mankelow; Alice Gorman; Stevie Katavich-Barton; Priyanka Dhopade. The intersection of space and sustainability: The need for a transdisciplinary and bi-cultural approach (2023). doi:</w:t>
      </w:r>
      <w:r>
        <w:t xml:space="preserve"> </w:t>
      </w:r>
      <w:hyperlink r:id="rId166">
        <w:r>
          <w:rPr>
            <w:rStyle w:val="Hyperlink"/>
          </w:rPr>
          <w:t xml:space="preserve">10.1016/j.actaastro.2023.07.009</w:t>
        </w:r>
      </w:hyperlink>
    </w:p>
    <w:p>
      <w:pPr>
        <w:pStyle w:val="BodyText"/>
        <w:spacing w:line="480" w:lineRule="auto"/>
        <w:ind w:firstLine="720"/>
      </w:pPr>
      <w:bookmarkStart w:id="167" w:name="ref-14"/>
      <w:bookmarkEnd w:id="167"/>
      <w:r>
        <w:t xml:space="preserve">14. Alessandro Paravano; Alessandro Paravano; Brendan Rosseau; Giorgio Locatelli; Mathew Weinzierl; Paolo Trucco. Toward the LEO economy: A value assessment of commercial space stations for space and non-space users (2024). doi:</w:t>
      </w:r>
      <w:r>
        <w:t xml:space="preserve"> </w:t>
      </w:r>
      <w:hyperlink r:id="rId168">
        <w:r>
          <w:rPr>
            <w:rStyle w:val="Hyperlink"/>
          </w:rPr>
          <w:t xml:space="preserve">10.1016/j.actaastro.2024.11.060</w:t>
        </w:r>
      </w:hyperlink>
    </w:p>
    <w:p>
      <w:pPr>
        <w:pStyle w:val="BodyText"/>
        <w:spacing w:line="480" w:lineRule="auto"/>
        <w:ind w:firstLine="720"/>
      </w:pPr>
      <w:bookmarkStart w:id="169" w:name="ref-15"/>
      <w:bookmarkEnd w:id="169"/>
      <w:r>
        <w:t xml:space="preserve">15. Alejandro Macario Rojas; D. M. Weigt; L. Alberto Cañizares; Shane A. Maloney; Sophie A. Murray; Peter T. Gallagher; Nicholas H. Crisp; Ciara McGrath. Mission concept for SURROUND: Operational space weather detection and tracking using small spacecraft (2026). doi:</w:t>
      </w:r>
      <w:r>
        <w:t xml:space="preserve"> </w:t>
      </w:r>
      <w:hyperlink r:id="rId170">
        <w:r>
          <w:rPr>
            <w:rStyle w:val="Hyperlink"/>
          </w:rPr>
          <w:t xml:space="preserve">10.1016/j.actaastro.2025.12.055</w:t>
        </w:r>
      </w:hyperlink>
    </w:p>
    <w:p>
      <w:pPr>
        <w:pStyle w:val="BodyText"/>
        <w:spacing w:line="480" w:lineRule="auto"/>
        <w:ind w:firstLine="720"/>
      </w:pPr>
      <w:bookmarkStart w:id="171" w:name="ref-16"/>
      <w:bookmarkEnd w:id="171"/>
      <w:r>
        <w:t xml:space="preserve">16. Valentina Zancan; Paolo Trucco; Giorgio Locatelli. “Getting things done” or “Doing the right things”? Micro-foundations of product-service strategies in Earth Observation (2026). doi:</w:t>
      </w:r>
      <w:r>
        <w:t xml:space="preserve"> </w:t>
      </w:r>
      <w:hyperlink r:id="rId172">
        <w:r>
          <w:rPr>
            <w:rStyle w:val="Hyperlink"/>
          </w:rPr>
          <w:t xml:space="preserve">10.1016/j.actaastro.2026.01.040</w:t>
        </w:r>
      </w:hyperlink>
    </w:p>
    <w:bookmarkEnd w:id="173"/>
    <w:bookmarkEnd w:id="174"/>
    <w:bookmarkStart w:id="191"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2" w:name="X9fb73e17e883d6e1051859d61faf8e6b39a055d"/>
    <w:p>
      <w:pPr>
        <w:pStyle w:val="Heading2"/>
        <w:spacing w:line="480" w:lineRule="auto"/>
      </w:pPr>
      <w:r>
        <w:t xml:space="preserve">A.1 Signal Intensity in Commercial Cadence Political Economy (S-1):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5"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9.1005</w:t>
            </w:r>
          </w:p>
        </w:tc>
        <w:tc>
          <w:tcPr>
            <w:tcW w:w="0" w:type="auto"/>
          </w:tcPr>
          <w:p>
            <w:pPr>
              <w:spacing w:line="240" w:lineRule="auto" w:before="0" w:after="0"/>
              <w:pStyle w:val="Compact"/>
            </w:pPr>
            <w:r>
              <w:rPr>
                <w:sz w:val="20"/>
                <w:szCs w:val="20"/>
              </w:rPr>
              <w:t xml:space="preserve">2.146</w:t>
            </w:r>
          </w:p>
        </w:tc>
        <w:tc>
          <w:tcPr>
            <w:tcW w:w="0" w:type="auto"/>
          </w:tcPr>
          <w:p>
            <w:pPr>
              <w:spacing w:line="240" w:lineRule="auto" w:before="0" w:after="0"/>
              <w:pStyle w:val="Compact"/>
            </w:pPr>
            <w:r>
              <w:rPr>
                <w:sz w:val="20"/>
                <w:szCs w:val="20"/>
              </w:rPr>
              <w:t xml:space="preserve">4.2407</w:t>
            </w:r>
          </w:p>
        </w:tc>
        <w:tc>
          <w:tcPr>
            <w:tcW w:w="0" w:type="auto"/>
          </w:tcPr>
          <w:p>
            <w:pPr>
              <w:spacing w:line="240" w:lineRule="auto" w:before="0" w:after="0"/>
              <w:pStyle w:val="Compact"/>
            </w:pPr>
            <w:r>
              <w:rPr>
                <w:sz w:val="20"/>
                <w:szCs w:val="20"/>
              </w:rPr>
              <w:t xml:space="preserve">2.228e-05</w:t>
            </w:r>
          </w:p>
        </w:tc>
        <w:tc>
          <w:tcPr>
            <w:tcW w:w="0" w:type="auto"/>
          </w:tcPr>
          <w:p>
            <w:pPr>
              <w:spacing w:line="240" w:lineRule="auto" w:before="0" w:after="0"/>
              <w:pStyle w:val="Compact"/>
            </w:pPr>
            <w:r>
              <w:rPr>
                <w:sz w:val="20"/>
                <w:szCs w:val="20"/>
              </w:rPr>
              <w:t xml:space="preserve">[4.8944, 13.3066]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-0.1967</w:t>
            </w:r>
          </w:p>
        </w:tc>
        <w:tc>
          <w:tcPr>
            <w:tcW w:w="0" w:type="auto"/>
          </w:tcPr>
          <w:p>
            <w:pPr>
              <w:spacing w:line="240" w:lineRule="auto" w:before="0" w:after="0"/>
              <w:pStyle w:val="Compact"/>
            </w:pPr>
            <w:r>
              <w:rPr>
                <w:sz w:val="20"/>
                <w:szCs w:val="20"/>
              </w:rPr>
              <w:t xml:space="preserve">0.1413</w:t>
            </w:r>
          </w:p>
        </w:tc>
        <w:tc>
          <w:tcPr>
            <w:tcW w:w="0" w:type="auto"/>
          </w:tcPr>
          <w:p>
            <w:pPr>
              <w:spacing w:line="240" w:lineRule="auto" w:before="0" w:after="0"/>
              <w:pStyle w:val="Compact"/>
            </w:pPr>
            <w:r>
              <w:rPr>
                <w:sz w:val="20"/>
                <w:szCs w:val="20"/>
              </w:rPr>
              <w:t xml:space="preserve">-1.3919</w:t>
            </w:r>
          </w:p>
        </w:tc>
        <w:tc>
          <w:tcPr>
            <w:tcW w:w="0" w:type="auto"/>
          </w:tcPr>
          <w:p>
            <w:pPr>
              <w:spacing w:line="240" w:lineRule="auto" w:before="0" w:after="0"/>
              <w:pStyle w:val="Compact"/>
            </w:pPr>
            <w:r>
              <w:rPr>
                <w:sz w:val="20"/>
                <w:szCs w:val="20"/>
              </w:rPr>
              <w:t xml:space="preserve">0.164</w:t>
            </w:r>
          </w:p>
        </w:tc>
        <w:tc>
          <w:tcPr>
            <w:tcW w:w="0" w:type="auto"/>
          </w:tcPr>
          <w:p>
            <w:pPr>
              <w:spacing w:line="240" w:lineRule="auto" w:before="0" w:after="0"/>
              <w:pStyle w:val="Compact"/>
            </w:pPr>
            <w:r>
              <w:rPr>
                <w:sz w:val="20"/>
                <w:szCs w:val="20"/>
              </w:rPr>
              <w:t xml:space="preserve">[-0.4738, 0.0803]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0.0364</w:t>
            </w:r>
          </w:p>
        </w:tc>
        <w:tc>
          <w:tcPr>
            <w:tcW w:w="0" w:type="auto"/>
          </w:tcPr>
          <w:p>
            <w:pPr>
              <w:spacing w:line="240" w:lineRule="auto" w:before="0" w:after="0"/>
              <w:pStyle w:val="Compact"/>
            </w:pPr>
            <w:r>
              <w:rPr>
                <w:sz w:val="20"/>
                <w:szCs w:val="20"/>
              </w:rPr>
              <w:t xml:space="preserve">0.0415</w:t>
            </w:r>
          </w:p>
        </w:tc>
        <w:tc>
          <w:tcPr>
            <w:tcW w:w="0" w:type="auto"/>
          </w:tcPr>
          <w:p>
            <w:pPr>
              <w:spacing w:line="240" w:lineRule="auto" w:before="0" w:after="0"/>
              <w:pStyle w:val="Compact"/>
            </w:pPr>
            <w:r>
              <w:rPr>
                <w:sz w:val="20"/>
                <w:szCs w:val="20"/>
              </w:rPr>
              <w:t xml:space="preserve">0.8785</w:t>
            </w:r>
          </w:p>
        </w:tc>
        <w:tc>
          <w:tcPr>
            <w:tcW w:w="0" w:type="auto"/>
          </w:tcPr>
          <w:p>
            <w:pPr>
              <w:spacing w:line="240" w:lineRule="auto" w:before="0" w:after="0"/>
              <w:pStyle w:val="Compact"/>
            </w:pPr>
            <w:r>
              <w:rPr>
                <w:sz w:val="20"/>
                <w:szCs w:val="20"/>
              </w:rPr>
              <w:t xml:space="preserve">0.3797</w:t>
            </w:r>
          </w:p>
        </w:tc>
        <w:tc>
          <w:tcPr>
            <w:tcW w:w="0" w:type="auto"/>
          </w:tcPr>
          <w:p>
            <w:pPr>
              <w:spacing w:line="240" w:lineRule="auto" w:before="0" w:after="0"/>
              <w:pStyle w:val="Compact"/>
            </w:pPr>
            <w:r>
              <w:rPr>
                <w:sz w:val="20"/>
                <w:szCs w:val="20"/>
              </w:rPr>
              <w:t xml:space="preserve">[-0.0449, 0.1177]</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-1.591</w:t>
            </w:r>
          </w:p>
        </w:tc>
        <w:tc>
          <w:tcPr>
            <w:tcW w:w="0" w:type="auto"/>
          </w:tcPr>
          <w:p>
            <w:pPr>
              <w:spacing w:line="240" w:lineRule="auto" w:before="0" w:after="0"/>
              <w:pStyle w:val="Compact"/>
            </w:pPr>
            <w:r>
              <w:rPr>
                <w:sz w:val="20"/>
                <w:szCs w:val="20"/>
              </w:rPr>
              <w:t xml:space="preserve">0.4375</w:t>
            </w:r>
          </w:p>
        </w:tc>
        <w:tc>
          <w:tcPr>
            <w:tcW w:w="0" w:type="auto"/>
          </w:tcPr>
          <w:p>
            <w:pPr>
              <w:spacing w:line="240" w:lineRule="auto" w:before="0" w:after="0"/>
              <w:pStyle w:val="Compact"/>
            </w:pPr>
            <w:r>
              <w:rPr>
                <w:sz w:val="20"/>
                <w:szCs w:val="20"/>
              </w:rPr>
              <w:t xml:space="preserve">-3.637</w:t>
            </w:r>
          </w:p>
        </w:tc>
        <w:tc>
          <w:tcPr>
            <w:tcW w:w="0" w:type="auto"/>
          </w:tcPr>
          <w:p>
            <w:pPr>
              <w:spacing w:line="240" w:lineRule="auto" w:before="0" w:after="0"/>
              <w:pStyle w:val="Compact"/>
            </w:pPr>
            <w:r>
              <w:rPr>
                <w:sz w:val="20"/>
                <w:szCs w:val="20"/>
              </w:rPr>
              <w:t xml:space="preserve">0.0002758</w:t>
            </w:r>
          </w:p>
        </w:tc>
        <w:tc>
          <w:tcPr>
            <w:tcW w:w="0" w:type="auto"/>
          </w:tcPr>
          <w:p>
            <w:pPr>
              <w:spacing w:line="240" w:lineRule="auto" w:before="0" w:after="0"/>
              <w:pStyle w:val="Compact"/>
            </w:pPr>
            <w:r>
              <w:rPr>
                <w:sz w:val="20"/>
                <w:szCs w:val="20"/>
              </w:rPr>
              <w:t xml:space="preserve">[-2.4484, -0.7336]</w:t>
            </w:r>
          </w:p>
        </w:tc>
      </w:tr>
    </w:tbl>
    <w:p>
      <w:pPr>
        <w:pStyle w:val="BodyText"/>
        <w:spacing w:line="480" w:lineRule="auto"/>
        <w:ind w:firstLine="720"/>
      </w:pPr>
      <w:r>
        <w:t xml:space="preserve">Fit: N = 30 R2 = 0.3456 R2_adj = 0.2701 F = 4.4336 F_p = 0.0121</w:t>
      </w:r>
    </w:p>
    <w:bookmarkEnd w:id="175"/>
    <w:bookmarkStart w:id="179"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77" name="Picture"/>
            <a:graphic>
              <a:graphicData uri="http://schemas.openxmlformats.org/drawingml/2006/picture">
                <pic:pic>
                  <pic:nvPicPr>
                    <pic:cNvPr descr="D:/Claude_Code/brain/collegium/candidates/dissertations/PHD-09/research_papers/p1/paper_fig1.png" id="178" name="Picture"/>
                    <pic:cNvPicPr>
                      <a:picLocks noChangeArrowheads="1" noChangeAspect="1"/>
                    </pic:cNvPicPr>
                  </pic:nvPicPr>
                  <pic:blipFill>
                    <a:blip r:embed="rId1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79"/>
    <w:bookmarkStart w:id="180"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https://amostech.space/year/2022/memo-on-space-debris-summit-and-active-debris-removal/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10.64861/QBNC8763</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10.64861/GDIM2412</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https://amostech.space/year/2015/the-fundamental-role-of-wide-field-imaging-in-space-situational-awareness/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10.64861/CEPU7718</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https://amostech.space/year/2011/commercially-hosted-payloads-for-debris-monitoringand-mission-assurance-in-geo/</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https://amostech.space/year/2022/u-s-commercial-space-regulation-the-rule-of-three/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10.64861/XYIL6825</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10.1016/j.actaastro.2022.10.011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10.1016/j.actaastro.2023.08.042</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10.1016/j.actaastro.2024.05.046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10.1016/j.actaastro.2025.12.055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10.1016/j.actaastro.2026.01.040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10.1016/j.actaastro.2024.06.001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10.1016/j.actaastro.2025.06.067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Harnessing AstroEconomics for Integrated Deterrence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 Golemo, �Competing for the orbital commons: Megaconstellations and strategic</w:t>
            </w:r>
          </w:p>
        </w:tc>
      </w:tr>
    </w:tbl>
    <w:bookmarkEnd w:id="180"/>
    <w:bookmarkStart w:id="181"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1"/>
    <w:bookmarkEnd w:id="182"/>
    <w:bookmarkStart w:id="190" w:name="Xb3d0a399017656ae6f917b8a88e555f606a80df"/>
    <w:p>
      <w:pPr>
        <w:pStyle w:val="Heading2"/>
        <w:spacing w:line="480" w:lineRule="auto"/>
      </w:pPr>
      <w:r>
        <w:t xml:space="preserve">A.2 Attention Accumulation in Commercial Cadence Political Economy (S-1):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3"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0.8543</w:t>
            </w:r>
          </w:p>
        </w:tc>
        <w:tc>
          <w:tcPr>
            <w:tcW w:w="0" w:type="auto"/>
          </w:tcPr>
          <w:p>
            <w:pPr>
              <w:spacing w:line="240" w:lineRule="auto" w:before="0" w:after="0"/>
              <w:pStyle w:val="Compact"/>
            </w:pPr>
            <w:r>
              <w:rPr>
                <w:sz w:val="20"/>
                <w:szCs w:val="20"/>
              </w:rPr>
              <w:t xml:space="preserve">0.3811</w:t>
            </w:r>
          </w:p>
        </w:tc>
        <w:tc>
          <w:tcPr>
            <w:tcW w:w="0" w:type="auto"/>
          </w:tcPr>
          <w:p>
            <w:pPr>
              <w:spacing w:line="240" w:lineRule="auto" w:before="0" w:after="0"/>
              <w:pStyle w:val="Compact"/>
            </w:pPr>
            <w:r>
              <w:rPr>
                <w:sz w:val="20"/>
                <w:szCs w:val="20"/>
              </w:rPr>
              <w:t xml:space="preserve">2.2416</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[0.1073, 1.6012]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-0.1639</w:t>
            </w:r>
          </w:p>
        </w:tc>
        <w:tc>
          <w:tcPr>
            <w:tcW w:w="0" w:type="auto"/>
          </w:tcPr>
          <w:p>
            <w:pPr>
              <w:spacing w:line="240" w:lineRule="auto" w:before="0" w:after="0"/>
              <w:pStyle w:val="Compact"/>
            </w:pPr>
            <w:r>
              <w:rPr>
                <w:sz w:val="20"/>
                <w:szCs w:val="20"/>
              </w:rPr>
              <w:t xml:space="preserve">0.2059</w:t>
            </w:r>
          </w:p>
        </w:tc>
        <w:tc>
          <w:tcPr>
            <w:tcW w:w="0" w:type="auto"/>
          </w:tcPr>
          <w:p>
            <w:pPr>
              <w:spacing w:line="240" w:lineRule="auto" w:before="0" w:after="0"/>
              <w:pStyle w:val="Compact"/>
            </w:pPr>
            <w:r>
              <w:rPr>
                <w:sz w:val="20"/>
                <w:szCs w:val="20"/>
              </w:rPr>
              <w:t xml:space="preserve">-0.7964</w:t>
            </w:r>
          </w:p>
        </w:tc>
        <w:tc>
          <w:tcPr>
            <w:tcW w:w="0" w:type="auto"/>
          </w:tcPr>
          <w:p>
            <w:pPr>
              <w:spacing w:line="240" w:lineRule="auto" w:before="0" w:after="0"/>
              <w:pStyle w:val="Compact"/>
            </w:pPr>
            <w:r>
              <w:rPr>
                <w:sz w:val="20"/>
                <w:szCs w:val="20"/>
              </w:rPr>
              <w:t xml:space="preserve">0.4258</w:t>
            </w:r>
          </w:p>
        </w:tc>
        <w:tc>
          <w:tcPr>
            <w:tcW w:w="0" w:type="auto"/>
          </w:tcPr>
          <w:p>
            <w:pPr>
              <w:spacing w:line="240" w:lineRule="auto" w:before="0" w:after="0"/>
              <w:pStyle w:val="Compact"/>
            </w:pPr>
            <w:r>
              <w:rPr>
                <w:sz w:val="20"/>
                <w:szCs w:val="20"/>
              </w:rPr>
              <w:t xml:space="preserve">[-0.5674, 0.2395]</w:t>
            </w:r>
          </w:p>
        </w:tc>
      </w:tr>
    </w:tbl>
    <w:p>
      <w:pPr>
        <w:pStyle w:val="BodyText"/>
        <w:spacing w:line="480" w:lineRule="auto"/>
        <w:ind w:firstLine="720"/>
      </w:pPr>
      <w:r>
        <w:t xml:space="preserve">Fit: N = 30 R2 = 0.0089 elasticity_b = -0.1639 progress_ratio_2^b = 0.8926</w:t>
      </w:r>
    </w:p>
    <w:bookmarkEnd w:id="183"/>
    <w:bookmarkStart w:id="187"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5" name="Picture"/>
            <a:graphic>
              <a:graphicData uri="http://schemas.openxmlformats.org/drawingml/2006/picture">
                <pic:pic>
                  <pic:nvPicPr>
                    <pic:cNvPr descr="D:/Claude_Code/brain/collegium/candidates/dissertations/PHD-09/research_papers/p2/paper_fig1.png" id="186" name="Picture"/>
                    <pic:cNvPicPr>
                      <a:picLocks noChangeArrowheads="1" noChangeAspect="1"/>
                    </pic:cNvPicPr>
                  </pic:nvPicPr>
                  <pic:blipFill>
                    <a:blip r:embed="rId1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87"/>
    <w:bookmarkStart w:id="188"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https://amostech.space/year/2022/memo-on-space-debris-summit-and-active-debris-removal/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10.64861/QBNC8763</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10.64861/GDIM2412</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https://amostech.space/year/2015/the-fundamental-role-of-wide-field-imaging-in-space-situational-awareness/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10.64861/CEPU7718</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https://amostech.space/year/2011/commercially-hosted-payloads-for-debris-monitoringand-mission-assurance-in-geo/</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https://amostech.space/year/2022/u-s-commercial-space-regulation-the-rule-of-three/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10.64861/XYIL6825</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10.1016/j.actaastro.2022.10.011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10.1016/j.actaastro.2023.08.042</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10.1016/j.actaastro.2024.05.046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10.1016/j.actaastro.2025.12.055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10.1016/j.actaastro.2026.01.040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10.1016/j.actaastro.2024.06.001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10.1016/j.actaastro.2025.06.067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Harnessing AstroEconomics for Integrated Deterrence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 Golemo, �Competing for the orbital commons: Megaconstellations and strategic</w:t>
            </w:r>
          </w:p>
        </w:tc>
      </w:tr>
    </w:tbl>
    <w:bookmarkEnd w:id="188"/>
    <w:bookmarkStart w:id="189"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89"/>
    <w:bookmarkEnd w:id="190"/>
    <w:bookmarkEnd w:id="19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6" Type="http://schemas.openxmlformats.org/officeDocument/2006/relationships/image" Target="media/rId176.png"/><Relationship Id="rId184" Type="http://schemas.openxmlformats.org/officeDocument/2006/relationships/image" Target="media/rId184.png"/><Relationship Id="rId158" Type="http://schemas.openxmlformats.org/officeDocument/2006/relationships/hyperlink" Target="https://doi.org/10.1016/j.actaastro.2022.10.011" TargetMode="External"/><Relationship Id="rId166" Type="http://schemas.openxmlformats.org/officeDocument/2006/relationships/hyperlink" Target="https://doi.org/10.1016/j.actaastro.2023.07.009" TargetMode="External"/><Relationship Id="rId160" Type="http://schemas.openxmlformats.org/officeDocument/2006/relationships/hyperlink" Target="https://doi.org/10.1016/j.actaastro.2023.08.042" TargetMode="External"/><Relationship Id="rId162" Type="http://schemas.openxmlformats.org/officeDocument/2006/relationships/hyperlink" Target="https://doi.org/10.1016/j.actaastro.2024.05.046" TargetMode="External"/><Relationship Id="rId168" Type="http://schemas.openxmlformats.org/officeDocument/2006/relationships/hyperlink" Target="https://doi.org/10.1016/j.actaastro.2024.11.060" TargetMode="External"/><Relationship Id="rId170" Type="http://schemas.openxmlformats.org/officeDocument/2006/relationships/hyperlink" Target="https://doi.org/10.1016/j.actaastro.2025.12.055" TargetMode="External"/><Relationship Id="rId172" Type="http://schemas.openxmlformats.org/officeDocument/2006/relationships/hyperlink" Target="https://doi.org/10.1016/j.actaastro.2026.01.040" TargetMode="External"/><Relationship Id="rId164" Type="http://schemas.openxmlformats.org/officeDocument/2006/relationships/hyperlink" Target="https://doi.org/10.1016/j.actaastro.2026.03.026" TargetMode="External"/><Relationship Id="rId150" Type="http://schemas.openxmlformats.org/officeDocument/2006/relationships/hyperlink" Target="https://doi.org/10.64861/GDIM2412" TargetMode="External"/><Relationship Id="rId152" Type="http://schemas.openxmlformats.org/officeDocument/2006/relationships/hyperlink" Target="https://doi.org/10.64861/MVHC2799" TargetMode="External"/><Relationship Id="rId147" Type="http://schemas.openxmlformats.org/officeDocument/2006/relationships/hyperlink" Target="https://doi.org/10.64861/QBNC8763" TargetMode="External"/><Relationship Id="rId156" Type="http://schemas.openxmlformats.org/officeDocument/2006/relationships/hyperlink" Target="https://doi.org/10.64861/SYQO6621" TargetMode="External"/></Relationships>
</file>

<file path=word/_rels/footnotes.xml.rels><?xml version='1.0' encoding='UTF-8' standalone='yes'?>
<Relationships xmlns="http://schemas.openxmlformats.org/package/2006/relationships"><Relationship Id="rId158" Type="http://schemas.openxmlformats.org/officeDocument/2006/relationships/hyperlink" Target="https://doi.org/10.1016/j.actaastro.2022.10.011" TargetMode="External"/><Relationship Id="rId166" Type="http://schemas.openxmlformats.org/officeDocument/2006/relationships/hyperlink" Target="https://doi.org/10.1016/j.actaastro.2023.07.009" TargetMode="External"/><Relationship Id="rId160" Type="http://schemas.openxmlformats.org/officeDocument/2006/relationships/hyperlink" Target="https://doi.org/10.1016/j.actaastro.2023.08.042" TargetMode="External"/><Relationship Id="rId162" Type="http://schemas.openxmlformats.org/officeDocument/2006/relationships/hyperlink" Target="https://doi.org/10.1016/j.actaastro.2024.05.046" TargetMode="External"/><Relationship Id="rId168" Type="http://schemas.openxmlformats.org/officeDocument/2006/relationships/hyperlink" Target="https://doi.org/10.1016/j.actaastro.2024.11.060" TargetMode="External"/><Relationship Id="rId170" Type="http://schemas.openxmlformats.org/officeDocument/2006/relationships/hyperlink" Target="https://doi.org/10.1016/j.actaastro.2025.12.055" TargetMode="External"/><Relationship Id="rId172" Type="http://schemas.openxmlformats.org/officeDocument/2006/relationships/hyperlink" Target="https://doi.org/10.1016/j.actaastro.2026.01.040" TargetMode="External"/><Relationship Id="rId164" Type="http://schemas.openxmlformats.org/officeDocument/2006/relationships/hyperlink" Target="https://doi.org/10.1016/j.actaastro.2026.03.026" TargetMode="External"/><Relationship Id="rId150" Type="http://schemas.openxmlformats.org/officeDocument/2006/relationships/hyperlink" Target="https://doi.org/10.64861/GDIM2412" TargetMode="External"/><Relationship Id="rId152" Type="http://schemas.openxmlformats.org/officeDocument/2006/relationships/hyperlink" Target="https://doi.org/10.64861/MVHC2799" TargetMode="External"/><Relationship Id="rId147" Type="http://schemas.openxmlformats.org/officeDocument/2006/relationships/hyperlink" Target="https://doi.org/10.64861/QBNC8763" TargetMode="External"/><Relationship Id="rId156" Type="http://schemas.openxmlformats.org/officeDocument/2006/relationships/hyperlink" Target="https://doi.org/10.64861/SYQO66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Commercial Cadence Political Economy (S-1)</dc:title>
  <dc:creator>Caleb Voss (1B-GOV-224)</dc:creator>
  <cp:keywords/>
  <dcterms:created xsi:type="dcterms:W3CDTF">2026-07-02T21:25:09Z</dcterms:created>
  <dcterms:modified xsi:type="dcterms:W3CDTF">2026-07-02T21:25:09Z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