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9aadb8cd585ac73cb4c91d537d3821e3d3898be"/>
    <w:p>
      <w:pPr>
        <w:pStyle w:val="Heading1"/>
      </w:pPr>
      <w:r>
        <w:t xml:space="preserve">Attention Accumulation in SENTINEL agentic NOC/SOC vs GAO-25-108138: A Learning-Curve Analysis of Citation Growth by Article Age</w:t>
      </w:r>
    </w:p>
    <w:bookmarkStart w:id="61" w:name="introduction"/>
    <w:p>
      <w:pPr>
        <w:pStyle w:val="Heading2"/>
      </w:pPr>
      <w:r>
        <w:t xml:space="preserve">1. Introduction</w:t>
      </w:r>
    </w:p>
    <w:p>
      <w:pPr>
        <w:pStyle w:val="FirstParagraph"/>
      </w:pPr>
      <w:r>
        <w:t xml:space="preserve">This empirical paper supports Vera Abara (1B-ITI-205) and the dissertation project</w:t>
      </w:r>
      <w:r>
        <w:t xml:space="preserve"> </w:t>
      </w:r>
      <w:r>
        <w:rPr>
          <w:i/>
          <w:iCs/>
        </w:rPr>
        <w:t xml:space="preserve">SENTINEL: agentic NOC/SOC vs GAO-25-108138</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R2=0.027984727542535004, elasticity_b=-0.2821662445047165, progress_ratio_2^b=0.8223553016805887. The exact term summary is: const coef=0.8942905102660321 p=0.01971972089982633; _ln_x coef=-0.2821662445047165 p=0.2152220968869749.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0" w:name="references"/>
    <w:p>
      <w:pPr>
        <w:pStyle w:val="Heading2"/>
      </w:pPr>
      <w:r>
        <w:t xml:space="preserve">References</w:t>
      </w:r>
    </w:p>
    <w:p>
      <w:pPr>
        <w:pStyle w:val="FirstParagraph"/>
      </w:pPr>
      <w:bookmarkStart w:id="67" w:name="ref-1"/>
      <w:bookmarkEnd w:id="67"/>
      <w:r>
        <w:t xml:space="preserve">1. Richard Stottler, Stottler Henke Associates, Inc, Dr. Chris Bowman, Data Fusion &amp; Neural Networks. Satellite-Based EMI Detection, Identification, and Mitigation (2016). [AMOS]</w:t>
      </w:r>
      <w:r>
        <w:t xml:space="preserve"> </w:t>
      </w:r>
      <w:bookmarkStart w:id="68" w:name="ref-2"/>
      <w:bookmarkEnd w:id="68"/>
      <w:r>
        <w:t xml:space="preserve">2. Robert Zitz, SpaceLink Corporation; Jim Schwenke, SpaceLink Corporation; Rob Singh, SpaceLink Corporation; David Nemeth, SpaceLink Corporation; Behzad Koosha, SpaceLink Corporation. The Need for Speed – Just in Time Data Relay through Optical Communications Links (2022). [AMOS]</w:t>
      </w:r>
      <w:r>
        <w:t xml:space="preserve"> </w:t>
      </w:r>
      <w:bookmarkStart w:id="69" w:name="ref-3"/>
      <w:bookmarkEnd w:id="69"/>
      <w:r>
        <w:t xml:space="preserve">3. Garrett Fitzgerald, U. S. Space Force; Rachel Morris, Applied Decision Science; Laura G. Militello, Applied Decision Science; Justin Fletcher, USSF/SSC. Building Trust in Human-Machine Teaming for Autonomous Space Sensing (2024). doi:</w:t>
      </w:r>
      <w:r>
        <w:t xml:space="preserve"> </w:t>
      </w:r>
      <w:hyperlink r:id="rId70">
        <w:r>
          <w:rPr>
            <w:rStyle w:val="Hyperlink"/>
          </w:rPr>
          <w:t xml:space="preserve">10.64861/HWZS9386</w:t>
        </w:r>
      </w:hyperlink>
      <w:r>
        <w:t xml:space="preserve"> </w:t>
      </w:r>
      <w:bookmarkStart w:id="71" w:name="ref-4"/>
      <w:bookmarkEnd w:id="71"/>
      <w:r>
        <w:t xml:space="preserve">4. Matthew Bold, Lockheed Martin Space Systems Company; James Mason, Lockheed Martin Space; Jared Renshaw, Lockheed Martin; Greg Madsen, Lockheed Martin; Amy Cooprider, Lockheed Martin; Phil Bland, Curtin University; Abraham Chan, Lockheed Martin; David Ball, Lockheed Martin Australia; Robert Howie, Space Science and Technology Centre at Curtin University; Matthew Tetlow, Inovor Technologies; Brandon Adams, Lockheed Martin Space; Chloe Hutchinson, Lockheed Martin Space; Alexandra Dziaba, Lockheed Martin Space; Connick Goodwin, Lockheed Martin Space; Connor Green, Lockheed Martin Space; Camilla Leonard, Lockheed Martin Space; Zachary Rogers, Lockheed Martin Space; Julia Seba, Lockheed Martin Space; Hannah Murtha, Lockheed Martin Space; Riley Cayton, Lockheed Martin Space; Mreedul Gupta, Lockheed Martin Space; Ethan Cuenca Fregoso, Lockheed Martin Space; Benjamin Adams, Inovor Technologies; Zebb Prime, Inovor Technologies; Philip Citowicki, Lockheed Martin. Proliferated Sensor Network (PSN) Performance Study &amp; Architecture Design Optimization (2023). doi:</w:t>
      </w:r>
      <w:r>
        <w:t xml:space="preserve"> </w:t>
      </w:r>
      <w:hyperlink r:id="rId72">
        <w:r>
          <w:rPr>
            <w:rStyle w:val="Hyperlink"/>
          </w:rPr>
          <w:t xml:space="preserve">10.64861/UELE5506</w:t>
        </w:r>
      </w:hyperlink>
      <w:r>
        <w:t xml:space="preserve"> </w:t>
      </w:r>
      <w:bookmarkStart w:id="73" w:name="ref-5"/>
      <w:bookmarkEnd w:id="73"/>
      <w:r>
        <w:t xml:space="preserve">5. Konstantinos Tsaprailis, National Kapodistrian University of Athens, Greece &amp; National Observatory of Athens; George Choumos, National Kapodistrian University of Athens, Greece &amp; National Observatory of Athens; Charalampos Kontoes, National Observatory of Athens; Vaios Lappas, National Kapodistrian University of Athens, Greece. Integrating AI in Space Operations: Spin Status Characterization and Initial Orbit Determination from Single Optical Tracks (2025). doi:</w:t>
      </w:r>
      <w:r>
        <w:t xml:space="preserve"> </w:t>
      </w:r>
      <w:hyperlink r:id="rId74">
        <w:r>
          <w:rPr>
            <w:rStyle w:val="Hyperlink"/>
          </w:rPr>
          <w:t xml:space="preserve">10.64861/WEXT5718</w:t>
        </w:r>
      </w:hyperlink>
      <w:r>
        <w:t xml:space="preserve"> </w:t>
      </w:r>
      <w:bookmarkStart w:id="75" w:name="ref-6"/>
      <w:bookmarkEnd w:id="75"/>
      <w:r>
        <w:t xml:space="preserve">6. Lauren Hale, The Aerospace Corporation; Justin C. Last, The Aerospace Corporation; Jordan Denamur-Paul, The Aerospace Corporation; Richard Barber, The Aerospace Corporation. Partnering not Bossing: Better Leveraging of International Capabilities for Space Domain Awareness (2022). [AMOS]</w:t>
      </w:r>
      <w:r>
        <w:t xml:space="preserve"> </w:t>
      </w:r>
      <w:bookmarkStart w:id="76" w:name="ref-7"/>
      <w:bookmarkEnd w:id="76"/>
      <w:r>
        <w:t xml:space="preserve">7. Peng Mun Siew, Massachusetts Institute of Technology; Tory Smith, United States Space Force, Massachusetts Institute of Technology; Richard Linares, Massachusetts Institute of Technology; Ravi Ponmalai, Aerospace Corporation. Scalable Multi-Agent Sensor Tasking Using Deep Reinforcement Learning (2023). doi:</w:t>
      </w:r>
      <w:r>
        <w:t xml:space="preserve"> </w:t>
      </w:r>
      <w:hyperlink r:id="rId77">
        <w:r>
          <w:rPr>
            <w:rStyle w:val="Hyperlink"/>
          </w:rPr>
          <w:t xml:space="preserve">10.64861/LWLF6390</w:t>
        </w:r>
      </w:hyperlink>
      <w:r>
        <w:t xml:space="preserve"> </w:t>
      </w:r>
      <w:bookmarkStart w:id="78" w:name="ref-8"/>
      <w:bookmarkEnd w:id="78"/>
      <w:r>
        <w:t xml:space="preserve">8. Manuel Schubert, Institute of Space Systems, Technische Universität Braunschweig, Germany; Christopher Kebschull, OKAPI:Orbits GmbH; Njord Eggen, OKAPI:Orbits GmbH; Simona Silvestri, Institute of Space Systems, Technische Universität Braunschweig, Germany. Applicability of the Sensor Network Simulator Tool Suite for Proximity Operations (2023). doi:</w:t>
      </w:r>
      <w:r>
        <w:t xml:space="preserve"> </w:t>
      </w:r>
      <w:hyperlink r:id="rId79">
        <w:r>
          <w:rPr>
            <w:rStyle w:val="Hyperlink"/>
          </w:rPr>
          <w:t xml:space="preserve">10.64861/IQLQ6181</w:t>
        </w:r>
      </w:hyperlink>
    </w:p>
    <w:bookmarkEnd w:id="80"/>
    <w:bookmarkStart w:id="81"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0.8943</w:t>
            </w:r>
          </w:p>
        </w:tc>
        <w:tc>
          <w:tcPr>
            <w:tcW w:w="0" w:type="auto"/>
          </w:tcPr>
          <w:p>
            <w:pPr>
              <w:spacing w:line="240" w:lineRule="auto" w:before="0" w:after="0"/>
              <w:pStyle w:val="Compact"/>
            </w:pPr>
            <w:r>
              <w:rPr>
                <w:sz w:val="20"/>
                <w:szCs w:val="20"/>
              </w:rPr>
              <w:t xml:space="preserve">0.3835</w:t>
            </w:r>
          </w:p>
        </w:tc>
        <w:tc>
          <w:tcPr>
            <w:tcW w:w="0" w:type="auto"/>
          </w:tcPr>
          <w:p>
            <w:pPr>
              <w:spacing w:line="240" w:lineRule="auto" w:before="0" w:after="0"/>
              <w:pStyle w:val="Compact"/>
            </w:pPr>
            <w:r>
              <w:rPr>
                <w:sz w:val="20"/>
                <w:szCs w:val="20"/>
              </w:rPr>
              <w:t xml:space="preserve">2.3316</w:t>
            </w:r>
          </w:p>
        </w:tc>
        <w:tc>
          <w:tcPr>
            <w:tcW w:w="0" w:type="auto"/>
          </w:tcPr>
          <w:p>
            <w:pPr>
              <w:spacing w:line="240" w:lineRule="auto" w:before="0" w:after="0"/>
              <w:pStyle w:val="Compact"/>
            </w:pPr>
            <w:r>
              <w:rPr>
                <w:sz w:val="20"/>
                <w:szCs w:val="20"/>
              </w:rPr>
              <w:t xml:space="preserve">0.0197</w:t>
            </w:r>
          </w:p>
        </w:tc>
        <w:tc>
          <w:tcPr>
            <w:tcW w:w="0" w:type="auto"/>
          </w:tcPr>
          <w:p>
            <w:pPr>
              <w:spacing w:line="240" w:lineRule="auto" w:before="0" w:after="0"/>
              <w:pStyle w:val="Compact"/>
            </w:pPr>
            <w:r>
              <w:rPr>
                <w:sz w:val="20"/>
                <w:szCs w:val="20"/>
              </w:rPr>
              <w:t xml:space="preserve">[0.1426, 1.646]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-0.2822</w:t>
            </w:r>
          </w:p>
        </w:tc>
        <w:tc>
          <w:tcPr>
            <w:tcW w:w="0" w:type="auto"/>
          </w:tcPr>
          <w:p>
            <w:pPr>
              <w:spacing w:line="240" w:lineRule="auto" w:before="0" w:after="0"/>
              <w:pStyle w:val="Compact"/>
            </w:pPr>
            <w:r>
              <w:rPr>
                <w:sz w:val="20"/>
                <w:szCs w:val="20"/>
              </w:rPr>
              <w:t xml:space="preserve">0.2277</w:t>
            </w:r>
          </w:p>
        </w:tc>
        <w:tc>
          <w:tcPr>
            <w:tcW w:w="0" w:type="auto"/>
          </w:tcPr>
          <w:p>
            <w:pPr>
              <w:spacing w:line="240" w:lineRule="auto" w:before="0" w:after="0"/>
              <w:pStyle w:val="Compact"/>
            </w:pPr>
            <w:r>
              <w:rPr>
                <w:sz w:val="20"/>
                <w:szCs w:val="20"/>
              </w:rPr>
              <w:t xml:space="preserve">-1.2393</w:t>
            </w:r>
          </w:p>
        </w:tc>
        <w:tc>
          <w:tcPr>
            <w:tcW w:w="0" w:type="auto"/>
          </w:tcPr>
          <w:p>
            <w:pPr>
              <w:spacing w:line="240" w:lineRule="auto" w:before="0" w:after="0"/>
              <w:pStyle w:val="Compact"/>
            </w:pPr>
            <w:r>
              <w:rPr>
                <w:sz w:val="20"/>
                <w:szCs w:val="20"/>
              </w:rPr>
              <w:t xml:space="preserve">0.2152</w:t>
            </w:r>
          </w:p>
        </w:tc>
        <w:tc>
          <w:tcPr>
            <w:tcW w:w="0" w:type="auto"/>
          </w:tcPr>
          <w:p>
            <w:pPr>
              <w:spacing w:line="240" w:lineRule="auto" w:before="0" w:after="0"/>
              <w:pStyle w:val="Compact"/>
            </w:pPr>
            <w:r>
              <w:rPr>
                <w:sz w:val="20"/>
                <w:szCs w:val="20"/>
              </w:rPr>
              <w:t xml:space="preserve">[-0.7284, 0.1641]</w:t>
            </w:r>
          </w:p>
        </w:tc>
      </w:tr>
    </w:tbl>
    <w:p>
      <w:pPr>
        <w:pStyle w:val="BodyText"/>
      </w:pPr>
      <w:r>
        <w:t xml:space="preserve">Fit: N = 30 R2 = 0.028 elasticity_b = -0.2822 progress_ratio_2^b = 0.8224</w:t>
      </w:r>
    </w:p>
    <w:p>
      <w:pPr>
        <w:pStyle w:val="CaptionedFigure"/>
      </w:pPr>
      <w:r>
        <w:drawing>
          <wp:inline>
            <wp:extent cx="5669280" cy="3657600"/>
            <wp:effectExtent b="0" l="0" r="0" t="0"/>
            <wp:docPr descr="Figure 1. Citation accumulation against article age in the retrieved topic literature." title="" id="83" name="Picture"/>
            <a:graphic>
              <a:graphicData uri="http://schemas.openxmlformats.org/drawingml/2006/picture">
                <pic:pic>
                  <pic:nvPicPr>
                    <pic:cNvPr descr="D:\Claude_Code\brain\collegium\candidates\dissertations\PHD-07\research_papers\p2\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https://amostech.space/year/2016/satellite-based-emi-detection-identification-and-mitigation/</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https://amostech.space/year/2022/the-need-for-speed-just-in-time-data-relay-through-optical-communications-links/</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10.64861/HWZS9386</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10.64861/UELE5506</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10.64861/WEXT5718</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https://amostech.space/year/2022/partnering-not-bossing-better-leveraging-of-international-capabilities-for-space-domain-awareness/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10.64861/LWLF6390</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10.64861/IQLQ6181</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10.64861/TWFE4121</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https://amostech.space/year/2022/buying-space-trends-in-u-s-sda-acquisition/</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10.64861/WKDZ6860</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10.64861/WIDV9097</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10.1016/j.actaastro.2025.10.018</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10.1016/j.actaastro.2025.05.008</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10.1016/j.actaastro.2026.05.022</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10.1016/j.actaastro.2025.09.076</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10.1016/j.actaastro.2023.10.011</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10.1016/j.actaastro.2025.08.050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10.1016/j.actaastro.2022.07.054</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10.1016/j.actaastro.2024.08.022</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10.1016/j.actaastro.2025.04.031</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10.1016/j.actaastro.2026.02.030</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10.1016/j.actaastro.2023.04.032</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 Huang, F. Zhang, H. Zhang, M. Gao, and K. Li, �Assessment and management impl</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 comprehensive literature review synthesizing William J. Norris’s</w:t>
            </w:r>
            <w:r>
              <w:rPr>
                <w:sz w:val="20"/>
                <w:szCs w:val="20"/>
              </w:rPr>
              <w:t xml:space="preserve"> </w:t>
            </w:r>
            <w:r>
              <w:rPr>
                <w:sz w:val="20"/>
                <w:szCs w:val="20"/>
              </w:rPr>
              <w:t xml:space="preserve">“Chinese Economic Statecraft”</w:t>
            </w:r>
            <w:r>
              <w:rPr>
                <w:sz w:val="20"/>
                <w:szCs w:val="20"/>
              </w:rPr>
              <w:t xml:space="preserve"> </w:t>
            </w:r>
            <w:r>
              <w:rPr>
                <w:sz w:val="20"/>
                <w:szCs w:val="20"/>
              </w:rPr>
              <w:t xml:space="preserve">and David A. Baldwin’s</w:t>
            </w:r>
            <w:r>
              <w:rPr>
                <w:sz w:val="20"/>
                <w:szCs w:val="20"/>
              </w:rPr>
              <w:t xml:space="preserve"> </w:t>
            </w:r>
            <w:r>
              <w:rPr>
                <w:sz w:val="20"/>
                <w:szCs w:val="20"/>
              </w:rPr>
              <w:t xml:space="preserve">“Economic Statecraft,”</w:t>
            </w:r>
            <w:r>
              <w:rPr>
                <w:sz w:val="20"/>
                <w:szCs w:val="20"/>
              </w:rPr>
              <w:t xml:space="preserve"> </w:t>
            </w:r>
            <w:r>
              <w:rPr>
                <w:sz w:val="20"/>
                <w:szCs w:val="20"/>
              </w:rPr>
              <w:t xml:space="preserve">analyzing China’s use of state-controlled commercial actors, financial instruments, and sovereign wealth funds to advance strategic objectives, with extrapolation to the space economy as a new frontier for resource acquisition and geopolitical positioning.</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Economic Statecraft Literature Review</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Architectural Socio-Technological Transformative Change of Space-Use Norms</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0.8943</w:t>
            </w:r>
          </w:p>
        </w:tc>
        <w:tc>
          <w:tcPr>
            <w:tcW w:w="0" w:type="auto"/>
          </w:tcPr>
          <w:p>
            <w:pPr>
              <w:spacing w:line="240" w:lineRule="auto" w:before="0" w:after="0"/>
              <w:pStyle w:val="Compact"/>
            </w:pPr>
            <w:r>
              <w:rPr>
                <w:sz w:val="20"/>
                <w:szCs w:val="20"/>
              </w:rPr>
              <w:t xml:space="preserve">0.3835</w:t>
            </w:r>
          </w:p>
        </w:tc>
        <w:tc>
          <w:tcPr>
            <w:tcW w:w="0" w:type="auto"/>
          </w:tcPr>
          <w:p>
            <w:pPr>
              <w:spacing w:line="240" w:lineRule="auto" w:before="0" w:after="0"/>
              <w:pStyle w:val="Compact"/>
            </w:pPr>
            <w:r>
              <w:rPr>
                <w:sz w:val="20"/>
                <w:szCs w:val="20"/>
              </w:rPr>
              <w:t xml:space="preserve">2.3316</w:t>
            </w:r>
          </w:p>
        </w:tc>
        <w:tc>
          <w:tcPr>
            <w:tcW w:w="0" w:type="auto"/>
          </w:tcPr>
          <w:p>
            <w:pPr>
              <w:spacing w:line="240" w:lineRule="auto" w:before="0" w:after="0"/>
              <w:pStyle w:val="Compact"/>
            </w:pPr>
            <w:r>
              <w:rPr>
                <w:sz w:val="20"/>
                <w:szCs w:val="20"/>
              </w:rPr>
              <w:t xml:space="preserve">0.0197</w:t>
            </w:r>
          </w:p>
        </w:tc>
        <w:tc>
          <w:tcPr>
            <w:tcW w:w="0" w:type="auto"/>
          </w:tcPr>
          <w:p>
            <w:pPr>
              <w:spacing w:line="240" w:lineRule="auto" w:before="0" w:after="0"/>
              <w:pStyle w:val="Compact"/>
            </w:pPr>
            <w:r>
              <w:rPr>
                <w:sz w:val="20"/>
                <w:szCs w:val="20"/>
              </w:rPr>
              <w:t xml:space="preserve">[0.1426, 1.646]</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-0.2822</w:t>
            </w:r>
          </w:p>
        </w:tc>
        <w:tc>
          <w:tcPr>
            <w:tcW w:w="0" w:type="auto"/>
          </w:tcPr>
          <w:p>
            <w:pPr>
              <w:spacing w:line="240" w:lineRule="auto" w:before="0" w:after="0"/>
              <w:pStyle w:val="Compact"/>
            </w:pPr>
            <w:r>
              <w:rPr>
                <w:sz w:val="20"/>
                <w:szCs w:val="20"/>
              </w:rPr>
              <w:t xml:space="preserve">0.2277</w:t>
            </w:r>
          </w:p>
        </w:tc>
        <w:tc>
          <w:tcPr>
            <w:tcW w:w="0" w:type="auto"/>
          </w:tcPr>
          <w:p>
            <w:pPr>
              <w:spacing w:line="240" w:lineRule="auto" w:before="0" w:after="0"/>
              <w:pStyle w:val="Compact"/>
            </w:pPr>
            <w:r>
              <w:rPr>
                <w:sz w:val="20"/>
                <w:szCs w:val="20"/>
              </w:rPr>
              <w:t xml:space="preserve">-1.2393</w:t>
            </w:r>
          </w:p>
        </w:tc>
        <w:tc>
          <w:tcPr>
            <w:tcW w:w="0" w:type="auto"/>
          </w:tcPr>
          <w:p>
            <w:pPr>
              <w:spacing w:line="240" w:lineRule="auto" w:before="0" w:after="0"/>
              <w:pStyle w:val="Compact"/>
            </w:pPr>
            <w:r>
              <w:rPr>
                <w:sz w:val="20"/>
                <w:szCs w:val="20"/>
              </w:rPr>
              <w:t xml:space="preserve">0.2152</w:t>
            </w:r>
          </w:p>
        </w:tc>
        <w:tc>
          <w:tcPr>
            <w:tcW w:w="0" w:type="auto"/>
          </w:tcPr>
          <w:p>
            <w:pPr>
              <w:spacing w:line="240" w:lineRule="auto" w:before="0" w:after="0"/>
              <w:pStyle w:val="Compact"/>
            </w:pPr>
            <w:r>
              <w:rPr>
                <w:sz w:val="20"/>
                <w:szCs w:val="20"/>
              </w:rPr>
              <w:t xml:space="preserve">[-0.7284, 0.1641]</w:t>
            </w:r>
          </w:p>
        </w:tc>
      </w:tr>
    </w:tbl>
    <w:p>
      <w:pPr>
        <w:pStyle w:val="BodyText"/>
      </w:pPr>
      <w:r>
        <w:t xml:space="preserve">Fit: N = 30 R2 = 0.028 elasticity_b = -0.2822 progress_ratio_2^b = 0.8224</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0" Target="https://doi.org/10.64861/HWZS9386" TargetMode="External" /><Relationship Type="http://schemas.openxmlformats.org/officeDocument/2006/relationships/hyperlink" Id="rId79" Target="https://doi.org/10.64861/IQLQ6181" TargetMode="External" /><Relationship Type="http://schemas.openxmlformats.org/officeDocument/2006/relationships/hyperlink" Id="rId77" Target="https://doi.org/10.64861/LWLF6390" TargetMode="External" /><Relationship Type="http://schemas.openxmlformats.org/officeDocument/2006/relationships/hyperlink" Id="rId72" Target="https://doi.org/10.64861/UELE5506" TargetMode="External" /><Relationship Type="http://schemas.openxmlformats.org/officeDocument/2006/relationships/hyperlink" Id="rId74" Target="https://doi.org/10.64861/WEXT5718"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64861/HWZS9386" TargetMode="External" /><Relationship Type="http://schemas.openxmlformats.org/officeDocument/2006/relationships/hyperlink" Id="rId79" Target="https://doi.org/10.64861/IQLQ6181" TargetMode="External" /><Relationship Type="http://schemas.openxmlformats.org/officeDocument/2006/relationships/hyperlink" Id="rId77" Target="https://doi.org/10.64861/LWLF6390" TargetMode="External" /><Relationship Type="http://schemas.openxmlformats.org/officeDocument/2006/relationships/hyperlink" Id="rId72" Target="https://doi.org/10.64861/UELE5506" TargetMode="External" /><Relationship Type="http://schemas.openxmlformats.org/officeDocument/2006/relationships/hyperlink" Id="rId74" Target="https://doi.org/10.64861/WEXT5718"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2026-06-29T09:37:39Z</dcterms:created>
  <dcterms:modified xsi:type="dcterms:W3CDTF">2026-06-29T09:37:39Z</dcterms:modified>
</cp:coreProperties>
</file>

<file path=docProps/custom.xml><?xml version="1.0" encoding="utf-8"?>
<Properties xmlns="http://schemas.openxmlformats.org/officeDocument/2006/custom-properties" xmlns:vt="http://schemas.openxmlformats.org/officeDocument/2006/docPropsVTypes"/>
</file>