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6470144846c72c5fad109e4170ddf2b80267fee"/>
    <w:p>
      <w:pPr>
        <w:pStyle w:val="Heading1"/>
      </w:pPr>
      <w:r>
        <w:t xml:space="preserve">Signal Intensity in SENTINEL agentic NOC/SOC vs GAO-25-108138: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Vera Abara (1B-ITI-205) and the dissertation project</w:t>
      </w:r>
      <w:r>
        <w:t xml:space="preserve"> </w:t>
      </w:r>
      <w:r>
        <w:rPr>
          <w:i/>
          <w:iCs/>
        </w:rPr>
        <w:t xml:space="preserve">SENTINEL: agentic NOC/SOC vs GAO-25-108138</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R2=0.07712060910820506, R2_adj=-0.029365474456232832, F=0.8740215054799764, F_p=0.46721045728877053. The exact term summary is: const coef=2.589552444614521 p=0.09865507244384576; recency_index coef=0.1663847987760372 p=0.2377072730196058; cites_num coef=-0.0006836056901668875 p=0.9926297277715995; venue_score coef=-0.6519374656045693 p=0.26114081515755605.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Richard Stottler, Stottler Henke Associates, Inc, Dr. Chris Bowman, Data Fusion &amp; Neural Networks. Satellite-Based EMI Detection, Identification, and Mitigation (2016). [AMOS]</w:t>
      </w:r>
      <w:r>
        <w:t xml:space="preserve"> </w:t>
      </w:r>
      <w:bookmarkStart w:id="68" w:name="ref-2"/>
      <w:bookmarkEnd w:id="68"/>
      <w:r>
        <w:t xml:space="preserve">2. Robert Zitz, SpaceLink Corporation; Jim Schwenke, SpaceLink Corporation; Rob Singh, SpaceLink Corporation; David Nemeth, SpaceLink Corporation; Behzad Koosha, SpaceLink Corporation. The Need for Speed – Just in Time Data Relay through Optical Communications Links (2022). [AMOS]</w:t>
      </w:r>
      <w:r>
        <w:t xml:space="preserve"> </w:t>
      </w:r>
      <w:bookmarkStart w:id="69" w:name="ref-3"/>
      <w:bookmarkEnd w:id="69"/>
      <w:r>
        <w:t xml:space="preserve">3. Garrett Fitzgerald, U. S. Space Force; Rachel Morris, Applied Decision Science; Laura G. Militello, Applied Decision Science; Justin Fletcher, USSF/SSC. Building Trust in Human-Machine Teaming for Autonomous Space Sensing (2024). doi:</w:t>
      </w:r>
      <w:r>
        <w:t xml:space="preserve"> </w:t>
      </w:r>
      <w:hyperlink r:id="rId70">
        <w:r>
          <w:rPr>
            <w:rStyle w:val="Hyperlink"/>
          </w:rPr>
          <w:t xml:space="preserve">10.64861/HWZS9386</w:t>
        </w:r>
      </w:hyperlink>
      <w:r>
        <w:t xml:space="preserve"> </w:t>
      </w:r>
      <w:bookmarkStart w:id="71" w:name="ref-4"/>
      <w:bookmarkEnd w:id="71"/>
      <w:r>
        <w:t xml:space="preserve">4.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72">
        <w:r>
          <w:rPr>
            <w:rStyle w:val="Hyperlink"/>
          </w:rPr>
          <w:t xml:space="preserve">10.64861/UELE5506</w:t>
        </w:r>
      </w:hyperlink>
      <w:r>
        <w:t xml:space="preserve"> </w:t>
      </w:r>
      <w:bookmarkStart w:id="73" w:name="ref-5"/>
      <w:bookmarkEnd w:id="73"/>
      <w:r>
        <w:t xml:space="preserve">5. Konstantinos Tsaprailis, National Kapodistrian University of Athens, Greece &amp; National Observatory of Athens; George Choumos, National Kapodistrian University of Athens, Greece &amp; National Observatory of Athens; Charalampos Kontoes, National Observatory of Athens; Vaios Lappas, National Kapodistrian University of Athens, Greece. Integrating AI in Space Operations: Spin Status Characterization and Initial Orbit Determination from Single Optical Tracks (2025). doi:</w:t>
      </w:r>
      <w:r>
        <w:t xml:space="preserve"> </w:t>
      </w:r>
      <w:hyperlink r:id="rId74">
        <w:r>
          <w:rPr>
            <w:rStyle w:val="Hyperlink"/>
          </w:rPr>
          <w:t xml:space="preserve">10.64861/WEXT5718</w:t>
        </w:r>
      </w:hyperlink>
      <w:r>
        <w:t xml:space="preserve"> </w:t>
      </w:r>
      <w:bookmarkStart w:id="75" w:name="ref-6"/>
      <w:bookmarkEnd w:id="75"/>
      <w:r>
        <w:t xml:space="preserve">6. Lauren Hale, The Aerospace Corporation; Justin C. Last, The Aerospace Corporation; Jordan Denamur-Paul, The Aerospace Corporation; Richard Barber, The Aerospace Corporation. Partnering not Bossing: Better Leveraging of International Capabilities for Space Domain Awareness (2022). [AMOS]</w:t>
      </w:r>
      <w:r>
        <w:t xml:space="preserve"> </w:t>
      </w:r>
      <w:bookmarkStart w:id="76" w:name="ref-7"/>
      <w:bookmarkEnd w:id="76"/>
      <w:r>
        <w:t xml:space="preserve">7.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77">
        <w:r>
          <w:rPr>
            <w:rStyle w:val="Hyperlink"/>
          </w:rPr>
          <w:t xml:space="preserve">10.64861/LWLF6390</w:t>
        </w:r>
      </w:hyperlink>
      <w:r>
        <w:t xml:space="preserve"> </w:t>
      </w:r>
      <w:bookmarkStart w:id="78" w:name="ref-8"/>
      <w:bookmarkEnd w:id="78"/>
      <w:r>
        <w:t xml:space="preserve">8. Manuel Schubert, Institute of Space Systems, Technische Universität Braunschweig, Germany; Christopher Kebschull, OKAPI:Orbits GmbH; Njord Eggen, OKAPI:Orbits GmbH; Simona Silvestri, Institute of Space Systems, Technische Universität Braunschweig, Germany. Applicability of the Sensor Network Simulator Tool Suite for Proximity Operations (2023). doi:</w:t>
      </w:r>
      <w:r>
        <w:t xml:space="preserve"> </w:t>
      </w:r>
      <w:hyperlink r:id="rId79">
        <w:r>
          <w:rPr>
            <w:rStyle w:val="Hyperlink"/>
          </w:rPr>
          <w:t xml:space="preserve">10.64861/IQLQ6181</w:t>
        </w:r>
      </w:hyperlink>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2.5896</w:t>
            </w:r>
          </w:p>
        </w:tc>
        <w:tc>
          <w:tcPr>
            <w:tcW w:w="0" w:type="auto"/>
          </w:tcPr>
          <w:p>
            <w:pPr>
              <w:spacing w:line="240" w:lineRule="auto" w:before="0" w:after="0"/>
              <w:pStyle w:val="Compact"/>
            </w:pPr>
            <w:r>
              <w:rPr>
                <w:sz w:val="20"/>
                <w:szCs w:val="20"/>
              </w:rPr>
              <w:t xml:space="preserve">1.5681</w:t>
            </w:r>
          </w:p>
        </w:tc>
        <w:tc>
          <w:tcPr>
            <w:tcW w:w="0" w:type="auto"/>
          </w:tcPr>
          <w:p>
            <w:pPr>
              <w:spacing w:line="240" w:lineRule="auto" w:before="0" w:after="0"/>
              <w:pStyle w:val="Compact"/>
            </w:pPr>
            <w:r>
              <w:rPr>
                <w:sz w:val="20"/>
                <w:szCs w:val="20"/>
              </w:rPr>
              <w:t xml:space="preserve">1.6514</w:t>
            </w:r>
          </w:p>
        </w:tc>
        <w:tc>
          <w:tcPr>
            <w:tcW w:w="0" w:type="auto"/>
          </w:tcPr>
          <w:p>
            <w:pPr>
              <w:spacing w:line="240" w:lineRule="auto" w:before="0" w:after="0"/>
              <w:pStyle w:val="Compact"/>
            </w:pPr>
            <w:r>
              <w:rPr>
                <w:sz w:val="20"/>
                <w:szCs w:val="20"/>
              </w:rPr>
              <w:t xml:space="preserve">0.0987</w:t>
            </w:r>
          </w:p>
        </w:tc>
        <w:tc>
          <w:tcPr>
            <w:tcW w:w="0" w:type="auto"/>
          </w:tcPr>
          <w:p>
            <w:pPr>
              <w:spacing w:line="240" w:lineRule="auto" w:before="0" w:after="0"/>
              <w:pStyle w:val="Compact"/>
            </w:pPr>
            <w:r>
              <w:rPr>
                <w:sz w:val="20"/>
                <w:szCs w:val="20"/>
              </w:rPr>
              <w:t xml:space="preserve">[-0.4838, 5.6629]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0.1664</w:t>
            </w:r>
          </w:p>
        </w:tc>
        <w:tc>
          <w:tcPr>
            <w:tcW w:w="0" w:type="auto"/>
          </w:tcPr>
          <w:p>
            <w:pPr>
              <w:spacing w:line="240" w:lineRule="auto" w:before="0" w:after="0"/>
              <w:pStyle w:val="Compact"/>
            </w:pPr>
            <w:r>
              <w:rPr>
                <w:sz w:val="20"/>
                <w:szCs w:val="20"/>
              </w:rPr>
              <w:t xml:space="preserve">0.1409</w:t>
            </w:r>
          </w:p>
        </w:tc>
        <w:tc>
          <w:tcPr>
            <w:tcW w:w="0" w:type="auto"/>
          </w:tcPr>
          <w:p>
            <w:pPr>
              <w:spacing w:line="240" w:lineRule="auto" w:before="0" w:after="0"/>
              <w:pStyle w:val="Compact"/>
            </w:pPr>
            <w:r>
              <w:rPr>
                <w:sz w:val="20"/>
                <w:szCs w:val="20"/>
              </w:rPr>
              <w:t xml:space="preserve">1.1807</w:t>
            </w:r>
          </w:p>
        </w:tc>
        <w:tc>
          <w:tcPr>
            <w:tcW w:w="0" w:type="auto"/>
          </w:tcPr>
          <w:p>
            <w:pPr>
              <w:spacing w:line="240" w:lineRule="auto" w:before="0" w:after="0"/>
              <w:pStyle w:val="Compact"/>
            </w:pPr>
            <w:r>
              <w:rPr>
                <w:sz w:val="20"/>
                <w:szCs w:val="20"/>
              </w:rPr>
              <w:t xml:space="preserve">0.2377</w:t>
            </w:r>
          </w:p>
        </w:tc>
        <w:tc>
          <w:tcPr>
            <w:tcW w:w="0" w:type="auto"/>
          </w:tcPr>
          <w:p>
            <w:pPr>
              <w:spacing w:line="240" w:lineRule="auto" w:before="0" w:after="0"/>
              <w:pStyle w:val="Compact"/>
            </w:pPr>
            <w:r>
              <w:rPr>
                <w:sz w:val="20"/>
                <w:szCs w:val="20"/>
              </w:rPr>
              <w:t xml:space="preserve">[-0.1098, 0.4426]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-0.0006836</w:t>
            </w:r>
          </w:p>
        </w:tc>
        <w:tc>
          <w:tcPr>
            <w:tcW w:w="0" w:type="auto"/>
          </w:tcPr>
          <w:p>
            <w:pPr>
              <w:spacing w:line="240" w:lineRule="auto" w:before="0" w:after="0"/>
              <w:pStyle w:val="Compact"/>
            </w:pPr>
            <w:r>
              <w:rPr>
                <w:sz w:val="20"/>
                <w:szCs w:val="20"/>
              </w:rPr>
              <w:t xml:space="preserve">0.074</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[-0.1457, 0.1444]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-0.6519</w:t>
            </w:r>
          </w:p>
        </w:tc>
        <w:tc>
          <w:tcPr>
            <w:tcW w:w="0" w:type="auto"/>
          </w:tcPr>
          <w:p>
            <w:pPr>
              <w:spacing w:line="240" w:lineRule="auto" w:before="0" w:after="0"/>
              <w:pStyle w:val="Compact"/>
            </w:pPr>
            <w:r>
              <w:rPr>
                <w:sz w:val="20"/>
                <w:szCs w:val="20"/>
              </w:rPr>
              <w:t xml:space="preserve">0.5802</w:t>
            </w:r>
          </w:p>
        </w:tc>
        <w:tc>
          <w:tcPr>
            <w:tcW w:w="0" w:type="auto"/>
          </w:tcPr>
          <w:p>
            <w:pPr>
              <w:spacing w:line="240" w:lineRule="auto" w:before="0" w:after="0"/>
              <w:pStyle w:val="Compact"/>
            </w:pPr>
            <w:r>
              <w:rPr>
                <w:sz w:val="20"/>
                <w:szCs w:val="20"/>
              </w:rPr>
              <w:t xml:space="preserve">-1.1237</w:t>
            </w:r>
          </w:p>
        </w:tc>
        <w:tc>
          <w:tcPr>
            <w:tcW w:w="0" w:type="auto"/>
          </w:tcPr>
          <w:p>
            <w:pPr>
              <w:spacing w:line="240" w:lineRule="auto" w:before="0" w:after="0"/>
              <w:pStyle w:val="Compact"/>
            </w:pPr>
            <w:r>
              <w:rPr>
                <w:sz w:val="20"/>
                <w:szCs w:val="20"/>
              </w:rPr>
              <w:t xml:space="preserve">0.2611</w:t>
            </w:r>
          </w:p>
        </w:tc>
        <w:tc>
          <w:tcPr>
            <w:tcW w:w="0" w:type="auto"/>
          </w:tcPr>
          <w:p>
            <w:pPr>
              <w:spacing w:line="240" w:lineRule="auto" w:before="0" w:after="0"/>
              <w:pStyle w:val="Compact"/>
            </w:pPr>
            <w:r>
              <w:rPr>
                <w:sz w:val="20"/>
                <w:szCs w:val="20"/>
              </w:rPr>
              <w:t xml:space="preserve">[-1.7891, 0.4852]</w:t>
            </w:r>
          </w:p>
        </w:tc>
      </w:tr>
    </w:tbl>
    <w:p>
      <w:pPr>
        <w:pStyle w:val="BodyText"/>
      </w:pPr>
      <w:r>
        <w:t xml:space="preserve">Fit: N = 30 R2 = 0.0771 R2_adj = -0.0294 F = 0.874 F_p = 0.4672</w:t>
      </w:r>
    </w:p>
    <w:p>
      <w:pPr>
        <w:pStyle w:val="CaptionedFigure"/>
      </w:pPr>
      <w:r>
        <w:drawing>
          <wp:inline>
            <wp:extent cx="5669280" cy="3657600"/>
            <wp:effectExtent b="0" l="0" r="0" t="0"/>
            <wp:docPr descr="Figure 1. Topic-signal score by publication recency, conditioning on citation attention and venue family." title="" id="83" name="Picture"/>
            <a:graphic>
              <a:graphicData uri="http://schemas.openxmlformats.org/drawingml/2006/picture">
                <pic:pic>
                  <pic:nvPicPr>
                    <pic:cNvPr descr="D:\Claude_Code\brain\collegium\candidates\dissertations\PHD-07\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https://amostech.space/year/2016/satellite-based-emi-detection-identification-and-mitigation/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https://amostech.space/year/2022/the-need-for-speed-just-in-time-data-relay-through-optical-communications-links/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10.64861/WEXT5718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https://amostech.space/year/2022/partnering-not-bossing-better-leveraging-of-international-capabilities-for-space-domain-awareness/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10.64861/IQLQ6181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10.64861/TWFE4121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10.64861/WKDZ6860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10.64861/WIDV9097</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10.1016/j.actaastro.2025.05.008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10.1016/j.actaastro.2026.05.022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10.1016/j.actaastro.2025.09.076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10.1016/j.actaastro.2023.10.011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10.1016/j.actaastro.2022.07.054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10.1016/j.actaastro.2025.04.031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10.1016/j.actaastro.2026.02.030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 Huang, F. Zhang, H. Zhang, M. Gao, and K. Li, �Assessment and management impl</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2.5896</w:t>
            </w:r>
          </w:p>
        </w:tc>
        <w:tc>
          <w:tcPr>
            <w:tcW w:w="0" w:type="auto"/>
          </w:tcPr>
          <w:p>
            <w:pPr>
              <w:spacing w:line="240" w:lineRule="auto" w:before="0" w:after="0"/>
              <w:pStyle w:val="Compact"/>
            </w:pPr>
            <w:r>
              <w:rPr>
                <w:sz w:val="20"/>
                <w:szCs w:val="20"/>
              </w:rPr>
              <w:t xml:space="preserve">1.5681</w:t>
            </w:r>
          </w:p>
        </w:tc>
        <w:tc>
          <w:tcPr>
            <w:tcW w:w="0" w:type="auto"/>
          </w:tcPr>
          <w:p>
            <w:pPr>
              <w:spacing w:line="240" w:lineRule="auto" w:before="0" w:after="0"/>
              <w:pStyle w:val="Compact"/>
            </w:pPr>
            <w:r>
              <w:rPr>
                <w:sz w:val="20"/>
                <w:szCs w:val="20"/>
              </w:rPr>
              <w:t xml:space="preserve">1.6514</w:t>
            </w:r>
          </w:p>
        </w:tc>
        <w:tc>
          <w:tcPr>
            <w:tcW w:w="0" w:type="auto"/>
          </w:tcPr>
          <w:p>
            <w:pPr>
              <w:spacing w:line="240" w:lineRule="auto" w:before="0" w:after="0"/>
              <w:pStyle w:val="Compact"/>
            </w:pPr>
            <w:r>
              <w:rPr>
                <w:sz w:val="20"/>
                <w:szCs w:val="20"/>
              </w:rPr>
              <w:t xml:space="preserve">0.0987</w:t>
            </w:r>
          </w:p>
        </w:tc>
        <w:tc>
          <w:tcPr>
            <w:tcW w:w="0" w:type="auto"/>
          </w:tcPr>
          <w:p>
            <w:pPr>
              <w:spacing w:line="240" w:lineRule="auto" w:before="0" w:after="0"/>
              <w:pStyle w:val="Compact"/>
            </w:pPr>
            <w:r>
              <w:rPr>
                <w:sz w:val="20"/>
                <w:szCs w:val="20"/>
              </w:rPr>
              <w:t xml:space="preserve">[-0.4838, 5.6629]</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0.1664</w:t>
            </w:r>
          </w:p>
        </w:tc>
        <w:tc>
          <w:tcPr>
            <w:tcW w:w="0" w:type="auto"/>
          </w:tcPr>
          <w:p>
            <w:pPr>
              <w:spacing w:line="240" w:lineRule="auto" w:before="0" w:after="0"/>
              <w:pStyle w:val="Compact"/>
            </w:pPr>
            <w:r>
              <w:rPr>
                <w:sz w:val="20"/>
                <w:szCs w:val="20"/>
              </w:rPr>
              <w:t xml:space="preserve">0.1409</w:t>
            </w:r>
          </w:p>
        </w:tc>
        <w:tc>
          <w:tcPr>
            <w:tcW w:w="0" w:type="auto"/>
          </w:tcPr>
          <w:p>
            <w:pPr>
              <w:spacing w:line="240" w:lineRule="auto" w:before="0" w:after="0"/>
              <w:pStyle w:val="Compact"/>
            </w:pPr>
            <w:r>
              <w:rPr>
                <w:sz w:val="20"/>
                <w:szCs w:val="20"/>
              </w:rPr>
              <w:t xml:space="preserve">1.1807</w:t>
            </w:r>
          </w:p>
        </w:tc>
        <w:tc>
          <w:tcPr>
            <w:tcW w:w="0" w:type="auto"/>
          </w:tcPr>
          <w:p>
            <w:pPr>
              <w:spacing w:line="240" w:lineRule="auto" w:before="0" w:after="0"/>
              <w:pStyle w:val="Compact"/>
            </w:pPr>
            <w:r>
              <w:rPr>
                <w:sz w:val="20"/>
                <w:szCs w:val="20"/>
              </w:rPr>
              <w:t xml:space="preserve">0.2377</w:t>
            </w:r>
          </w:p>
        </w:tc>
        <w:tc>
          <w:tcPr>
            <w:tcW w:w="0" w:type="auto"/>
          </w:tcPr>
          <w:p>
            <w:pPr>
              <w:spacing w:line="240" w:lineRule="auto" w:before="0" w:after="0"/>
              <w:pStyle w:val="Compact"/>
            </w:pPr>
            <w:r>
              <w:rPr>
                <w:sz w:val="20"/>
                <w:szCs w:val="20"/>
              </w:rPr>
              <w:t xml:space="preserve">[-0.1098, 0.4426]</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-0.0006836</w:t>
            </w:r>
          </w:p>
        </w:tc>
        <w:tc>
          <w:tcPr>
            <w:tcW w:w="0" w:type="auto"/>
          </w:tcPr>
          <w:p>
            <w:pPr>
              <w:spacing w:line="240" w:lineRule="auto" w:before="0" w:after="0"/>
              <w:pStyle w:val="Compact"/>
            </w:pPr>
            <w:r>
              <w:rPr>
                <w:sz w:val="20"/>
                <w:szCs w:val="20"/>
              </w:rPr>
              <w:t xml:space="preserve">0.074</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0.9926</w:t>
            </w:r>
          </w:p>
        </w:tc>
        <w:tc>
          <w:tcPr>
            <w:tcW w:w="0" w:type="auto"/>
          </w:tcPr>
          <w:p>
            <w:pPr>
              <w:spacing w:line="240" w:lineRule="auto" w:before="0" w:after="0"/>
              <w:pStyle w:val="Compact"/>
            </w:pPr>
            <w:r>
              <w:rPr>
                <w:sz w:val="20"/>
                <w:szCs w:val="20"/>
              </w:rPr>
              <w:t xml:space="preserve">[-0.1457, 0.1444]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-0.6519</w:t>
            </w:r>
          </w:p>
        </w:tc>
        <w:tc>
          <w:tcPr>
            <w:tcW w:w="0" w:type="auto"/>
          </w:tcPr>
          <w:p>
            <w:pPr>
              <w:spacing w:line="240" w:lineRule="auto" w:before="0" w:after="0"/>
              <w:pStyle w:val="Compact"/>
            </w:pPr>
            <w:r>
              <w:rPr>
                <w:sz w:val="20"/>
                <w:szCs w:val="20"/>
              </w:rPr>
              <w:t xml:space="preserve">0.5802</w:t>
            </w:r>
          </w:p>
        </w:tc>
        <w:tc>
          <w:tcPr>
            <w:tcW w:w="0" w:type="auto"/>
          </w:tcPr>
          <w:p>
            <w:pPr>
              <w:spacing w:line="240" w:lineRule="auto" w:before="0" w:after="0"/>
              <w:pStyle w:val="Compact"/>
            </w:pPr>
            <w:r>
              <w:rPr>
                <w:sz w:val="20"/>
                <w:szCs w:val="20"/>
              </w:rPr>
              <w:t xml:space="preserve">-1.1237</w:t>
            </w:r>
          </w:p>
        </w:tc>
        <w:tc>
          <w:tcPr>
            <w:tcW w:w="0" w:type="auto"/>
          </w:tcPr>
          <w:p>
            <w:pPr>
              <w:spacing w:line="240" w:lineRule="auto" w:before="0" w:after="0"/>
              <w:pStyle w:val="Compact"/>
            </w:pPr>
            <w:r>
              <w:rPr>
                <w:sz w:val="20"/>
                <w:szCs w:val="20"/>
              </w:rPr>
              <w:t xml:space="preserve">0.2611</w:t>
            </w:r>
          </w:p>
        </w:tc>
        <w:tc>
          <w:tcPr>
            <w:tcW w:w="0" w:type="auto"/>
          </w:tcPr>
          <w:p>
            <w:pPr>
              <w:spacing w:line="240" w:lineRule="auto" w:before="0" w:after="0"/>
              <w:pStyle w:val="Compact"/>
            </w:pPr>
            <w:r>
              <w:rPr>
                <w:sz w:val="20"/>
                <w:szCs w:val="20"/>
              </w:rPr>
              <w:t xml:space="preserve">[-1.7891, 0.4852]</w:t>
            </w:r>
          </w:p>
        </w:tc>
      </w:tr>
    </w:tbl>
    <w:p>
      <w:pPr>
        <w:pStyle w:val="BodyText"/>
      </w:pPr>
      <w:r>
        <w:t xml:space="preserve">Fit: N = 30 R2 = 0.0771 R2_adj = -0.0294 F = 0.874 F_p = 0.4672</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0" Target="https://doi.org/10.64861/HWZS9386" TargetMode="External" /><Relationship Type="http://schemas.openxmlformats.org/officeDocument/2006/relationships/hyperlink" Id="rId79" Target="https://doi.org/10.64861/IQLQ6181" TargetMode="External" /><Relationship Type="http://schemas.openxmlformats.org/officeDocument/2006/relationships/hyperlink" Id="rId77" Target="https://doi.org/10.64861/LWLF6390" TargetMode="External" /><Relationship Type="http://schemas.openxmlformats.org/officeDocument/2006/relationships/hyperlink" Id="rId72" Target="https://doi.org/10.64861/UELE5506" TargetMode="External" /><Relationship Type="http://schemas.openxmlformats.org/officeDocument/2006/relationships/hyperlink" Id="rId74" Target="https://doi.org/10.64861/WEXT5718"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HWZS9386" TargetMode="External" /><Relationship Type="http://schemas.openxmlformats.org/officeDocument/2006/relationships/hyperlink" Id="rId79" Target="https://doi.org/10.64861/IQLQ6181" TargetMode="External" /><Relationship Type="http://schemas.openxmlformats.org/officeDocument/2006/relationships/hyperlink" Id="rId77" Target="https://doi.org/10.64861/LWLF6390" TargetMode="External" /><Relationship Type="http://schemas.openxmlformats.org/officeDocument/2006/relationships/hyperlink" Id="rId72" Target="https://doi.org/10.64861/UELE5506" TargetMode="External" /><Relationship Type="http://schemas.openxmlformats.org/officeDocument/2006/relationships/hyperlink" Id="rId74" Target="https://doi.org/10.64861/WEXT57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2026-06-29T09:37:38Z</dcterms:created>
  <dcterms:modified xsi:type="dcterms:W3CDTF">2026-06-29T09:37:38Z</dcterms:modified>
</cp:coreProperties>
</file>

<file path=docProps/custom.xml><?xml version="1.0" encoding="utf-8"?>
<Properties xmlns="http://schemas.openxmlformats.org/officeDocument/2006/custom-properties" xmlns:vt="http://schemas.openxmlformats.org/officeDocument/2006/docPropsVTypes"/>
</file>