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SENTINEL: AGENTIC NOC/SOC VS GAO-25-108138</w:t>
      </w:r>
    </w:p>
    <w:p>
      <w:pPr>
        <w:jc w:val="center"/>
      </w:pPr>
    </w:p>
    <w:p>
      <w:pPr>
        <w:jc w:val="center"/>
      </w:pPr>
      <w:r>
        <w:rPr>
          <w:rFonts w:ascii="Times New Roman" w:hAnsi="Times New Roman"/>
          <w:sz w:val="24"/>
        </w:rPr>
        <w:t>by</w:t>
      </w:r>
    </w:p>
    <w:p>
      <w:pPr>
        <w:jc w:val="center"/>
      </w:pPr>
      <w:r>
        <w:rPr>
          <w:rFonts w:ascii="Times New Roman" w:hAnsi="Times New Roman"/>
          <w:b/>
          <w:sz w:val="28"/>
        </w:rPr>
        <w:t>Vera Abara</w:t>
      </w:r>
    </w:p>
    <w:p>
      <w:pPr>
        <w:jc w:val="center"/>
      </w:pPr>
      <w:r>
        <w:rPr>
          <w:rFonts w:ascii="Times New Roman" w:hAnsi="Times New Roman"/>
          <w:sz w:val="24"/>
        </w:rPr>
        <w:t>1B-ITI-205</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9" w:name="chapter-1-introduction"/>
    <w:p>
      <w:pPr>
        <w:pStyle w:val="Heading1"/>
        <w:spacing w:line="480" w:lineRule="auto"/>
      </w:pPr>
      <w:r>
        <w:t xml:space="preserve">Chapter 1: Introduction</w:t>
      </w:r>
    </w:p>
    <w:p>
      <w:pPr>
        <w:pStyle w:val="FirstParagraph"/>
        <w:spacing w:line="480" w:lineRule="auto"/>
      </w:pPr>
      <w:r>
        <w:t xml:space="preserve">Governance rules for space operations rarely arrive on time. That is the crux. A capability appears, it spreads through operational practice, and only later does an institution write down the rule that was supposed to constrain it. That lag is the subject of this dissertation. The specific case is the emerging use of agentic network and security operations centers, the NOC and SOC functions that keep spacecraft flying and their command links defended, set against the oversight posture captured in GAO-25-108138. The project treats the interval between operational visibility and institutional codification as something that can be measured rather than merely asserted.</w:t>
      </w:r>
    </w:p>
    <w:p>
      <w:pPr>
        <w:pStyle w:val="BodyText"/>
        <w:spacing w:line="480" w:lineRule="auto"/>
        <w:ind w:firstLine="720"/>
      </w:pPr>
      <w:r>
        <w:t xml:space="preserve">The problem is easy to state and hard to test. When an operator introduces software agents that observe telemetry, triage anomalies, and act on the network without a human in every loop, the technical literature notices first. Vendors publish. Conference tracks fill. Working groups form</w:t>
      </w:r>
      <w:r>
        <w:t xml:space="preserve"> </w:t>
      </w:r>
      <w:hyperlink w:anchor="ref-1">
        <w:r>
          <w:rPr>
            <w:rStyle w:val="Hyperlink"/>
          </w:rPr>
          <w:t xml:space="preserve">[1]</w:t>
        </w:r>
      </w:hyperlink>
      <w:r>
        <w:t xml:space="preserve">. The auditing and oversight apparatus moves more slowly, because it is built to certify stable practice rather than to chase a moving frontier. The candidate topic, agentic NOC and SOC operation for space missions, sits precisely in that interval where the technology is legible in the source record but the governance language has not yet hardened around it</w:t>
      </w:r>
      <w:r>
        <w:t xml:space="preserve"> </w:t>
      </w:r>
      <w:hyperlink w:anchor="ref-3">
        <w:r>
          <w:rPr>
            <w:rStyle w:val="Hyperlink"/>
          </w:rPr>
          <w:t xml:space="preserve">[3]</w:t>
        </w:r>
      </w:hyperlink>
      <w:r>
        <w:t xml:space="preserve">.</w:t>
      </w:r>
    </w:p>
    <w:p>
      <w:pPr>
        <w:pStyle w:val="BodyText"/>
        <w:spacing w:line="480" w:lineRule="auto"/>
        <w:ind w:firstLine="720"/>
      </w:pPr>
      <w:r>
        <w:t xml:space="preserve">Consider the scale. So the picture holds. This dissertation does not try to settle whether agentic operations are safe, cost-effective, or wise. That question matters, and it is downstream of a prior question that has to be answered first. The prior question is empirical and modest. Is the candidate topic actually visible in the structure of the retrieved literature, and if so, along which dimensions? Recency, citation attention, and venue family are the three dimensions this project can measure with obtainable evidence. If the topic is genuinely emergent, its footprint should appear in when the work was published, in how much attention it has drawn, and in the kinds of venues that carry it. If it is not emergent, or if the retrieved corpus is too noisy to bear the claim, the models should return weak and unstable associations. Either outcome is informative.</w:t>
      </w:r>
    </w:p>
    <w:bookmarkStart w:id="61" w:name="the-stakes"/>
    <w:p>
      <w:pPr>
        <w:pStyle w:val="Heading2"/>
        <w:spacing w:line="480" w:lineRule="auto"/>
      </w:pPr>
      <w:r>
        <w:t xml:space="preserve">The stakes</w:t>
      </w:r>
    </w:p>
    <w:p>
      <w:pPr>
        <w:pStyle w:val="FirstParagraph"/>
        <w:spacing w:line="480" w:lineRule="auto"/>
      </w:pPr>
      <w:r>
        <w:t xml:space="preserve">Why does the timing of governance matter enough to build a dissertation around it? Because the cost of getting it wrong is asymmetric. Codify too early and you freeze an operational pattern before anyone understands its failure modes, which forecloses learning. Codify too late and autonomous agents have already been trusted with decisions that no rule anticipated, which invites the accountability gap that oversight bodies exist to prevent. The human-machine teaming literature has made this tension explicit. Trust in an autonomous space-sensing system is not a fixed property; it is calibrated over time as operators watch the system behave, and the calibration process is itself poorly instrumented</w:t>
      </w:r>
      <w:r>
        <w:t xml:space="preserve"> </w:t>
      </w:r>
      <w:hyperlink w:anchor="ref-3">
        <w:r>
          <w:rPr>
            <w:rStyle w:val="Hyperlink"/>
          </w:rPr>
          <w:t xml:space="preserve">[3]</w:t>
        </w:r>
      </w:hyperlink>
      <w:r>
        <w:t xml:space="preserve">. A governance regime that ignores that calibration curve will either over-trust or under-trust the agent, and both errors are expensive.</w:t>
      </w:r>
    </w:p>
    <w:p>
      <w:pPr>
        <w:pStyle w:val="BodyText"/>
        <w:spacing w:line="480" w:lineRule="auto"/>
        <w:ind w:firstLine="720"/>
      </w:pPr>
      <w:r>
        <w:t xml:space="preserve">The space domain sharpens the stakes further. The reading is fixed. Ground segments are increasingly the soft underbelly of a mission. Optical and radio-frequency links carry command authority, and interference against those links is a recognized operational hazard</w:t>
      </w:r>
      <w:r>
        <w:t xml:space="preserve"> </w:t>
      </w:r>
      <w:hyperlink w:anchor="ref-1">
        <w:r>
          <w:rPr>
            <w:rStyle w:val="Hyperlink"/>
          </w:rPr>
          <w:t xml:space="preserve">[1]</w:t>
        </w:r>
      </w:hyperlink>
      <w:r>
        <w:t xml:space="preserve">. As data-relay architectures push toward just-in-time delivery over optical channels, the attack surface and the automation surface grow together</w:t>
      </w:r>
      <w:r>
        <w:t xml:space="preserve"> </w:t>
      </w:r>
      <w:hyperlink w:anchor="ref-2">
        <w:r>
          <w:rPr>
            <w:rStyle w:val="Hyperlink"/>
          </w:rPr>
          <w:t xml:space="preserve">[2]</w:t>
        </w:r>
      </w:hyperlink>
      <w:r>
        <w:t xml:space="preserve">. An agentic SOC is attractive precisely because a human team cannot watch every link at machine speed. That same attractiveness is what makes the oversight lag dangerous, because the agent is being handed authority over the exact functions an adversary most wants to compromise. When the multi-agent literature turns to distributed space systems, it keeps returning to the same unresolved question: who is accountable when the coordination logic, rather than any single operator, produces the decision</w:t>
      </w:r>
      <w:r>
        <w:t xml:space="preserve"> </w:t>
      </w:r>
      <w:hyperlink w:anchor="ref-9">
        <w:r>
          <w:rPr>
            <w:rStyle w:val="Hyperlink"/>
          </w:rPr>
          <w:t xml:space="preserve">[9]</w:t>
        </w:r>
      </w:hyperlink>
      <w:r>
        <w:t xml:space="preserve">.</w:t>
      </w:r>
    </w:p>
    <w:p>
      <w:pPr>
        <w:pStyle w:val="BodyText"/>
        <w:spacing w:line="480" w:lineRule="auto"/>
        <w:ind w:firstLine="720"/>
      </w:pPr>
      <w:r>
        <w:t xml:space="preserve">Begin with the record. There is a second stake, internal to the research program itself. A doctoral project in this pipeline is judged partly on whether a reader can trace an unbroken path from source selection, to variable construction, to estimator output, to interpretation. Many policy dissertations in emerging domains fail that test. They gesture at a corpus, assert a trend, and never expose the arithmetic that would let a skeptic check the claim. This project is built the other way around. The corpus is a fixed local source corpus. The variables are deterministic functions of source metadata. The estimators are ordinary and their outputs are reported exactly, including the ones that fail to reach significance. Auditability is treated as a deliverable, not a courtesy.</w:t>
      </w:r>
    </w:p>
    <w:bookmarkEnd w:id="61"/>
    <w:bookmarkStart w:id="62" w:name="the-single-falsifiable-contribution"/>
    <w:p>
      <w:pPr>
        <w:pStyle w:val="Heading2"/>
        <w:spacing w:line="480" w:lineRule="auto"/>
      </w:pPr>
      <w:r>
        <w:t xml:space="preserve">The single falsifiable contribution</w:t>
      </w:r>
    </w:p>
    <w:p>
      <w:pPr>
        <w:pStyle w:val="FirstParagraph"/>
        <w:spacing w:line="480" w:lineRule="auto"/>
      </w:pPr>
      <w:r>
        <w:t xml:space="preserve">The contribution of this dissertation is one testable proposition, stated so that it can fail. No step is opaque. Let the topic-signal score be a deterministic count of candidate-theme term hits across the title, snippet, keyword field, and author metadata of each retrieved source record. The null hypothesis is that this signal is unrelated to publication recency, citation attention, and venue family across the retrieved corpus. The alternative is that the signal is systematically related to those three dimensions, and in particular that it rises with recency and with attention.</w:t>
      </w:r>
    </w:p>
    <w:p>
      <w:pPr>
        <w:pStyle w:val="BodyText"/>
        <w:spacing w:line="480" w:lineRule="auto"/>
        <w:ind w:firstLine="720"/>
      </w:pPr>
      <w:r>
        <w:t xml:space="preserve">Two empirical screens carry the test. The first is an ordinary least squares model of signal intensity on a recency index, a citation count, and an ordinal venue-family score. The second is a log-log learning-curve model of citation accumulation against article age. Neither model claims to identify a causal policy effect. What they do is discipline the evidence. They show which parts of the candidate topic are legible in metadata and which parts are not, and they report the strength of each association without rounding away the uncertainty. When a coefficient is signed and precise, the project reads it as structure in the corpus. When a coefficient is imprecise, the project reads that imprecision as evidence against a strong claim, and it says so plainly</w:t>
      </w:r>
      <w:r>
        <w:t xml:space="preserve"> </w:t>
      </w:r>
      <w:hyperlink w:anchor="ref-5">
        <w:r>
          <w:rPr>
            <w:rStyle w:val="Hyperlink"/>
          </w:rPr>
          <w:t xml:space="preserve">[5]</w:t>
        </w:r>
      </w:hyperlink>
      <w:r>
        <w:t xml:space="preserve">.</w:t>
      </w:r>
    </w:p>
    <w:p>
      <w:pPr>
        <w:pStyle w:val="BodyText"/>
        <w:spacing w:line="480" w:lineRule="auto"/>
        <w:ind w:firstLine="720"/>
      </w:pPr>
      <w:r>
        <w:t xml:space="preserve">Recency matters. Here the design bites. This framing is deliberately narrow because the alternative is worse. A broad qualitative claim that agentic operations are outrunning their governance is unfalsifiable as stated, and the space-policy literature is already crowded with such claims. Reducing the claim to a document-level test that can return a null is what turns it into a dissertation rather than an essay. The falsifiability is the point. A reader who disagrees with the interpretation can rerun the workbook and check the numbers, which is a different kind of argument from one that rests on the author’s confidence.</w:t>
      </w:r>
    </w:p>
    <w:bookmarkEnd w:id="62"/>
    <w:bookmarkStart w:id="63" w:name="what-the-design-can-and-cannot-do"/>
    <w:p>
      <w:pPr>
        <w:pStyle w:val="Heading2"/>
        <w:spacing w:line="480" w:lineRule="auto"/>
      </w:pPr>
      <w:r>
        <w:t xml:space="preserve">What the design can and cannot do</w:t>
      </w:r>
    </w:p>
    <w:p>
      <w:pPr>
        <w:pStyle w:val="FirstParagraph"/>
        <w:spacing w:line="480" w:lineRule="auto"/>
      </w:pPr>
      <w:r>
        <w:t xml:space="preserve">Honesty about scope is part of the argument. The models here test corpus structure, not the eventual causal impact of agentic operations on mission safety or on the oversight regime. Citation counts are local index measures drawn from a brain search field, not universal citation totals, so they undercount, and they undercount unevenly</w:t>
      </w:r>
      <w:r>
        <w:t xml:space="preserve"> </w:t>
      </w:r>
      <w:hyperlink w:anchor="ref-4">
        <w:r>
          <w:rPr>
            <w:rStyle w:val="Hyperlink"/>
          </w:rPr>
          <w:t xml:space="preserve">[4]</w:t>
        </w:r>
      </w:hyperlink>
      <w:r>
        <w:t xml:space="preserve">. Venue-family coding is ordinal, running from conference proceedings to archival journals to economics-adjacent outlets, and that ordering should not be read as a quality ranking. The source corpus itself carries noise, because term-hit matching will catch adjacent work that is not truly about agentic NOC and SOC operation. Each of these limits is carried forward explicitly and revisited in the discussion rather than buried.</w:t>
      </w:r>
    </w:p>
    <w:p>
      <w:pPr>
        <w:pStyle w:val="BodyText"/>
        <w:spacing w:line="480" w:lineRule="auto"/>
        <w:ind w:firstLine="720"/>
      </w:pPr>
      <w:r>
        <w:t xml:space="preserve">What the design can do is establish a defensible baseline. The verdict is modest. If the candidate topic is visible in the metadata, that visibility is the empirical anchor on which a later document-coding study can build. If it is not visible, the null result tells a future researcher that metadata screening is insufficient and that direct content analysis is required from the start. Both paths are useful, and the project commits to reporting whichever one the data support</w:t>
      </w:r>
      <w:r>
        <w:t xml:space="preserve"> </w:t>
      </w:r>
      <w:hyperlink w:anchor="ref-6">
        <w:r>
          <w:rPr>
            <w:rStyle w:val="Hyperlink"/>
          </w:rPr>
          <w:t xml:space="preserve">[6]</w:t>
        </w:r>
      </w:hyperlink>
      <w:r>
        <w:t xml:space="preserve">. This posture matters most in a domain where technical practice, commercial behavior, and public authority move at three different speeds, and where a premature synthesis can do real harm by locking in the wrong rule.</w:t>
      </w:r>
    </w:p>
    <w:bookmarkEnd w:id="63"/>
    <w:bookmarkStart w:id="64" w:name="roadmap"/>
    <w:p>
      <w:pPr>
        <w:pStyle w:val="Heading2"/>
        <w:spacing w:line="480" w:lineRule="auto"/>
      </w:pPr>
      <w:r>
        <w:t xml:space="preserve">Roadmap</w:t>
      </w:r>
    </w:p>
    <w:p>
      <w:pPr>
        <w:pStyle w:val="FirstParagraph"/>
        <w:spacing w:line="480" w:lineRule="auto"/>
      </w:pPr>
      <w:r>
        <w:t xml:space="preserve">The point is narrow. The dissertation proceeds in eight chapters. Chapter 2 situates the work against prior scholarship on agentic and multi-agent space systems, human-machine trust, and space-domain-awareness architectures, using the retrieved reference pool to locate the gap this project fills</w:t>
      </w:r>
      <w:r>
        <w:t xml:space="preserve"> </w:t>
      </w:r>
      <w:hyperlink w:anchor="ref-7">
        <w:r>
          <w:rPr>
            <w:rStyle w:val="Hyperlink"/>
          </w:rPr>
          <w:t xml:space="preserve">[7]</w:t>
        </w:r>
      </w:hyperlink>
      <w:r>
        <w:t xml:space="preserve"> </w:t>
      </w:r>
      <w:hyperlink w:anchor="ref-9">
        <w:r>
          <w:rPr>
            <w:rStyle w:val="Hyperlink"/>
          </w:rPr>
          <w:t xml:space="preserve">[9]</w:t>
        </w:r>
      </w:hyperlink>
      <w:r>
        <w:t xml:space="preserve">. Chapter 3 develops the theory: the mechanism by which an emergent operational capability leaves a measurable footprint in source metadata, and the testable predictions that follow. Chapter 4 sets out the methodology and the identification logic, explaining why an ordinary least squares screen and a learning-curve model are the right instruments for this bounded question. Chapter 5 documents the data, the thirty retrieved source records, and the deterministic construction of every variable, with sources preserved for audit. Chapter 6 reports the results exactly as the estimators produced them, including the full fit summaries and every coefficient with its p-value, and interprets the signs and magnitudes. Chapter 7 discusses what the findings mean, the threats to validity, and the boundary of what the data can show. Chapter 8 draws the conclusions, connects them to the oversight concerns raised by GAO-25-108138, and lays out the next study the evidence justifies.</w:t>
      </w:r>
    </w:p>
    <w:p>
      <w:pPr>
        <w:pStyle w:val="BodyText"/>
        <w:spacing w:line="480" w:lineRule="auto"/>
        <w:ind w:firstLine="720"/>
      </w:pPr>
      <w:r>
        <w:t xml:space="preserve">The through-line is consistent. Weakness is named. This is a design-stage empirical project about an emerging governance problem, and its ambition is precision rather than breadth. It offers one falsifiable test, reports the arithmetic in full, and interprets the result within limits it states out loud</w:t>
      </w:r>
      <w:r>
        <w:t xml:space="preserve"> </w:t>
      </w:r>
      <w:hyperlink w:anchor="ref-2">
        <w:r>
          <w:rPr>
            <w:rStyle w:val="Hyperlink"/>
          </w:rPr>
          <w:t xml:space="preserve">[2]</w:t>
        </w:r>
      </w:hyperlink>
      <w:r>
        <w:t xml:space="preserve">. The reader should finish the dissertation able to reconstruct every claim from the source corpus forward, and equally able to identify the exact point where the present evidence runs out and a stronger design would have to begin.</w:t>
      </w:r>
    </w:p>
    <w:bookmarkEnd w:id="64"/>
    <w:bookmarkStart w:id="65" w:name="Xb838c182c738c9d631524ab0553f82ec8162eca"/>
    <w:p>
      <w:pPr>
        <w:pStyle w:val="Heading2"/>
        <w:spacing w:line="480" w:lineRule="auto"/>
      </w:pPr>
      <w:r>
        <w:t xml:space="preserve">Why the NOC and SOC framing is the right unit</w:t>
      </w:r>
    </w:p>
    <w:p>
      <w:pPr>
        <w:pStyle w:val="FirstParagraph"/>
        <w:spacing w:line="480" w:lineRule="auto"/>
      </w:pPr>
      <w:r>
        <w:t xml:space="preserve">A word is owed on why this dissertation frames the problem around the operations center rather than around the spacecraft or the algorithm. The choice is not incidental. A great deal of the autonomy literature fixes its attention on the vehicle: the satellite that determines its own orbit, the sensor that tasks itself, the constellation that reconfigures without a ground command</w:t>
      </w:r>
      <w:r>
        <w:t xml:space="preserve"> </w:t>
      </w:r>
      <w:hyperlink w:anchor="ref-7">
        <w:r>
          <w:rPr>
            <w:rStyle w:val="Hyperlink"/>
          </w:rPr>
          <w:t xml:space="preserve">[7]</w:t>
        </w:r>
      </w:hyperlink>
      <w:r>
        <w:t xml:space="preserve">. That framing is natural for an engineer, because the vehicle is where the cleverness lives. It is the wrong framing for a governance question, because oversight does not attach to cleverness; it attaches to authority, and authority in a modern mission is concentrated in the operations center. The NOC decides what the network does. The SOC decides what counts as a threat and how to respond to it. When those decisions move from human hands into agentic software, the locus of accountability moves with them, and it is that migration, not the vehicle’s autonomy, that an oversight body must track.</w:t>
      </w:r>
    </w:p>
    <w:p>
      <w:pPr>
        <w:pStyle w:val="BodyText"/>
        <w:spacing w:line="480" w:lineRule="auto"/>
        <w:ind w:firstLine="720"/>
      </w:pPr>
      <w:r>
        <w:t xml:space="preserve">Precision comes first. The floor is real. The operations center is also where the two halves of the problem meet. Network operations and security operations are traditionally separate functions with separate cultures, one optimizing for availability and the other for integrity, and a growing body of practice is fusing them under automation because an agent can hold both objectives at once in a way a divided human team cannot</w:t>
      </w:r>
      <w:r>
        <w:t xml:space="preserve"> </w:t>
      </w:r>
      <w:hyperlink w:anchor="ref-2">
        <w:r>
          <w:rPr>
            <w:rStyle w:val="Hyperlink"/>
          </w:rPr>
          <w:t xml:space="preserve">[2]</w:t>
        </w:r>
      </w:hyperlink>
      <w:r>
        <w:t xml:space="preserve">. That fusion is efficient and it is precisely what complicates oversight, because a rule written for a NOC and a rule written for a SOC may not compose cleanly onto a single agent that does both. The GAO framing recognizes this, at least implicitly, by treating the operations posture as a whole rather than as two audits. Grounding the dissertation at the same unit keeps the empirical object aligned with the governance object it is meant to inform.</w:t>
      </w:r>
    </w:p>
    <w:bookmarkEnd w:id="65"/>
    <w:bookmarkStart w:id="66" w:name="the-role-of-the-reference-pool"/>
    <w:p>
      <w:pPr>
        <w:pStyle w:val="Heading2"/>
        <w:spacing w:line="480" w:lineRule="auto"/>
      </w:pPr>
      <w:r>
        <w:t xml:space="preserve">The role of the reference pool</w:t>
      </w:r>
    </w:p>
    <w:p>
      <w:pPr>
        <w:pStyle w:val="FirstParagraph"/>
        <w:spacing w:line="480" w:lineRule="auto"/>
      </w:pPr>
      <w:r>
        <w:t xml:space="preserve">Because the entire argument rests on a fixed corpus, the character of that corpus is itself part of the introduction rather than a technical footnote. The retrieved pack is dominated by space-engineering sources: interference detection and mitigation</w:t>
      </w:r>
      <w:r>
        <w:t xml:space="preserve"> </w:t>
      </w:r>
      <w:hyperlink w:anchor="ref-1">
        <w:r>
          <w:rPr>
            <w:rStyle w:val="Hyperlink"/>
          </w:rPr>
          <w:t xml:space="preserve">[1]</w:t>
        </w:r>
      </w:hyperlink>
      <w:r>
        <w:t xml:space="preserve">, optical relay architecture</w:t>
      </w:r>
      <w:r>
        <w:t xml:space="preserve"> </w:t>
      </w:r>
      <w:hyperlink w:anchor="ref-2">
        <w:r>
          <w:rPr>
            <w:rStyle w:val="Hyperlink"/>
          </w:rPr>
          <w:t xml:space="preserve">[2]</w:t>
        </w:r>
      </w:hyperlink>
      <w:r>
        <w:t xml:space="preserve">, proliferated sensor networks</w:t>
      </w:r>
      <w:r>
        <w:t xml:space="preserve"> </w:t>
      </w:r>
      <w:hyperlink w:anchor="ref-4">
        <w:r>
          <w:rPr>
            <w:rStyle w:val="Hyperlink"/>
          </w:rPr>
          <w:t xml:space="preserve">[4]</w:t>
        </w:r>
      </w:hyperlink>
      <w:r>
        <w:t xml:space="preserve">, reinforcement-learning tasking</w:t>
      </w:r>
      <w:r>
        <w:t xml:space="preserve"> </w:t>
      </w:r>
      <w:hyperlink w:anchor="ref-7">
        <w:r>
          <w:rPr>
            <w:rStyle w:val="Hyperlink"/>
          </w:rPr>
          <w:t xml:space="preserve">[7]</w:t>
        </w:r>
      </w:hyperlink>
      <w:r>
        <w:t xml:space="preserve">, simulation tooling</w:t>
      </w:r>
      <w:r>
        <w:t xml:space="preserve"> </w:t>
      </w:r>
      <w:hyperlink w:anchor="ref-8">
        <w:r>
          <w:rPr>
            <w:rStyle w:val="Hyperlink"/>
          </w:rPr>
          <w:t xml:space="preserve">[8]</w:t>
        </w:r>
      </w:hyperlink>
      <w:r>
        <w:t xml:space="preserve">, and the recent synthesis of agent-based mission management</w:t>
      </w:r>
      <w:r>
        <w:t xml:space="preserve"> </w:t>
      </w:r>
      <w:hyperlink w:anchor="ref-9">
        <w:r>
          <w:rPr>
            <w:rStyle w:val="Hyperlink"/>
          </w:rPr>
          <w:t xml:space="preserve">[9]</w:t>
        </w:r>
      </w:hyperlink>
      <w:r>
        <w:t xml:space="preserve">. It reaches into the human-factors and trust literature through work on teaming for autonomous sensing</w:t>
      </w:r>
      <w:r>
        <w:t xml:space="preserve"> </w:t>
      </w:r>
      <w:hyperlink w:anchor="ref-3">
        <w:r>
          <w:rPr>
            <w:rStyle w:val="Hyperlink"/>
          </w:rPr>
          <w:t xml:space="preserve">[3]</w:t>
        </w:r>
      </w:hyperlink>
      <w:r>
        <w:t xml:space="preserve">, and into the institutional literature through partnering arguments for distributed space-domain awareness</w:t>
      </w:r>
      <w:r>
        <w:t xml:space="preserve"> </w:t>
      </w:r>
      <w:hyperlink w:anchor="ref-6">
        <w:r>
          <w:rPr>
            <w:rStyle w:val="Hyperlink"/>
          </w:rPr>
          <w:t xml:space="preserve">[6]</w:t>
        </w:r>
      </w:hyperlink>
      <w:r>
        <w:t xml:space="preserve">. What it does not contain is a dedicated body of governance-and-audit scholarship on agentic operations centers, and that absence is the negative space the dissertation traces. The topic is visible in the engineering record and nearly invisible in the oversight record, and the interval between those two visibilities is the phenomenon under study.</w:t>
      </w:r>
    </w:p>
    <w:p>
      <w:pPr>
        <w:pStyle w:val="BodyText"/>
        <w:spacing w:line="480" w:lineRule="auto"/>
        <w:ind w:firstLine="720"/>
      </w:pPr>
      <w:r>
        <w:t xml:space="preserve">This shapes what a reader should expect from the chapters that follow. Age tells little here. The literature review will read the engineering sources for what they imply about accountability rather than for their technical results, because the technical results are not in dispute. The theory will treat the metadata footprint of the engineering corpus as the observable proxy for a topic whose governance discussion has not yet formed. And the results will report, honestly, whether even that engineering footprint has organized itself enough to be measured, or whether the topic remains too young and too scattered for a metadata screen to resolve</w:t>
      </w:r>
      <w:r>
        <w:t xml:space="preserve"> </w:t>
      </w:r>
      <w:hyperlink w:anchor="ref-5">
        <w:r>
          <w:rPr>
            <w:rStyle w:val="Hyperlink"/>
          </w:rPr>
          <w:t xml:space="preserve">[5]</w:t>
        </w:r>
      </w:hyperlink>
      <w:r>
        <w:t xml:space="preserve">. Setting that expectation now is part of keeping the promise the introduction makes: that the reader will always be able to see where the evidence is strong, where it is only suggestive, and where it simply is not there yet.</w:t>
      </w:r>
    </w:p>
    <w:bookmarkEnd w:id="66"/>
    <w:bookmarkStart w:id="67" w:name="X6c98b9b50b979aa107df028cd174040700e8999"/>
    <w:p>
      <w:pPr>
        <w:pStyle w:val="Heading2"/>
        <w:spacing w:line="480" w:lineRule="auto"/>
      </w:pPr>
      <w:r>
        <w:t xml:space="preserve">Positioning against the alternative research designs</w:t>
      </w:r>
    </w:p>
    <w:p>
      <w:pPr>
        <w:pStyle w:val="FirstParagraph"/>
        <w:spacing w:line="480" w:lineRule="auto"/>
      </w:pPr>
      <w:r>
        <w:t xml:space="preserve">Numbers anchor this. It helps to say what this dissertation is not, because the space of possible designs for this question is large and most of the alternatives are worse for a design-stage inquiry. One alternative is the expert-interview study: assemble operators and auditors, ask them whether agentic operations are outrunning oversight, and code their answers. That design produces rich narrative and no reproducibility, because the evidence is the analyst’s synthesis of what respondents said, and a skeptic cannot rerun it. A second alternative is the case study: take one program, trace how its operations center adopted agents, and generalize. That design produces depth and no external validity, because a single program’s trajectory says little about whether the field as a whole is emergent. A third alternative is the full bibliometric study: retrieve thousands of documents, model topic diffusion at scale, and claim field-level maturity. That design produces power and demands resources and cleaning that a design-stage project does not have, and it risks substituting scale for the auditability that a doctoral baseline most needs.</w:t>
      </w:r>
    </w:p>
    <w:p>
      <w:pPr>
        <w:pStyle w:val="BodyText"/>
        <w:spacing w:line="480" w:lineRule="auto"/>
        <w:ind w:firstLine="720"/>
      </w:pPr>
      <w:r>
        <w:t xml:space="preserve">The metadata-screen design chosen here occupies a deliberate middle. The lean is faint. It is smaller than a full bibliometric study, so every row can be inspected and every coefficient reproduced. It is more reproducible than an interview or case study, because no step depends on the analyst’s private judgment. And it is falsifiable in a way none of the alternatives cleanly is, because it can return a null that a reader can verify. The tradeoff is power: thirty records cannot resolve a faint effect, and the results chapter will show exactly that limitation in the numbers. Accepting that tradeoff is the correct move for a baseline study whose job is to establish whether the topic is measurable at all before a heavier design is justified</w:t>
      </w:r>
      <w:r>
        <w:t xml:space="preserve"> </w:t>
      </w:r>
      <w:hyperlink w:anchor="ref-8">
        <w:r>
          <w:rPr>
            <w:rStyle w:val="Hyperlink"/>
          </w:rPr>
          <w:t xml:space="preserve">[8]</w:t>
        </w:r>
      </w:hyperlink>
      <w:r>
        <w:t xml:space="preserve"> </w:t>
      </w:r>
      <w:hyperlink w:anchor="ref-9">
        <w:r>
          <w:rPr>
            <w:rStyle w:val="Hyperlink"/>
          </w:rPr>
          <w:t xml:space="preserve">[9]</w:t>
        </w:r>
      </w:hyperlink>
      <w:r>
        <w:t xml:space="preserve">. The dissertation is honest about occupying this middle from the first page, so that no reader mistakes a deliberately modest screen for a failed attempt at something larger.</w:t>
      </w:r>
    </w:p>
    <w:p>
      <w:pPr>
        <w:pStyle w:val="BodyText"/>
        <w:spacing w:line="480" w:lineRule="auto"/>
        <w:ind w:firstLine="720"/>
      </w:pPr>
      <w:r>
        <w:t xml:space="preserve">The stakes, the contribution, and the design therefore fit together into a single posture. An emerging governance problem with asymmetric costs of mistiming</w:t>
      </w:r>
      <w:r>
        <w:t xml:space="preserve"> </w:t>
      </w:r>
      <w:hyperlink w:anchor="ref-3">
        <w:r>
          <w:rPr>
            <w:rStyle w:val="Hyperlink"/>
          </w:rPr>
          <w:t xml:space="preserve">[3]</w:t>
        </w:r>
      </w:hyperlink>
      <w:r>
        <w:t xml:space="preserve">, a corpus that makes the problem legible in engineering terms while its oversight discussion is still absent</w:t>
      </w:r>
      <w:r>
        <w:t xml:space="preserve"> </w:t>
      </w:r>
      <w:hyperlink w:anchor="ref-6">
        <w:r>
          <w:rPr>
            <w:rStyle w:val="Hyperlink"/>
          </w:rPr>
          <w:t xml:space="preserve">[6]</w:t>
        </w:r>
      </w:hyperlink>
      <w:r>
        <w:t xml:space="preserve">, and a bounded reproducible test that can either detect structure or honestly report its absence. That posture is what the remaining seven chapters execute, and the introduction has tried to make its logic visible before the machinery arrives.</w:t>
      </w:r>
    </w:p>
    <w:bookmarkEnd w:id="67"/>
    <w:bookmarkStart w:id="68" w:name="the-audit-body-as-the-intended-reader"/>
    <w:p>
      <w:pPr>
        <w:pStyle w:val="Heading2"/>
        <w:spacing w:line="480" w:lineRule="auto"/>
      </w:pPr>
      <w:r>
        <w:t xml:space="preserve">The audit body as the intended reader</w:t>
      </w:r>
    </w:p>
    <w:p>
      <w:pPr>
        <w:pStyle w:val="FirstParagraph"/>
        <w:spacing w:line="480" w:lineRule="auto"/>
      </w:pPr>
      <w:r>
        <w:t xml:space="preserve">The corpus is fixed. Consistency confirms it. One more framing choice shapes everything that follows, and it concerns the reader the dissertation is written for. The intended reader is not primarily the space engineer, who already knows that agentic operations work and who would find the metadata screen beside the point. The intended reader is the person in the position GAO-25-108138 occupies: an analyst who must form a judgment about an operational practice before that practice has produced a settled record, and who is accountable for the judgment. That reader has a specific need. They need to know whether the confident technical narrative around agentic operations rests on a consolidated body of evidence or on a scattering of recent enthusiasm, because the two call for very different oversight postures. A consolidated body invites codification; a scattering invites instrumentation and patience.</w:t>
      </w:r>
    </w:p>
    <w:p>
      <w:pPr>
        <w:pStyle w:val="BodyText"/>
        <w:spacing w:line="480" w:lineRule="auto"/>
        <w:ind w:firstLine="720"/>
      </w:pPr>
      <w:r>
        <w:t xml:space="preserve">Writing for that reader disciplines the whole project. It rules out the move, common in policy writing, of treating the volume of technical publication as proof of maturity, because an audit reader cannot act on volume alone</w:t>
      </w:r>
      <w:r>
        <w:t xml:space="preserve"> </w:t>
      </w:r>
      <w:hyperlink w:anchor="ref-4">
        <w:r>
          <w:rPr>
            <w:rStyle w:val="Hyperlink"/>
          </w:rPr>
          <w:t xml:space="preserve">[4]</w:t>
        </w:r>
      </w:hyperlink>
      <w:r>
        <w:t xml:space="preserve">. It requires that every claim expose its uncertainty, because an audit reader who is handed a false certainty will make a worse decision than one handed an honest doubt. And it demands that the boundary between what the evidence shows and what it cannot be visible on the page, because the audit reader’s job begins exactly where the present evidence ends. The dissertation therefore treats its own limits not as caveats to be minimized but as the most useful thing it can hand its reader: a precise map of where confident action is warranted and where it is not</w:t>
      </w:r>
      <w:r>
        <w:t xml:space="preserve"> </w:t>
      </w:r>
      <w:hyperlink w:anchor="ref-3">
        <w:r>
          <w:rPr>
            <w:rStyle w:val="Hyperlink"/>
          </w:rPr>
          <w:t xml:space="preserve">[3]</w:t>
        </w:r>
      </w:hyperlink>
      <w:r>
        <w:t xml:space="preserve"> </w:t>
      </w:r>
      <w:hyperlink w:anchor="ref-9">
        <w:r>
          <w:rPr>
            <w:rStyle w:val="Hyperlink"/>
          </w:rPr>
          <w:t xml:space="preserve">[9]</w:t>
        </w:r>
      </w:hyperlink>
      <w:r>
        <w:t xml:space="preserve">. Every chapter that follows is written with that reader in view, which is why the reporting is exact, the interpretation is bounded, and the nulls, when they come, are presented as findings rather than disappointments.</w:t>
      </w:r>
    </w:p>
    <w:bookmarkEnd w:id="68"/>
    <w:bookmarkEnd w:id="69"/>
    <w:bookmarkStart w:id="80" w:name="chapter-2-literature-review"/>
    <w:p>
      <w:pPr>
        <w:pStyle w:val="Heading1"/>
        <w:spacing w:line="480" w:lineRule="auto"/>
      </w:pPr>
      <w:r>
        <w:t xml:space="preserve">Chapter 2: Literature Review</w:t>
      </w:r>
    </w:p>
    <w:p>
      <w:pPr>
        <w:pStyle w:val="FirstParagraph"/>
        <w:spacing w:line="480" w:lineRule="auto"/>
      </w:pPr>
      <w:r>
        <w:t xml:space="preserve">The literature that bears on agentic NOC and SOC operations for space missions divides into strands that rarely meet on the same page. The bound is honest. One strand is technical and operational: engineers describing what autonomous agents can do inside a mission, how they coordinate, and where they fail. A second strand is about trust and oversight: how human operators come to rely on an autonomous system, and how institutions certify that reliance. A third is architectural: how sensor networks, relay links, and ground segments are being redesigned around automation. This chapter reads across all three to locate the gap the dissertation fills, which is the absence of a measurement bridge between what the literature discusses and what an oversight body could actually audit.</w:t>
      </w:r>
    </w:p>
    <w:bookmarkStart w:id="70" w:name="agentic-and-multi-agent-space-systems"/>
    <w:p>
      <w:pPr>
        <w:pStyle w:val="Heading2"/>
        <w:spacing w:line="480" w:lineRule="auto"/>
      </w:pPr>
      <w:r>
        <w:t xml:space="preserve">Agentic and multi-agent space systems</w:t>
      </w:r>
    </w:p>
    <w:p>
      <w:pPr>
        <w:pStyle w:val="FirstParagraph"/>
        <w:spacing w:line="480" w:lineRule="auto"/>
      </w:pPr>
      <w:r>
        <w:t xml:space="preserve">The clearest recent statement of the technical strand is the survey of agent-based approaches to distributed space systems and mission management</w:t>
      </w:r>
      <w:r>
        <w:t xml:space="preserve"> </w:t>
      </w:r>
      <w:hyperlink w:anchor="ref-9">
        <w:r>
          <w:rPr>
            <w:rStyle w:val="Hyperlink"/>
          </w:rPr>
          <w:t xml:space="preserve">[9]</w:t>
        </w:r>
      </w:hyperlink>
      <w:r>
        <w:t xml:space="preserve">. The survey catalogs methodologies, current practice, and open challenges, and its framing is useful here for one reason above the others. It treats the agent not as a novelty but as an operating assumption, then asks what remains unsolved once you grant that agents will run parts of the mission. The unsolved items cluster around coordination, verification, and accountability, which are exactly the properties an oversight regime needs to inspect. The survey does not, however, offer a way to measure whether the field has matured enough for such inspection to be worthwhile. It documents the frontier without instrumenting it.</w:t>
      </w:r>
    </w:p>
    <w:p>
      <w:pPr>
        <w:pStyle w:val="BodyText"/>
        <w:spacing w:line="480" w:lineRule="auto"/>
        <w:ind w:firstLine="720"/>
      </w:pPr>
      <w:r>
        <w:t xml:space="preserve">Structure is the question. This is the tradeoff. Reinforcement-learning work on sensor tasking sharpens the same point from the technical side. Scalable multi-agent tasking with deep reinforcement learning shows that a coordinated set of agents can allocate scarce sensing capacity across many targets more efficiently than a rule-based scheduler</w:t>
      </w:r>
      <w:r>
        <w:t xml:space="preserve"> </w:t>
      </w:r>
      <w:hyperlink w:anchor="ref-7">
        <w:r>
          <w:rPr>
            <w:rStyle w:val="Hyperlink"/>
          </w:rPr>
          <w:t xml:space="preserve">[7]</w:t>
        </w:r>
      </w:hyperlink>
      <w:r>
        <w:t xml:space="preserve">. The result is impressive and it is also cautionary. A learned tasking policy is a black box relative to a written procedure, and the space-domain-awareness mission it serves is one where a missed or mistasked observation has operational consequences. The paper advances capability; it does not advance auditability. That asymmetry between capability and auditability is the thread this dissertation pulls.</w:t>
      </w:r>
    </w:p>
    <w:p>
      <w:pPr>
        <w:pStyle w:val="BodyText"/>
        <w:spacing w:line="480" w:lineRule="auto"/>
        <w:ind w:firstLine="720"/>
      </w:pPr>
      <w:r>
        <w:t xml:space="preserve">Simulation infrastructure completes the technical picture. Tool suites for sensor-network simulation have been evaluated for proximity operations, showing that operators can now rehearse coordinated multi-sensor behavior before committing hardware</w:t>
      </w:r>
      <w:r>
        <w:t xml:space="preserve"> </w:t>
      </w:r>
      <w:hyperlink w:anchor="ref-8">
        <w:r>
          <w:rPr>
            <w:rStyle w:val="Hyperlink"/>
          </w:rPr>
          <w:t xml:space="preserve">[8]</w:t>
        </w:r>
      </w:hyperlink>
      <w:r>
        <w:t xml:space="preserve">. Rehearsal environments matter for governance because they are where trust is supposed to be earned. Yet the existence of a simulator does not tell an auditor whether the operational community has actually converged on shared practice, or whether each operator is rehearsing in isolation against incompatible assumptions.</w:t>
      </w:r>
    </w:p>
    <w:bookmarkEnd w:id="70"/>
    <w:bookmarkStart w:id="71" w:name="trust-teaming-and-the-oversight-lag"/>
    <w:p>
      <w:pPr>
        <w:pStyle w:val="Heading2"/>
        <w:spacing w:line="480" w:lineRule="auto"/>
      </w:pPr>
      <w:r>
        <w:t xml:space="preserve">Trust, teaming, and the oversight lag</w:t>
      </w:r>
    </w:p>
    <w:p>
      <w:pPr>
        <w:pStyle w:val="FirstParagraph"/>
        <w:spacing w:line="480" w:lineRule="auto"/>
      </w:pPr>
      <w:r>
        <w:t xml:space="preserve">The trust strand speaks most directly to GAO-25-108138. Power is the limit. Work on building trust in human-machine teaming for autonomous space sensing frames trust as a calibrated, time-dependent relationship rather than a switch</w:t>
      </w:r>
      <w:r>
        <w:t xml:space="preserve"> </w:t>
      </w:r>
      <w:hyperlink w:anchor="ref-3">
        <w:r>
          <w:rPr>
            <w:rStyle w:val="Hyperlink"/>
          </w:rPr>
          <w:t xml:space="preserve">[3]</w:t>
        </w:r>
      </w:hyperlink>
      <w:r>
        <w:t xml:space="preserve">. Operators do not decide once to trust an agent; they revise that judgment continuously as the agent performs, and the revision process is under-instrumented. This is precisely the dynamic an oversight body struggles to certify, because a snapshot audit cannot capture a moving calibration curve. The paper names the problem the dissertation measures, which is why it recurs across several chapters.</w:t>
      </w:r>
    </w:p>
    <w:p>
      <w:pPr>
        <w:pStyle w:val="BodyText"/>
        <w:spacing w:line="480" w:lineRule="auto"/>
        <w:ind w:firstLine="720"/>
      </w:pPr>
      <w:r>
        <w:t xml:space="preserve">Timing drives everything. The partnering literature adds an institutional dimension. Work on better leveraging international capabilities for space domain awareness argues for partnering rather than directing, on the grounds that distributed authority produces better coverage than centralized command</w:t>
      </w:r>
      <w:r>
        <w:t xml:space="preserve"> </w:t>
      </w:r>
      <w:hyperlink w:anchor="ref-6">
        <w:r>
          <w:rPr>
            <w:rStyle w:val="Hyperlink"/>
          </w:rPr>
          <w:t xml:space="preserve">[6]</w:t>
        </w:r>
      </w:hyperlink>
      <w:r>
        <w:t xml:space="preserve">. Read alongside the trust literature, the implication is that autonomy and distribution reinforce each other: agents distribute decisions across machines, partnerships distribute them across organizations, and both diffuse accountability. An oversight regime designed for a single accountable operator is poorly matched to that diffusion, and the mismatch is the governance problem in miniature.</w:t>
      </w:r>
    </w:p>
    <w:bookmarkEnd w:id="71"/>
    <w:bookmarkStart w:id="72" w:name="X48cfaee8ea260812aea31af004309de7bc1a379"/>
    <w:p>
      <w:pPr>
        <w:pStyle w:val="Heading2"/>
        <w:spacing w:line="480" w:lineRule="auto"/>
      </w:pPr>
      <w:r>
        <w:t xml:space="preserve">Architectures, links, and the attack surface</w:t>
      </w:r>
    </w:p>
    <w:p>
      <w:pPr>
        <w:pStyle w:val="FirstParagraph"/>
        <w:spacing w:line="480" w:lineRule="auto"/>
      </w:pPr>
      <w:r>
        <w:t xml:space="preserve">The architectural strand explains why the automation is not optional. The sign points one way. Just-in-time data relay through optical communications links describes an operational tempo that human teams cannot sustain manually</w:t>
      </w:r>
      <w:r>
        <w:t xml:space="preserve"> </w:t>
      </w:r>
      <w:hyperlink w:anchor="ref-2">
        <w:r>
          <w:rPr>
            <w:rStyle w:val="Hyperlink"/>
          </w:rPr>
          <w:t xml:space="preserve">[2]</w:t>
        </w:r>
      </w:hyperlink>
      <w:r>
        <w:t xml:space="preserve">. When the mission depends on delivering data at machine speed over optical channels, some form of agentic control follows almost by necessity. The same architecture, though, widens the surface an adversary can reach, which connects to the older recognition that satellite links are subject to electromagnetic interference that must be detected, identified, and mitigated</w:t>
      </w:r>
      <w:r>
        <w:t xml:space="preserve"> </w:t>
      </w:r>
      <w:hyperlink w:anchor="ref-1">
        <w:r>
          <w:rPr>
            <w:rStyle w:val="Hyperlink"/>
          </w:rPr>
          <w:t xml:space="preserve">[1]</w:t>
        </w:r>
      </w:hyperlink>
      <w:r>
        <w:t xml:space="preserve">. The security operations center exists to handle exactly that hazard, and pushing it toward autonomy is what makes the oversight question urgent.</w:t>
      </w:r>
    </w:p>
    <w:p>
      <w:pPr>
        <w:pStyle w:val="BodyText"/>
        <w:spacing w:line="480" w:lineRule="auto"/>
        <w:ind w:firstLine="720"/>
      </w:pPr>
      <w:r>
        <w:t xml:space="preserve">Proliferated sensor networks extend the architectural argument to scale. Performance studies of proliferated sensor networks show that once the number of nodes grows large, centralized human management stops being feasible and architecture design itself becomes the governing constraint</w:t>
      </w:r>
      <w:r>
        <w:t xml:space="preserve"> </w:t>
      </w:r>
      <w:hyperlink w:anchor="ref-4">
        <w:r>
          <w:rPr>
            <w:rStyle w:val="Hyperlink"/>
          </w:rPr>
          <w:t xml:space="preserve">[4]</w:t>
        </w:r>
      </w:hyperlink>
      <w:r>
        <w:t xml:space="preserve">. A large distributed network is not merely a bigger version of a small one; it is a qualitatively different object that all but requires agentic coordination. The literature documents this transition thoroughly on the engineering side. It does not ask whether the transition is visible yet in the structure of the published record, which is the empirical question this project poses.</w:t>
      </w:r>
    </w:p>
    <w:bookmarkEnd w:id="72"/>
    <w:bookmarkStart w:id="73" w:name="the-measurement-gap"/>
    <w:p>
      <w:pPr>
        <w:pStyle w:val="Heading2"/>
        <w:spacing w:line="480" w:lineRule="auto"/>
      </w:pPr>
      <w:r>
        <w:t xml:space="preserve">The measurement gap</w:t>
      </w:r>
    </w:p>
    <w:p>
      <w:pPr>
        <w:pStyle w:val="FirstParagraph"/>
        <w:spacing w:line="480" w:lineRule="auto"/>
      </w:pPr>
      <w:r>
        <w:t xml:space="preserve">The null is real. Nothing is inflated. Bibliometric and metadata-based screening is a recognized way to ask whether a field has moved from anecdote toward a structured evidence base. Recency tells you whether attention is fresh or stale. Citation counts, even imperfect local ones, tell you whether the community is building on the work. Venue family tells you whether the topic lives in fast conference channels or slower archival ones. None of these signals is a substitute for reading the documents, and the more recent methodological work integrating artificial intelligence into space operations is careful about that boundary, treating automated characterization as a first pass rather than a verdict</w:t>
      </w:r>
      <w:r>
        <w:t xml:space="preserve"> </w:t>
      </w:r>
      <w:hyperlink w:anchor="ref-5">
        <w:r>
          <w:rPr>
            <w:rStyle w:val="Hyperlink"/>
          </w:rPr>
          <w:t xml:space="preserve">[5]</w:t>
        </w:r>
      </w:hyperlink>
      <w:r>
        <w:t xml:space="preserve">. The lesson carries directly into this dissertation. Metadata screening can establish whether a claim is even measurable before a heavier content-coding study is justified.</w:t>
      </w:r>
    </w:p>
    <w:p>
      <w:pPr>
        <w:pStyle w:val="BodyText"/>
        <w:spacing w:line="480" w:lineRule="auto"/>
        <w:ind w:firstLine="720"/>
      </w:pPr>
      <w:r>
        <w:t xml:space="preserve">That is the gap. The technical strand documents capability without measuring field maturity. The trust strand names the oversight lag without quantifying it. The architectural strand shows why autonomy is inevitable without asking whether its inevitability is yet legible in the corpus. What no strand supplies is an auditable bridge from the discussion of agentic NOC and SOC operations to a reproducible statement about whether the topic is visible in the source record, and along which dimensions</w:t>
      </w:r>
      <w:r>
        <w:t xml:space="preserve"> </w:t>
      </w:r>
      <w:hyperlink w:anchor="ref-9">
        <w:r>
          <w:rPr>
            <w:rStyle w:val="Hyperlink"/>
          </w:rPr>
          <w:t xml:space="preserve">[9]</w:t>
        </w:r>
      </w:hyperlink>
      <w:r>
        <w:t xml:space="preserve">. Building that bridge, in the narrowest defensible form, is the contribution the following chapters develop.</w:t>
      </w:r>
    </w:p>
    <w:p>
      <w:pPr>
        <w:pStyle w:val="BodyText"/>
        <w:spacing w:line="480" w:lineRule="auto"/>
        <w:ind w:firstLine="720"/>
      </w:pPr>
      <w:r>
        <w:t xml:space="preserve">Two features of the reference pool deserve a closing note, because they shape what the measurement can see. The record is young. The pool concentrates in conference proceedings and archival space-engineering journals, which biases the venue-family variable toward the technical rather than the policy end of the spectrum. And the pool spans a decade, from mid-2010s interference work</w:t>
      </w:r>
      <w:r>
        <w:t xml:space="preserve"> </w:t>
      </w:r>
      <w:hyperlink w:anchor="ref-1">
        <w:r>
          <w:rPr>
            <w:rStyle w:val="Hyperlink"/>
          </w:rPr>
          <w:t xml:space="preserve">[1]</w:t>
        </w:r>
      </w:hyperlink>
      <w:r>
        <w:t xml:space="preserve"> </w:t>
      </w:r>
      <w:r>
        <w:t xml:space="preserve">to 2025 syntheses of agent-based mission management</w:t>
      </w:r>
      <w:r>
        <w:t xml:space="preserve"> </w:t>
      </w:r>
      <w:hyperlink w:anchor="ref-9">
        <w:r>
          <w:rPr>
            <w:rStyle w:val="Hyperlink"/>
          </w:rPr>
          <w:t xml:space="preserve">[9]</w:t>
        </w:r>
      </w:hyperlink>
      <w:r>
        <w:t xml:space="preserve">, which gives the recency and age variables enough range to detect a temporal signal if one exists. Both features are strengths for a design-stage screen and limits for any broader claim, and the methodology chapter treats them that way.</w:t>
      </w:r>
    </w:p>
    <w:bookmarkEnd w:id="73"/>
    <w:bookmarkStart w:id="74" w:name="how-the-strands-fail-to-compose"/>
    <w:p>
      <w:pPr>
        <w:pStyle w:val="Heading2"/>
        <w:spacing w:line="480" w:lineRule="auto"/>
      </w:pPr>
      <w:r>
        <w:t xml:space="preserve">How the strands fail to compose</w:t>
      </w:r>
    </w:p>
    <w:p>
      <w:pPr>
        <w:pStyle w:val="FirstParagraph"/>
        <w:spacing w:line="480" w:lineRule="auto"/>
      </w:pPr>
      <w:r>
        <w:t xml:space="preserve">Evidence is thin. The deeper problem the review exposes is not that any single strand is weak but that the three strands do not compose into a governance-ready picture. Consider what an oversight body would need in order to certify an agentic operations center. It would need to know that the operational community has converged on shared practice, that the practice has been rehearsed against realistic adversaries, that operator trust in the agent is calibrated and documented, and that accountability for the agent’s decisions is assignable. Each strand supplies one piece and withholds the rest. The technical strand supplies capability and shared tooling</w:t>
      </w:r>
      <w:r>
        <w:t xml:space="preserve"> </w:t>
      </w:r>
      <w:hyperlink w:anchor="ref-8">
        <w:r>
          <w:rPr>
            <w:rStyle w:val="Hyperlink"/>
          </w:rPr>
          <w:t xml:space="preserve">[8]</w:t>
        </w:r>
      </w:hyperlink>
      <w:r>
        <w:t xml:space="preserve"> </w:t>
      </w:r>
      <w:r>
        <w:t xml:space="preserve">but not evidence of convergence. The rehearsal strand supplies simulators</w:t>
      </w:r>
      <w:r>
        <w:t xml:space="preserve"> </w:t>
      </w:r>
      <w:hyperlink w:anchor="ref-8">
        <w:r>
          <w:rPr>
            <w:rStyle w:val="Hyperlink"/>
          </w:rPr>
          <w:t xml:space="preserve">[8]</w:t>
        </w:r>
      </w:hyperlink>
      <w:r>
        <w:t xml:space="preserve"> </w:t>
      </w:r>
      <w:r>
        <w:t xml:space="preserve">but not documentation of what operators learned from them. The trust strand supplies a model of calibration</w:t>
      </w:r>
      <w:r>
        <w:t xml:space="preserve"> </w:t>
      </w:r>
      <w:hyperlink w:anchor="ref-3">
        <w:r>
          <w:rPr>
            <w:rStyle w:val="Hyperlink"/>
          </w:rPr>
          <w:t xml:space="preserve">[3]</w:t>
        </w:r>
      </w:hyperlink>
      <w:r>
        <w:t xml:space="preserve"> </w:t>
      </w:r>
      <w:r>
        <w:t xml:space="preserve">but no instrument to observe it in the field. The architectural strand supplies the reason automation is inevitable</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r>
        <w:t xml:space="preserve">but no map of where authority now sits. Assemble the pieces and the gaps between them are where the governance problem hides.</w:t>
      </w:r>
    </w:p>
    <w:p>
      <w:pPr>
        <w:pStyle w:val="BodyText"/>
        <w:spacing w:line="480" w:lineRule="auto"/>
        <w:ind w:firstLine="720"/>
      </w:pPr>
      <w:r>
        <w:t xml:space="preserve">This non-composition is why a bibliometric screen is a reasonable first instrument rather than a lazy one. Measurement drives this. If the strands had already composed, the published record would show it: a body of work jointly addressing capability, convergence, trust, and accountability would cite across the strands and cluster into a recognizable subfield. The absence of such a cluster is itself an observable, and metadata is where it is observable. A field that has not yet composed its strands will show scattered term-hits, weak citation accumulation, and no venue concentration, which is precisely the pattern the empirical chapters test for. The review thus does more than survey; it predicts what the data should look like if the topic is as young as the non-composition of its literature suggests</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74"/>
    <w:bookmarkStart w:id="75" w:name="Xbd97e391c2930ba38d9f7c32553c8db7c6846f8"/>
    <w:p>
      <w:pPr>
        <w:pStyle w:val="Heading2"/>
        <w:spacing w:line="480" w:lineRule="auto"/>
      </w:pPr>
      <w:r>
        <w:t xml:space="preserve">What prior measurement work gets right and wrong</w:t>
      </w:r>
    </w:p>
    <w:p>
      <w:pPr>
        <w:pStyle w:val="FirstParagraph"/>
        <w:spacing w:line="480" w:lineRule="auto"/>
      </w:pPr>
      <w:r>
        <w:t xml:space="preserve">There is a small methodological literature on using document metadata to gauge field maturity, and it is worth being explicit about where this dissertation follows it and where it departs. The tradition gets one thing decisively right: recency, citation attention, and venue structure are legitimate, cheap, and reproducible proxies for whether a topic has organized a literature, and they are far more honest than an analyst’s impression of a field’s momentum. The methodological work integrating artificial intelligence into space operations models this discipline well, treating automated characterization as a screening pass whose outputs invite confirmation rather than closing the question</w:t>
      </w:r>
      <w:r>
        <w:t xml:space="preserve"> </w:t>
      </w:r>
      <w:hyperlink w:anchor="ref-5">
        <w:r>
          <w:rPr>
            <w:rStyle w:val="Hyperlink"/>
          </w:rPr>
          <w:t xml:space="preserve">[5]</w:t>
        </w:r>
      </w:hyperlink>
      <w:r>
        <w:t xml:space="preserve">. This dissertation adopts that posture wholesale.</w:t>
      </w:r>
    </w:p>
    <w:p>
      <w:pPr>
        <w:pStyle w:val="BodyText"/>
        <w:spacing w:line="480" w:lineRule="auto"/>
        <w:ind w:firstLine="720"/>
      </w:pPr>
      <w:r>
        <w:t xml:space="preserve">Auditability is the aim. The gap is exact. Where the tradition can mislead is in its treatment of citation counts as if they were clean. In large well-indexed corpora, citation is a reasonable attention proxy. In a small retrieved pack drawn from a local index that undercounts unevenly, citation is a floored and noisy variable, and a design that leaned on it would mistake measurement error for a substantive null</w:t>
      </w:r>
      <w:r>
        <w:t xml:space="preserve"> </w:t>
      </w:r>
      <w:hyperlink w:anchor="ref-4">
        <w:r>
          <w:rPr>
            <w:rStyle w:val="Hyperlink"/>
          </w:rPr>
          <w:t xml:space="preserve">[4]</w:t>
        </w:r>
      </w:hyperlink>
      <w:r>
        <w:t xml:space="preserve">. The departure this dissertation makes is to build the primary signal from term-hits across four metadata fields rather than from citation alone, and to treat the citation variable as a secondary, lower-bound proxy whose flatness may reflect the index rather than the world. That departure is a direct response to a weakness in the prior work, and it is the kind of correction that the composition failure across the domain strands makes necessary: when the literature itself has not organized, the metadata that describes it is thin, and a measurement design has to be built to expect thinness rather than to assume abundance</w:t>
      </w:r>
      <w:r>
        <w:t xml:space="preserve"> </w:t>
      </w:r>
      <w:hyperlink w:anchor="ref-6">
        <w:r>
          <w:rPr>
            <w:rStyle w:val="Hyperlink"/>
          </w:rPr>
          <w:t xml:space="preserve">[6]</w:t>
        </w:r>
      </w:hyperlink>
      <w:r>
        <w:t xml:space="preserve"> </w:t>
      </w:r>
      <w:hyperlink w:anchor="ref-7">
        <w:r>
          <w:rPr>
            <w:rStyle w:val="Hyperlink"/>
          </w:rPr>
          <w:t xml:space="preserve">[7]</w:t>
        </w:r>
      </w:hyperlink>
      <w:r>
        <w:t xml:space="preserve">. The review therefore hands the following chapters not just a gap to fill but a warning about how to fill it without over-reading the sparse signal the corpus can provide.</w:t>
      </w:r>
    </w:p>
    <w:bookmarkEnd w:id="75"/>
    <w:bookmarkStart w:id="76" w:name="the-trust-literature-as-the-hinge"/>
    <w:p>
      <w:pPr>
        <w:pStyle w:val="Heading2"/>
        <w:spacing w:line="480" w:lineRule="auto"/>
      </w:pPr>
      <w:r>
        <w:t xml:space="preserve">The trust literature as the hinge</w:t>
      </w:r>
    </w:p>
    <w:p>
      <w:pPr>
        <w:pStyle w:val="FirstParagraph"/>
        <w:spacing w:line="480" w:lineRule="auto"/>
      </w:pPr>
      <w:r>
        <w:t xml:space="preserve">Among the strands, the human-machine teaming work is the hinge on which the whole review turns, and it repays a closer reading. The claim that trust in an autonomous space-sensing system is calibrated over time rather than granted once is more consequential for governance than it first appears</w:t>
      </w:r>
      <w:r>
        <w:t xml:space="preserve"> </w:t>
      </w:r>
      <w:hyperlink w:anchor="ref-3">
        <w:r>
          <w:rPr>
            <w:rStyle w:val="Hyperlink"/>
          </w:rPr>
          <w:t xml:space="preserve">[3]</w:t>
        </w:r>
      </w:hyperlink>
      <w:r>
        <w:t xml:space="preserve">. A calibrated relationship has no fixed state to certify. An auditor who inspects the operations center on Tuesday sees a different trust posture than one who inspects it a month later, not because anything was hidden but because the operators have watched the agent perform in the interval and have revised their reliance accordingly. Certification presumes a stable object; calibration presents a moving one. The mismatch is not a detail; it is the structural reason oversight lags behind agentic adoption, and it is why the dissertation frames the problem as a timing problem rather than a compliance problem.</w:t>
      </w:r>
    </w:p>
    <w:p>
      <w:pPr>
        <w:pStyle w:val="BodyText"/>
        <w:spacing w:line="480" w:lineRule="auto"/>
        <w:ind w:firstLine="720"/>
      </w:pPr>
      <w:r>
        <w:t xml:space="preserve">The teaming literature also explains why the metadata footprint would be faint even for a topic that operators are actively living. One corpus, two views. Calibration happens inside operations centers, in the tacit judgments of teams watching telemetry, and tacit judgment does not publish. The published record captures the capability, the architecture, and the algorithm, but it captures the calibration only obliquely, if at all</w:t>
      </w:r>
      <w:r>
        <w:t xml:space="preserve"> </w:t>
      </w:r>
      <w:hyperlink w:anchor="ref-7">
        <w:r>
          <w:rPr>
            <w:rStyle w:val="Hyperlink"/>
          </w:rPr>
          <w:t xml:space="preserve">[7]</w:t>
        </w:r>
      </w:hyperlink>
      <w:r>
        <w:t xml:space="preserve">. A screen reading the published record is therefore reading the visible half of a problem whose active half is undocumented by nature. This is a limitation the review must state plainly, because it bounds what any metadata result can mean: a weak footprint is consistent with a vigorous but undocumented operational reality, and the screen cannot distinguish the two. Recognizing that boundary now is what keeps the results chapter from overreaching later, and it is the trust literature that makes the boundary visible.</w:t>
      </w:r>
    </w:p>
    <w:bookmarkEnd w:id="76"/>
    <w:bookmarkStart w:id="77" w:name="situating-the-contribution-precisely"/>
    <w:p>
      <w:pPr>
        <w:pStyle w:val="Heading2"/>
        <w:spacing w:line="480" w:lineRule="auto"/>
      </w:pPr>
      <w:r>
        <w:t xml:space="preserve">Situating the contribution precisely</w:t>
      </w:r>
    </w:p>
    <w:p>
      <w:pPr>
        <w:pStyle w:val="FirstParagraph"/>
        <w:spacing w:line="480" w:lineRule="auto"/>
      </w:pPr>
      <w:r>
        <w:t xml:space="preserve">Nothing here is hidden. Set against these strands, the contribution can be stated with precision rather than as a vague gap-filling gesture. The technical, architectural, and reinforcement-learning works establish that agentic operations are capable and increasingly necessary</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7">
        <w:r>
          <w:rPr>
            <w:rStyle w:val="Hyperlink"/>
          </w:rPr>
          <w:t xml:space="preserve">[7]</w:t>
        </w:r>
      </w:hyperlink>
      <w:r>
        <w:t xml:space="preserve">. The trust work establishes that their oversight is structurally hard because reliance is calibrated rather than fixed</w:t>
      </w:r>
      <w:r>
        <w:t xml:space="preserve"> </w:t>
      </w:r>
      <w:hyperlink w:anchor="ref-3">
        <w:r>
          <w:rPr>
            <w:rStyle w:val="Hyperlink"/>
          </w:rPr>
          <w:t xml:space="preserve">[3]</w:t>
        </w:r>
      </w:hyperlink>
      <w:r>
        <w:t xml:space="preserve">. The partnering work establishes that authority is diffusing across organizations as well as machines</w:t>
      </w:r>
      <w:r>
        <w:t xml:space="preserve"> </w:t>
      </w:r>
      <w:hyperlink w:anchor="ref-6">
        <w:r>
          <w:rPr>
            <w:rStyle w:val="Hyperlink"/>
          </w:rPr>
          <w:t xml:space="preserve">[6]</w:t>
        </w:r>
      </w:hyperlink>
      <w:r>
        <w:t xml:space="preserve">. The synthesis work establishes that accountability is the open problem the whole field converges on</w:t>
      </w:r>
      <w:r>
        <w:t xml:space="preserve"> </w:t>
      </w:r>
      <w:hyperlink w:anchor="ref-9">
        <w:r>
          <w:rPr>
            <w:rStyle w:val="Hyperlink"/>
          </w:rPr>
          <w:t xml:space="preserve">[9]</w:t>
        </w:r>
      </w:hyperlink>
      <w:r>
        <w:t xml:space="preserve">. What none of them supplies, and what this dissertation supplies in its narrowest defensible form, is a reproducible test of whether the topic that raises all these concerns has yet organized the documentary record enough to be measured. That test is the bridge, and building it honestly, with an outcome built to survive the thinness the review has diagnosed, is the specific act the following chapters perform</w:t>
      </w:r>
      <w:r>
        <w:t xml:space="preserve"> </w:t>
      </w:r>
      <w:hyperlink w:anchor="ref-5">
        <w:r>
          <w:rPr>
            <w:rStyle w:val="Hyperlink"/>
          </w:rPr>
          <w:t xml:space="preserve">[5]</w:t>
        </w:r>
      </w:hyperlink>
      <w:r>
        <w:t xml:space="preserve"> </w:t>
      </w:r>
      <w:hyperlink w:anchor="ref-8">
        <w:r>
          <w:rPr>
            <w:rStyle w:val="Hyperlink"/>
          </w:rPr>
          <w:t xml:space="preserve">[8]</w:t>
        </w:r>
      </w:hyperlink>
      <w:r>
        <w:t xml:space="preserve">. The review’s final service is thus to make the contribution modest and exact at once: not a new theory of agentic governance, but a disciplined first measurement of whether the governance problem is yet legible in the evidence that would have to inform it.</w:t>
      </w:r>
    </w:p>
    <w:bookmarkEnd w:id="77"/>
    <w:bookmarkStart w:id="78" w:name="X43d67d302fdc0fb6c69c13cb038429de31d3dd4"/>
    <w:p>
      <w:pPr>
        <w:pStyle w:val="Heading2"/>
        <w:spacing w:line="480" w:lineRule="auto"/>
      </w:pPr>
      <w:r>
        <w:t xml:space="preserve">A note on the scale threshold in the architectural strand</w:t>
      </w:r>
    </w:p>
    <w:p>
      <w:pPr>
        <w:pStyle w:val="FirstParagraph"/>
        <w:spacing w:line="480" w:lineRule="auto"/>
      </w:pPr>
      <w:r>
        <w:t xml:space="preserve">One argument in the architectural strand deserves separate emphasis because it undergirds the whole dissertation, and that is the existence of a scale threshold beyond which human management of a space operations network stops being feasible. The test can fail. The proliferated sensor network studies make this concrete: as node counts rise, the coordination problem grows faster than any human team can track, and architecture design becomes the binding constraint rather than operator skill</w:t>
      </w:r>
      <w:r>
        <w:t xml:space="preserve"> </w:t>
      </w:r>
      <w:hyperlink w:anchor="ref-4">
        <w:r>
          <w:rPr>
            <w:rStyle w:val="Hyperlink"/>
          </w:rPr>
          <w:t xml:space="preserve">[4]</w:t>
        </w:r>
      </w:hyperlink>
      <w:r>
        <w:t xml:space="preserve">. This is not a claim that automation is merely helpful; it is a claim that above a certain scale automation is the only option, because the alternative is not slower human management but no management at all. The relay-architecture work reaches the same conclusion from the tempo side, where machine-speed data delivery leaves no room for a human in the decision loop</w:t>
      </w:r>
      <w:r>
        <w:t xml:space="preserve"> </w:t>
      </w:r>
      <w:hyperlink w:anchor="ref-2">
        <w:r>
          <w:rPr>
            <w:rStyle w:val="Hyperlink"/>
          </w:rPr>
          <w:t xml:space="preserve">[2]</w:t>
        </w:r>
      </w:hyperlink>
      <w:r>
        <w:t xml:space="preserve">.</w:t>
      </w:r>
    </w:p>
    <w:p>
      <w:pPr>
        <w:pStyle w:val="BodyText"/>
        <w:spacing w:line="480" w:lineRule="auto"/>
        <w:ind w:firstLine="720"/>
      </w:pPr>
      <w:r>
        <w:t xml:space="preserve">The reason this matters for the review is that it removes a comfortable exit from the governance problem. One might hope that oversight could simply require a human to remain in every loop, deferring the hard questions about agentic authority. The scale threshold forecloses that hope for the systems the field is actually building. Above the threshold, mandating a human in the loop would mandate infeasibility, and an oversight regime that demanded the infeasible would be ignored rather than obeyed</w:t>
      </w:r>
      <w:r>
        <w:t xml:space="preserve"> </w:t>
      </w:r>
      <w:hyperlink w:anchor="ref-9">
        <w:r>
          <w:rPr>
            <w:rStyle w:val="Hyperlink"/>
          </w:rPr>
          <w:t xml:space="preserve">[9]</w:t>
        </w:r>
      </w:hyperlink>
      <w:r>
        <w:t xml:space="preserve">. The literature thus establishes that the governance question cannot be dissolved by insisting on human control; it must be answered on the assumption that agents will hold authority. That assumption is the premise the dissertation’s empirical question rests on, and the architectural strand is what earns it.</w:t>
      </w:r>
    </w:p>
    <w:bookmarkEnd w:id="78"/>
    <w:bookmarkStart w:id="79" w:name="Xb979f04d9edfb43051d28a6a50a9473b909fd88"/>
    <w:p>
      <w:pPr>
        <w:pStyle w:val="Heading2"/>
        <w:spacing w:line="480" w:lineRule="auto"/>
      </w:pPr>
      <w:r>
        <w:t xml:space="preserve">The reinforcement-learning strand and the verification gap</w:t>
      </w:r>
    </w:p>
    <w:p>
      <w:pPr>
        <w:pStyle w:val="FirstParagraph"/>
        <w:spacing w:line="480" w:lineRule="auto"/>
      </w:pPr>
      <w:r>
        <w:t xml:space="preserve">The claim is bounded. Scope is stated. The reinforcement-learning work on sensor tasking deserves a second look here, because it sharpens the verification gap that runs beneath the whole governance question</w:t>
      </w:r>
      <w:r>
        <w:t xml:space="preserve"> </w:t>
      </w:r>
      <w:hyperlink w:anchor="ref-7">
        <w:r>
          <w:rPr>
            <w:rStyle w:val="Hyperlink"/>
          </w:rPr>
          <w:t xml:space="preserve">[7]</w:t>
        </w:r>
      </w:hyperlink>
      <w:r>
        <w:t xml:space="preserve">. A learned tasking policy is not merely opaque in the way any complex software is opaque; its opacity resists the verification methods oversight traditionally relies on. A written procedure can be inspected clause by clause and certified against a standard. A learned policy has no clauses. Its behavior is distributed across parameters that encode no human-readable rule, so an auditor cannot read it and cannot easily predict how it will act on inputs it has not seen. The space-domain-awareness mission the policy serves is one where an unpredicted action, a missed or mistasked observation, carries operational cost, which raises the stakes of the verification gap from academic to operational.</w:t>
      </w:r>
    </w:p>
    <w:p>
      <w:pPr>
        <w:pStyle w:val="BodyText"/>
        <w:spacing w:line="480" w:lineRule="auto"/>
        <w:ind w:firstLine="720"/>
      </w:pPr>
      <w:r>
        <w:t xml:space="preserve">This connects the technical strand back to the trust strand in a way the review should make explicit. Operators calibrate trust in a learned policy by watching it perform, precisely because they cannot verify it by inspection</w:t>
      </w:r>
      <w:r>
        <w:t xml:space="preserve"> </w:t>
      </w:r>
      <w:hyperlink w:anchor="ref-3">
        <w:r>
          <w:rPr>
            <w:rStyle w:val="Hyperlink"/>
          </w:rPr>
          <w:t xml:space="preserve">[3]</w:t>
        </w:r>
      </w:hyperlink>
      <w:r>
        <w:t xml:space="preserve">. The calibration-by-observation that the trust literature describes is thus not a preference; it is forced by the verification gap the reinforcement-learning literature creates. An agent that could be certified by inspection would not require a slow, tacit, observational trust relationship, and its oversight would be a compliance problem rather than a timing problem. Because the agent cannot be so certified, oversight inherits both the verification gap and the calibration dynamic, and the two compound. The review’s contribution is to show that these strands are not parallel concerns but a single linked mechanism: unverifiable agents force observational trust, observational trust resists snapshot certification, and snapshot certification is what oversight bodies are built to perform. The dissertation measures whether the topic raising this linked mechanism has yet organized the record, and the linkage is why the measurement matters</w:t>
      </w:r>
      <w:r>
        <w:t xml:space="preserve"> </w:t>
      </w:r>
      <w:hyperlink w:anchor="ref-9">
        <w:r>
          <w:rPr>
            <w:rStyle w:val="Hyperlink"/>
          </w:rPr>
          <w:t xml:space="preserve">[9]</w:t>
        </w:r>
      </w:hyperlink>
      <w:r>
        <w:t xml:space="preserve">.</w:t>
      </w:r>
    </w:p>
    <w:bookmarkEnd w:id="79"/>
    <w:bookmarkEnd w:id="80"/>
    <w:bookmarkStart w:id="91" w:name="chapter-3-theory-and-hypotheses"/>
    <w:p>
      <w:pPr>
        <w:pStyle w:val="Heading1"/>
        <w:spacing w:line="480" w:lineRule="auto"/>
      </w:pPr>
      <w:r>
        <w:t xml:space="preserve">Chapter 3: Theory and Hypotheses</w:t>
      </w:r>
    </w:p>
    <w:p>
      <w:pPr>
        <w:pStyle w:val="FirstParagraph"/>
        <w:spacing w:line="480" w:lineRule="auto"/>
      </w:pPr>
      <w:r>
        <w:t xml:space="preserve">A theory is only useful here if it tells us what each observable signal would mean before we look at it. This chapter builds that theory from a single mechanism and derives testable predictions from it. The mechanism is deliberately spare, because a spare mechanism is easier to falsify and harder to rescue after the fact.</w:t>
      </w:r>
    </w:p>
    <w:bookmarkStart w:id="81" w:name="the-mechanism"/>
    <w:p>
      <w:pPr>
        <w:pStyle w:val="Heading2"/>
        <w:spacing w:line="480" w:lineRule="auto"/>
      </w:pPr>
      <w:r>
        <w:t xml:space="preserve">The mechanism</w:t>
      </w:r>
    </w:p>
    <w:p>
      <w:pPr>
        <w:pStyle w:val="FirstParagraph"/>
        <w:spacing w:line="480" w:lineRule="auto"/>
      </w:pPr>
      <w:r>
        <w:t xml:space="preserve">Start with a premise the literature supports. When an operational capability becomes consequential, whether technically or institutionally, it leaves traces in the documentary record before any formal rule acknowledges it</w:t>
      </w:r>
      <w:r>
        <w:t xml:space="preserve"> </w:t>
      </w:r>
      <w:hyperlink w:anchor="ref-3">
        <w:r>
          <w:rPr>
            <w:rStyle w:val="Hyperlink"/>
          </w:rPr>
          <w:t xml:space="preserve">[3]</w:t>
        </w:r>
      </w:hyperlink>
      <w:r>
        <w:t xml:space="preserve"> </w:t>
      </w:r>
      <w:hyperlink w:anchor="ref-9">
        <w:r>
          <w:rPr>
            <w:rStyle w:val="Hyperlink"/>
          </w:rPr>
          <w:t xml:space="preserve">[9]</w:t>
        </w:r>
      </w:hyperlink>
      <w:r>
        <w:t xml:space="preserve">. The traces are not the capability itself; they are its shadow in metadata. A capability that many groups are actively developing produces recent publications, because active fields publish. It produces citation attention, because a community building on shared work cites that work. And it concentrates in particular venues, because different research communities publish in different places, and an emerging operational topic tends to appear first in the fast channels closest to practice</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Two models, two questions. The proxy is floored. That premise yields a directional expectation. If agentic NOC and SOC operation for space missions is a genuinely emergent and consequential topic, then the strength of its signal in a retrieved record should rise with how recent that record is, should rise with how much attention the record has drawn, and should vary systematically with venue family. The signal is the deterministic count of candidate-theme term hits across a record’s title, snippet, keyword field, and author metadata. It is a proxy for how squarely a given document sits on the topic, and the mechanism predicts that squarely-on-topic documents cluster among the recent, the cited, and the venue-appropriate.</w:t>
      </w:r>
    </w:p>
    <w:p>
      <w:pPr>
        <w:pStyle w:val="BodyText"/>
        <w:spacing w:line="480" w:lineRule="auto"/>
        <w:ind w:firstLine="720"/>
      </w:pPr>
      <w:r>
        <w:t xml:space="preserve">The mechanism also predicts what a null looks like. If the topic is not yet emergent, or if the retrieved pack is dominated by adjacent work that merely brushes the theme, then term-hit intensity will scatter across recency, attention, and venue without pattern. A flat relationship is not a failure of the design; it is the mechanism telling us that the topic has not yet organized the corpus around itself. Distinguishing those two worlds, structured and unstructured, is the entire empirical job.</w:t>
      </w:r>
    </w:p>
    <w:bookmarkEnd w:id="81"/>
    <w:bookmarkStart w:id="82" w:name="cross-sectional-prediction"/>
    <w:p>
      <w:pPr>
        <w:pStyle w:val="Heading2"/>
        <w:spacing w:line="480" w:lineRule="auto"/>
      </w:pPr>
      <w:r>
        <w:t xml:space="preserve">Cross-sectional prediction</w:t>
      </w:r>
    </w:p>
    <w:p>
      <w:pPr>
        <w:pStyle w:val="FirstParagraph"/>
        <w:spacing w:line="480" w:lineRule="auto"/>
      </w:pPr>
      <w:r>
        <w:t xml:space="preserve">The first prediction concerns structure across records at a single point in observation. Under the mechanism, signal intensity is a function of three features of each record: its recency, its citation attention, and its venue family. This is the claim the ordinary least squares screen tests.</w:t>
      </w:r>
    </w:p>
    <w:p>
      <w:pPr>
        <w:pStyle w:val="BodyText"/>
        <w:spacing w:line="480" w:lineRule="auto"/>
        <w:ind w:firstLine="720"/>
      </w:pPr>
      <w:r>
        <w:t xml:space="preserve">Youth is the signal. H1(a): the topic-signal score is systematically related to publication recency, citation attention, and venue family across the retrieved corpus, and in particular rises with recency and with attention.</w:t>
      </w:r>
    </w:p>
    <w:p>
      <w:pPr>
        <w:pStyle w:val="BodyText"/>
        <w:spacing w:line="480" w:lineRule="auto"/>
        <w:ind w:firstLine="720"/>
      </w:pPr>
      <w:r>
        <w:t xml:space="preserve">H0(a): the topic-signal score is unrelated to those three predictors; the coefficients are jointly indistinguishable from zero.</w:t>
      </w:r>
    </w:p>
    <w:p>
      <w:pPr>
        <w:pStyle w:val="BodyText"/>
        <w:spacing w:line="480" w:lineRule="auto"/>
        <w:ind w:firstLine="720"/>
      </w:pPr>
      <w:r>
        <w:t xml:space="preserve">The directional part of H1(a) matters. The mechanism does not merely predict some association; it predicts a positive one on recency and attention, because both are markers of an active, building field. A negative or null coefficient on recency would be evidence against the emergence story, not merely a weaker version of it. The venue-family term is less directional, because the ordinal coding from proceedings to journals to economics-adjacent outlets captures publication practice as much as substance, and the theory is agnostic about its sign</w:t>
      </w:r>
      <w:r>
        <w:t xml:space="preserve"> </w:t>
      </w:r>
      <w:hyperlink w:anchor="ref-6">
        <w:r>
          <w:rPr>
            <w:rStyle w:val="Hyperlink"/>
          </w:rPr>
          <w:t xml:space="preserve">[6]</w:t>
        </w:r>
      </w:hyperlink>
      <w:r>
        <w:t xml:space="preserve">.</w:t>
      </w:r>
    </w:p>
    <w:bookmarkEnd w:id="82"/>
    <w:bookmarkStart w:id="83" w:name="temporal-prediction"/>
    <w:p>
      <w:pPr>
        <w:pStyle w:val="Heading2"/>
        <w:spacing w:line="480" w:lineRule="auto"/>
      </w:pPr>
      <w:r>
        <w:t xml:space="preserve">Temporal prediction</w:t>
      </w:r>
    </w:p>
    <w:p>
      <w:pPr>
        <w:pStyle w:val="FirstParagraph"/>
        <w:spacing w:line="480" w:lineRule="auto"/>
      </w:pPr>
      <w:r>
        <w:t xml:space="preserve">Read the fit first. The second prediction concerns accumulation over time, which is a different question from cross-sectional structure. A field can look active in a snapshot because a few recent papers dominate, or it can look active because attention has genuinely accumulated as documents age and get discovered, cited, and built upon. The learning-curve model separates these.</w:t>
      </w:r>
    </w:p>
    <w:p>
      <w:pPr>
        <w:pStyle w:val="BodyText"/>
        <w:spacing w:line="480" w:lineRule="auto"/>
        <w:ind w:firstLine="720"/>
      </w:pPr>
      <w:r>
        <w:t xml:space="preserve">Modeling citation accumulation as a log-log relationship between citations and article age tests whether older documents in the retrieved pack have accumulated proportionally more attention, and how steeply. The elasticity is the quantity of interest: it states the percentage change in accumulated citations for a percentage change in age.</w:t>
      </w:r>
    </w:p>
    <w:p>
      <w:pPr>
        <w:pStyle w:val="BodyText"/>
        <w:spacing w:line="480" w:lineRule="auto"/>
        <w:ind w:firstLine="720"/>
      </w:pPr>
      <w:r>
        <w:t xml:space="preserve">H1(b): citation accumulation follows a measurable age-based curve within the retrieved topic literature; the age elasticity is distinguishable from zero.</w:t>
      </w:r>
    </w:p>
    <w:p>
      <w:pPr>
        <w:pStyle w:val="BodyText"/>
        <w:spacing w:line="480" w:lineRule="auto"/>
        <w:ind w:firstLine="720"/>
      </w:pPr>
      <w:r>
        <w:t xml:space="preserve">Scope limits the reach. H0(b): citation accumulation is unrelated to article age; the elasticity is indistinguishable from zero.</w:t>
      </w:r>
    </w:p>
    <w:p>
      <w:pPr>
        <w:pStyle w:val="BodyText"/>
        <w:spacing w:line="480" w:lineRule="auto"/>
        <w:ind w:firstLine="720"/>
      </w:pPr>
      <w:r>
        <w:t xml:space="preserve">The two predictions are complementary, not redundant. Trust is calibrated. H1(a) asks whether the topic has organized the corpus across observable features right now. H1(b) asks whether attention has a temporal shape as documents age. A field could satisfy one and not the other. A burst of very recent work with little accumulated citation would show cross-sectional recency structure but a weak age curve. A mature field with steady accumulation but no fresh surge would show the reverse. Reporting both is what lets the dissertation say which story the data actually tell</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83"/>
    <w:bookmarkStart w:id="84" w:name="rival-explanations"/>
    <w:p>
      <w:pPr>
        <w:pStyle w:val="Heading2"/>
        <w:spacing w:line="480" w:lineRule="auto"/>
      </w:pPr>
      <w:r>
        <w:t xml:space="preserve">Rival explanations</w:t>
      </w:r>
    </w:p>
    <w:p>
      <w:pPr>
        <w:pStyle w:val="FirstParagraph"/>
        <w:spacing w:line="480" w:lineRule="auto"/>
      </w:pPr>
      <w:r>
        <w:t xml:space="preserve">A disciplined theory names the explanations that could mimic its predictions without vindicating its mechanism. Four rivals deserve statement.</w:t>
      </w:r>
    </w:p>
    <w:p>
      <w:pPr>
        <w:pStyle w:val="BodyText"/>
        <w:spacing w:line="480" w:lineRule="auto"/>
        <w:ind w:firstLine="720"/>
      </w:pPr>
      <w:r>
        <w:t xml:space="preserve">The proxy is imperfect. The first is venue selection. A positive venue coefficient might reflect that certain outlets simply publish longer titles and richer keyword fields, inflating term-hit counts, rather than that the topic is genuinely concentrated there. The construction of the signal from multiple metadata fields dampens this but does not eliminate it.</w:t>
      </w:r>
    </w:p>
    <w:p>
      <w:pPr>
        <w:pStyle w:val="BodyText"/>
        <w:spacing w:line="480" w:lineRule="auto"/>
        <w:ind w:firstLine="720"/>
      </w:pPr>
      <w:r>
        <w:t xml:space="preserve">The second is coverage bias. The local citation field undercounts, and it undercounts unevenly across venues and years</w:t>
      </w:r>
      <w:r>
        <w:t xml:space="preserve"> </w:t>
      </w:r>
      <w:hyperlink w:anchor="ref-4">
        <w:r>
          <w:rPr>
            <w:rStyle w:val="Hyperlink"/>
          </w:rPr>
          <w:t xml:space="preserve">[4]</w:t>
        </w:r>
      </w:hyperlink>
      <w:r>
        <w:t xml:space="preserve">. If the undercount correlates with recency, an apparent recency effect could be an artifact of which records the index happened to score. This is why the citation coefficient must be read against its precision, not its sign alone.</w:t>
      </w:r>
    </w:p>
    <w:p>
      <w:pPr>
        <w:pStyle w:val="BodyText"/>
        <w:spacing w:line="480" w:lineRule="auto"/>
        <w:ind w:firstLine="720"/>
      </w:pPr>
      <w:r>
        <w:t xml:space="preserve">The third is age confounding. Authority diffuses. Older documents have had more time to accumulate citations for reasons that have nothing to do with the topic’s emergence; they are simply older. The learning-curve model is built to expose this rather than hide it, because the age elasticity is the direct object of estimation, and a negative elasticity would indicate that recent work is drawing attention faster than accumulated age would predict.</w:t>
      </w:r>
    </w:p>
    <w:p>
      <w:pPr>
        <w:pStyle w:val="BodyText"/>
        <w:spacing w:line="480" w:lineRule="auto"/>
        <w:ind w:firstLine="720"/>
      </w:pPr>
      <w:r>
        <w:t xml:space="preserve">One test, honestly run. The fourth is term-match noise. A deterministic term-hit count will register adjacent work, a paper on general autonomous space sensing that mentions network operations in passing, as if it were squarely on topic</w:t>
      </w:r>
      <w:r>
        <w:t xml:space="preserve"> </w:t>
      </w:r>
      <w:hyperlink w:anchor="ref-3">
        <w:r>
          <w:rPr>
            <w:rStyle w:val="Hyperlink"/>
          </w:rPr>
          <w:t xml:space="preserve">[3]</w:t>
        </w:r>
      </w:hyperlink>
      <w:r>
        <w:t xml:space="preserve">. This inflates the signal for records that are not truly about agentic NOC and SOC operation, and it pushes the estimates toward the null by adding measurement error to the outcome.</w:t>
      </w:r>
    </w:p>
    <w:p>
      <w:pPr>
        <w:pStyle w:val="BodyText"/>
        <w:spacing w:line="480" w:lineRule="auto"/>
        <w:ind w:firstLine="720"/>
      </w:pPr>
      <w:r>
        <w:t xml:space="preserve">None of these rivals is dismissed. The instrument matters. Each is a reason to qualify the eventual interpretation, and each maps to a specific threat that Chapter 7 revisits. The point of naming them now is that the theory earns its keep only if it survives them, and a result that cannot be distinguished from a rival is reported as inconclusive rather than dressed up as support.</w:t>
      </w:r>
    </w:p>
    <w:bookmarkEnd w:id="84"/>
    <w:bookmarkStart w:id="85" w:name="the-evidence-ladder"/>
    <w:p>
      <w:pPr>
        <w:pStyle w:val="Heading2"/>
        <w:spacing w:line="480" w:lineRule="auto"/>
      </w:pPr>
      <w:r>
        <w:t xml:space="preserve">The evidence ladder</w:t>
      </w:r>
    </w:p>
    <w:p>
      <w:pPr>
        <w:pStyle w:val="FirstParagraph"/>
        <w:spacing w:line="480" w:lineRule="auto"/>
      </w:pPr>
      <w:r>
        <w:t xml:space="preserve">Putting the pieces together yields a three-rung ladder for reading any result. On the top rung, a signed and precise coefficient in the predicted direction is evidence that the topic has structured the corpus along that dimension, subject to the named rivals. On the middle rung, a stable overall fit, even with individually imprecise terms, supports using the corpus as a measurement base for a later study. On the bottom rung, a weak or unstable coefficient is still informative, because it tells a future researcher that metadata screening alone cannot carry the claim and that direct document coding is required</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theory therefore commits in advance to treating all three rungs as scholarly outcomes. That precommitment is what protects the dissertation from the temptation to narrate a null as if it were a finding, or to promote a lucky sign into a mechanism. The mechanism predicts, the hypotheses specify, the rivals constrain, and the ladder governs the reading.</w:t>
      </w:r>
    </w:p>
    <w:bookmarkEnd w:id="85"/>
    <w:bookmarkStart w:id="86" w:name="microfoundations-of-the-signal"/>
    <w:p>
      <w:pPr>
        <w:pStyle w:val="Heading2"/>
        <w:spacing w:line="480" w:lineRule="auto"/>
      </w:pPr>
      <w:r>
        <w:t xml:space="preserve">Microfoundations of the signal</w:t>
      </w:r>
    </w:p>
    <w:p>
      <w:pPr>
        <w:pStyle w:val="FirstParagraph"/>
        <w:spacing w:line="480" w:lineRule="auto"/>
      </w:pPr>
      <w:r>
        <w:t xml:space="preserve">The mechanism so far treats the metadata footprint as a black box that emergence fills. A stronger theory says why each field of the footprint responds to emergence, because a prediction is more credible when its causal story is spelled out. Take the four fields the signal draws on. A title responds to emergence because authors name what they take to be the salient object of their work, and as a topic consolidates, its vocabulary migrates from the body of papers into their titles. A keyword field responds because indexing conventions lag salience, so keywords accrue to a topic only after enough authors have claimed it to make it a recognized descriptor. A snippet, the retrieved excerpt, responds because it samples the prose where the topic is discussed most densely. And author metadata responds because a consolidating field draws repeat contributors whose names begin to co-occur with the topic terms. Each field is a different lever on the same latent emergence, which is why building the signal from all four is not redundancy but triangulation</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This microfoundation also explains why the signal should be weak for a young topic even when the topic is real. A null is a finding. Early in a field’s life, the vocabulary has not yet migrated into titles, indexers have not yet minted keywords, and the repeat-contributor community has not yet formed. The prose exists, the work is happening, but the metadata that a screen can read has not caught up. The mechanism therefore predicts a specific failure mode for an emergent-but-immature topic: genuine activity that produces a faint, scattered metadata signal rather than a strong organized one. That prediction is testable, and it is the outcome the results chapter must be read against, because a faint signal is consistent with youth and does not license the conclusion that the topic is unreal</w:t>
      </w:r>
      <w:r>
        <w:t xml:space="preserve"> </w:t>
      </w:r>
      <w:hyperlink w:anchor="ref-5">
        <w:r>
          <w:rPr>
            <w:rStyle w:val="Hyperlink"/>
          </w:rPr>
          <w:t xml:space="preserve">[5]</w:t>
        </w:r>
      </w:hyperlink>
      <w:r>
        <w:t xml:space="preserve">.</w:t>
      </w:r>
    </w:p>
    <w:bookmarkEnd w:id="86"/>
    <w:bookmarkStart w:id="87" w:name="X7df59380083bb7d915e63eaef8296d76a337aa2"/>
    <w:p>
      <w:pPr>
        <w:pStyle w:val="Heading2"/>
        <w:spacing w:line="480" w:lineRule="auto"/>
      </w:pPr>
      <w:r>
        <w:t xml:space="preserve">Why the two models cannot substitute for each other</w:t>
      </w:r>
    </w:p>
    <w:p>
      <w:pPr>
        <w:pStyle w:val="FirstParagraph"/>
        <w:spacing w:line="480" w:lineRule="auto"/>
      </w:pPr>
      <w:r>
        <w:t xml:space="preserve">Chapter 3 has claimed the cross-sectional and temporal predictions are complementary, and the theory should defend that claim rather than assert it. The two models estimate different conditional expectations of different outcomes, and no monotone transformation turns one into the other. The cross-sectional model asks how the topic-signal score, a term-hit intensity, varies with three predictors at the moment of observation. The temporal model asks how accumulated citation, a stock that grows with exposure, varies with age. Signal intensity and citation stock are distinct quantities: a paper can be squarely on topic and uncited, or tangential and heavily cited for reasons unrelated to the theme</w:t>
      </w:r>
      <w:r>
        <w:t xml:space="preserve"> </w:t>
      </w:r>
      <w:hyperlink w:anchor="ref-4">
        <w:r>
          <w:rPr>
            <w:rStyle w:val="Hyperlink"/>
          </w:rPr>
          <w:t xml:space="preserve">[4]</w:t>
        </w:r>
      </w:hyperlink>
      <w:r>
        <w:t xml:space="preserve">. Because the outcomes differ, a result on one carries no logical implication for the other.</w:t>
      </w:r>
    </w:p>
    <w:p>
      <w:pPr>
        <w:pStyle w:val="BodyText"/>
        <w:spacing w:line="480" w:lineRule="auto"/>
        <w:ind w:firstLine="720"/>
      </w:pPr>
      <w:r>
        <w:t xml:space="preserve">This independence is what makes their joint pattern diagnostic. The baseline holds. Four combinations are possible, and each describes a different world. Structure in both models would describe a mature, accumulating field. Structure in the cross-section but not the temporal model would describe a recent surge without an established citation base, a field caught mid-emergence. Structure in the temporal model but not the cross-section would describe an aging field whose attention accumulated before the current vocabulary settled. And structure in neither would describe either a very young topic or a corpus too noisy to read. The theory does not predict which cell the data will occupy; it predicts that the cell is informative, and it commits to reading whichever cell appears through the evidence ladder rather than forcing the data toward the emergence story</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87"/>
    <w:bookmarkStart w:id="88" w:name="X01913bda4b1e1d7e69c23c1f9c71d4d7f0794e1"/>
    <w:p>
      <w:pPr>
        <w:pStyle w:val="Heading2"/>
        <w:spacing w:line="480" w:lineRule="auto"/>
      </w:pPr>
      <w:r>
        <w:t xml:space="preserve">From metadata structure to the governance mechanism</w:t>
      </w:r>
    </w:p>
    <w:p>
      <w:pPr>
        <w:pStyle w:val="FirstParagraph"/>
        <w:spacing w:line="480" w:lineRule="auto"/>
      </w:pPr>
      <w:r>
        <w:t xml:space="preserve">The theory has so far stayed inside the measurement, and it should connect explicitly to the governance mechanism it ultimately serves, because a metadata prediction is only interesting if it maps to the institutional dynamic the dissertation cares about. The mapping runs through a simple chain. When a topic organizes its literature, that organization is a downstream trace of an operational community converging on shared practice: shared vocabulary, shared reference points, a recognized set of contributors</w:t>
      </w:r>
      <w:r>
        <w:t xml:space="preserve"> </w:t>
      </w:r>
      <w:hyperlink w:anchor="ref-9">
        <w:r>
          <w:rPr>
            <w:rStyle w:val="Hyperlink"/>
          </w:rPr>
          <w:t xml:space="preserve">[9]</w:t>
        </w:r>
      </w:hyperlink>
      <w:r>
        <w:t xml:space="preserve">. Convergence in practice is what an oversight body can certify, because certification needs a stable object to inspect. So a strong metadata footprint would be indirect evidence that the operational practice has stabilized enough to be governed by a fixed rule. A weak footprint would be indirect evidence that practice has not yet stabilized, and that fixed rules would be premature.</w:t>
      </w:r>
    </w:p>
    <w:p>
      <w:pPr>
        <w:pStyle w:val="BodyText"/>
        <w:spacing w:line="480" w:lineRule="auto"/>
        <w:ind w:firstLine="720"/>
      </w:pPr>
      <w:r>
        <w:t xml:space="preserve">This chain is why the empirical prediction has governance content rather than being a purely bibliometric curiosity. Adoption runs ahead. The screen cannot observe operational convergence directly; convergence lives in operations centers and in tacit judgment that does not publish</w:t>
      </w:r>
      <w:r>
        <w:t xml:space="preserve"> </w:t>
      </w:r>
      <w:hyperlink w:anchor="ref-3">
        <w:r>
          <w:rPr>
            <w:rStyle w:val="Hyperlink"/>
          </w:rPr>
          <w:t xml:space="preserve">[3]</w:t>
        </w:r>
      </w:hyperlink>
      <w:r>
        <w:t xml:space="preserve">. What the screen can observe is the documentary shadow that convergence eventually casts. The theory therefore predicts a correspondence, imperfect but real, between the metadata structure it measures and the operational maturity an auditor needs to assess. A confirmed cross-sectional and temporal structure would argue for codification; a null would argue for instrumentation and patience. The prediction is falsifiable at the metadata level, and its meaning is legible at the governance level, and the value of the design lies in joining those two levels through a single reproducible test</w:t>
      </w:r>
      <w:r>
        <w:t xml:space="preserve"> </w:t>
      </w:r>
      <w:hyperlink w:anchor="ref-6">
        <w:r>
          <w:rPr>
            <w:rStyle w:val="Hyperlink"/>
          </w:rPr>
          <w:t xml:space="preserve">[6]</w:t>
        </w:r>
      </w:hyperlink>
      <w:r>
        <w:t xml:space="preserve">.</w:t>
      </w:r>
    </w:p>
    <w:bookmarkEnd w:id="88"/>
    <w:bookmarkStart w:id="89" w:name="X92d428abd8bb67f45f70fef6e3d2e5bad999a92"/>
    <w:p>
      <w:pPr>
        <w:pStyle w:val="Heading2"/>
        <w:spacing w:line="480" w:lineRule="auto"/>
      </w:pPr>
      <w:r>
        <w:t xml:space="preserve">The precommitment that protects the inference</w:t>
      </w:r>
    </w:p>
    <w:p>
      <w:pPr>
        <w:pStyle w:val="FirstParagraph"/>
        <w:spacing w:line="480" w:lineRule="auto"/>
      </w:pPr>
      <w:r>
        <w:t xml:space="preserve">The most important feature of this framework is a precommitment made before any number is seen. The theory specifies, in advance, how each of the possible outcomes will be read, so that the reading cannot be reverse-engineered from whichever result appears. A significant positive recency coefficient will be read as cross-sectional structure consistent with emergence, subject to the named rivals. A significant positive age elasticity will be read as temporal accumulation. An insignificant coefficient with the predicted sign will be read as suggestive but insufficient, placed on the bottom rung of the ladder. And an insignificant coefficient with the wrong sign will be read as evidence against the directional part of the mechanism, not as noise to be excused. These readings are fixed here, in the theory chapter, precisely so that the results chapter cannot bend them.</w:t>
      </w:r>
    </w:p>
    <w:p>
      <w:pPr>
        <w:pStyle w:val="BodyText"/>
        <w:spacing w:line="480" w:lineRule="auto"/>
        <w:ind w:firstLine="720"/>
      </w:pPr>
      <w:r>
        <w:t xml:space="preserve">That precommitment is what separates a falsifiable design from a flexible narrative. The mapping is imperfect. A flexible narrative can absorb any result: a positive sign confirms emergence, a null shows the topic is still nascent, a negative sign shows a correction is underway. Every outcome becomes support, which means no outcome is a test. The framework here forecloses that flexibility by binding each outcome to a reading in advance and by committing to report the reading whether or not it flatters the emergence hypothesis</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89"/>
    <w:bookmarkStart w:id="90" w:name="the-scope-conditions-of-the-mechanism"/>
    <w:p>
      <w:pPr>
        <w:pStyle w:val="Heading2"/>
        <w:spacing w:line="480" w:lineRule="auto"/>
      </w:pPr>
      <w:r>
        <w:t xml:space="preserve">The scope conditions of the mechanism</w:t>
      </w:r>
    </w:p>
    <w:p>
      <w:pPr>
        <w:pStyle w:val="FirstParagraph"/>
        <w:spacing w:line="480" w:lineRule="auto"/>
      </w:pPr>
      <w:r>
        <w:t xml:space="preserve">Every mechanism holds only within scope conditions, and naming them is part of building an honest theory rather than a universal one. The emergence-leaves-a-footprint mechanism requires three conditions to license its predictions. First, the retrieval must be broad enough that a genuinely organized topic would surface in it; a retrieval that systematically missed the topic’s home venues could produce a null footprint for a mature field, breaking the mapping from footprint to maturity</w:t>
      </w:r>
      <w:r>
        <w:t xml:space="preserve"> </w:t>
      </w:r>
      <w:hyperlink w:anchor="ref-6">
        <w:r>
          <w:rPr>
            <w:rStyle w:val="Hyperlink"/>
          </w:rPr>
          <w:t xml:space="preserve">[6]</w:t>
        </w:r>
      </w:hyperlink>
      <w:r>
        <w:t xml:space="preserve">. Second, the metadata fields must be populated consistently across records, because a field that is present for some documents and absent for others would inject structure that reflects indexing practice rather than topical emergence</w:t>
      </w:r>
      <w:r>
        <w:t xml:space="preserve"> </w:t>
      </w:r>
      <w:hyperlink w:anchor="ref-4">
        <w:r>
          <w:rPr>
            <w:rStyle w:val="Hyperlink"/>
          </w:rPr>
          <w:t xml:space="preserve">[4]</w:t>
        </w:r>
      </w:hyperlink>
      <w:r>
        <w:t xml:space="preserve">. Third, the topic’s vocabulary must be stable enough that term matching tracks it; a topic whose terminology is still churning would scatter its own signal regardless of how organized the underlying practice had become</w:t>
      </w:r>
      <w:r>
        <w:t xml:space="preserve"> </w:t>
      </w:r>
      <w:hyperlink w:anchor="ref-3">
        <w:r>
          <w:rPr>
            <w:rStyle w:val="Hyperlink"/>
          </w:rPr>
          <w:t xml:space="preserve">[3]</w:t>
        </w:r>
      </w:hyperlink>
      <w:r>
        <w:t xml:space="preserve">.</w:t>
      </w:r>
    </w:p>
    <w:p>
      <w:pPr>
        <w:pStyle w:val="BodyText"/>
        <w:spacing w:line="480" w:lineRule="auto"/>
        <w:ind w:firstLine="720"/>
      </w:pPr>
      <w:r>
        <w:t xml:space="preserve">These conditions are not fully satisfied here, and the theory says so in advance so the results are read within the right envelope. Rigor over reach. The retrieval is a fixed local pack whose breadth is bounded, the citation field is inconsistently populated, and the vocabulary of agentic operations is itself young and unsettled. Each unmet condition biases the footprint toward faintness, which means a null result is consistent both with a genuinely immature topic and with a mature topic that the scope conditions prevented the screen from seeing. The mechanism therefore predicts its own limits: within scope it maps footprint to maturity, and near the edge of scope it warns that a faint footprint is ambiguous</w:t>
      </w:r>
      <w:r>
        <w:t xml:space="preserve"> </w:t>
      </w:r>
      <w:hyperlink w:anchor="ref-9">
        <w:r>
          <w:rPr>
            <w:rStyle w:val="Hyperlink"/>
          </w:rPr>
          <w:t xml:space="preserve">[9]</w:t>
        </w:r>
      </w:hyperlink>
      <w:r>
        <w:t xml:space="preserve">. Stating this before the estimators run is what keeps the following chapters from claiming a cleaner inference than the scope allows. The mechanism predicts, the microfoundation explains why each metadata field responds, the two models test independent facets, the rivals constrain the interpretation, the scope conditions bound the mapping, and the precommitment fixes the reading. What remains is to choose estimators that can actually adjudicate these predictions, which is the task of the next chapter.</w:t>
      </w:r>
    </w:p>
    <w:bookmarkEnd w:id="90"/>
    <w:bookmarkEnd w:id="91"/>
    <w:bookmarkStart w:id="101" w:name="chapter-4-methodology-and-identification"/>
    <w:p>
      <w:pPr>
        <w:pStyle w:val="Heading1"/>
        <w:spacing w:line="480" w:lineRule="auto"/>
      </w:pPr>
      <w:r>
        <w:t xml:space="preserve">Chapter 4: Methodology and Identification</w:t>
      </w:r>
    </w:p>
    <w:p>
      <w:pPr>
        <w:pStyle w:val="FirstParagraph"/>
        <w:spacing w:line="480" w:lineRule="auto"/>
      </w:pPr>
      <w:r>
        <w:t xml:space="preserve">The predictions from Chapter 3 are only as good as the estimators that adjudicate them. The claim stays small. This chapter specifies those estimators, explains why each fits the prediction it serves, and states plainly what each can and cannot identify. The guiding commitment is that identification claims should be no stronger than the design supports, and that the reader should be able to see exactly where the inference stops.</w:t>
      </w:r>
    </w:p>
    <w:bookmarkStart w:id="92" w:name="two-estimators-for-two-questions"/>
    <w:p>
      <w:pPr>
        <w:pStyle w:val="Heading2"/>
        <w:spacing w:line="480" w:lineRule="auto"/>
      </w:pPr>
      <w:r>
        <w:t xml:space="preserve">Two estimators for two questions</w:t>
      </w:r>
    </w:p>
    <w:p>
      <w:pPr>
        <w:pStyle w:val="FirstParagraph"/>
        <w:spacing w:line="480" w:lineRule="auto"/>
      </w:pPr>
      <w:r>
        <w:t xml:space="preserve">The dissertation uses two models because it asks two structurally different questions. The cross-sectional prediction, H1(a), is a question about how a signal varies across records at one point of observation. The temporal prediction, H1(b), is a question about how attention accumulates as records age. A single specification cannot answer both without conflating them, so the design keeps them separate and reports each on its own terms.</w:t>
      </w:r>
    </w:p>
    <w:p>
      <w:pPr>
        <w:pStyle w:val="BodyText"/>
        <w:spacing w:line="480" w:lineRule="auto"/>
        <w:ind w:firstLine="720"/>
      </w:pPr>
      <w:r>
        <w:t xml:space="preserve">The first estimator is ordinary least squares with robust HC1 standard errors. The dependent variable is the topic-signal score, and the predictors are the recency index, the local citation count, and the ordinal venue-family score. The specification recorded in the configuration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Ordinary least squares is the right tool for H1(a) for three reasons. The outcome is a bounded count that behaves approximately continuously across the observed range, so a linear conditional mean is a defensible first approximation. The question is explicitly about the partial association of each predictor with the signal, holding the others fixed, which is exactly what the coefficients report. And the estimator is transparent, so a skeptic can reproduce every number from the thirty rows without trusting a tuning choice. The HC1 correction guards against the heteroskedasticity that a metadata outcome, with its uneven variance across venues and years, is likely to exhibit</w:t>
      </w:r>
      <w:r>
        <w:t xml:space="preserve"> </w:t>
      </w:r>
      <w:hyperlink w:anchor="ref-4">
        <w:r>
          <w:rPr>
            <w:rStyle w:val="Hyperlink"/>
          </w:rPr>
          <w:t xml:space="preserve">[4]</w:t>
        </w:r>
      </w:hyperlink>
      <w:r>
        <w:t xml:space="preserve">.</w:t>
      </w:r>
    </w:p>
    <w:p>
      <w:pPr>
        <w:pStyle w:val="BodyText"/>
        <w:spacing w:line="480" w:lineRule="auto"/>
        <w:ind w:firstLine="720"/>
      </w:pPr>
      <w:r>
        <w:t xml:space="preserve">The second estimator is a log-log learning-curve model, again with robust HC1 standard errors. The dependent variable is the citation count plus one, logged so the transform is defined for uncited records, and the single predictor is the logged age index. The specification recorded in the configuration is</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The log-log form is the natural choice for H1(b) because it makes the slope an elasticity, a unit-free quantity that states the percentage change in accumulated citations per percentage change in age. Elasticities are how the learning-curve tradition summarizes accumulation, and expressing the result that way keeps it comparable to that tradition rather than to an arbitrary linear slope</w:t>
      </w:r>
      <w:r>
        <w:t xml:space="preserve"> </w:t>
      </w:r>
      <w:hyperlink w:anchor="ref-5">
        <w:r>
          <w:rPr>
            <w:rStyle w:val="Hyperlink"/>
          </w:rPr>
          <w:t xml:space="preserve">[5]</w:t>
        </w:r>
      </w:hyperlink>
      <w:r>
        <w:t xml:space="preserve">. The plus-one offset is a standard device for including zero-citation records in a log model without dropping them, which matters because dropping the uncited records would bias the sample toward exactly the documents most likely to show accumulation.</w:t>
      </w:r>
    </w:p>
    <w:bookmarkEnd w:id="92"/>
    <w:bookmarkStart w:id="93" w:name="why-these-identify-the-effect-they-claim"/>
    <w:p>
      <w:pPr>
        <w:pStyle w:val="Heading2"/>
        <w:spacing w:line="480" w:lineRule="auto"/>
      </w:pPr>
      <w:r>
        <w:t xml:space="preserve">Why these identify the effect they claim</w:t>
      </w:r>
    </w:p>
    <w:p>
      <w:pPr>
        <w:pStyle w:val="FirstParagraph"/>
        <w:spacing w:line="480" w:lineRule="auto"/>
      </w:pPr>
      <w:r>
        <w:t xml:space="preserve">Identification here is modest, and the chapter states that plainly. Neither model claims randomized assignment, and neither claims to recover a causal policy effect of agentic operations on the oversight regime. What each identifies is a conditional association inside the retrieved corpus, under assumptions the design makes explicit.</w:t>
      </w:r>
    </w:p>
    <w:p>
      <w:pPr>
        <w:pStyle w:val="BodyText"/>
        <w:spacing w:line="480" w:lineRule="auto"/>
        <w:ind w:firstLine="720"/>
      </w:pPr>
      <w:r>
        <w:t xml:space="preserve">For the ordinary least squares screen, identification of the partial associations requires that the included predictors are not systematically confounded with an omitted driver of the signal within the sample. This is a strong assumption in general and a weaker one here, because the outcome is a metadata construct rather than a behavioral variable. The signal cannot be caused by an unobserved operational decision in the way an economic outcome could be; it is a deterministic count of terms in text. What can confound it is measurement structure, such as venues that produce longer keyword fields, and the design addresses that by building the signal from four fields rather than one, so that no single field dominates</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identifying claim is thus about association, precisely stated, with the confounds named rather than assumed away.</w:t>
      </w:r>
    </w:p>
    <w:p>
      <w:pPr>
        <w:pStyle w:val="BodyText"/>
        <w:spacing w:line="480" w:lineRule="auto"/>
        <w:ind w:firstLine="720"/>
      </w:pPr>
      <w:r>
        <w:t xml:space="preserve">For the learning-curve model, identification of the age elasticity requires that age is not proxying for an omitted feature that independently drives citation. The obvious threat is that older documents differ from newer ones in topic composition, not just in exposure time. The design cannot eliminate this with thirty records, so it does not pretend to. Instead it reports the elasticity as the direct object of estimation and lets its sign and precision speak. A near-zero or imprecise elasticity is identified as evidence that age does not organize attention in this corpus, which is itself a finding under the evidence ladder from Chapter 3</w:t>
      </w:r>
      <w:r>
        <w:t xml:space="preserve"> </w:t>
      </w:r>
      <w:hyperlink w:anchor="ref-7">
        <w:r>
          <w:rPr>
            <w:rStyle w:val="Hyperlink"/>
          </w:rPr>
          <w:t xml:space="preserve">[7]</w:t>
        </w:r>
      </w:hyperlink>
      <w:r>
        <w:t xml:space="preserve">.</w:t>
      </w:r>
    </w:p>
    <w:bookmarkEnd w:id="93"/>
    <w:bookmarkStart w:id="94" w:name="threats-to-validity-mapped-to-the-design"/>
    <w:p>
      <w:pPr>
        <w:pStyle w:val="Heading2"/>
        <w:spacing w:line="480" w:lineRule="auto"/>
      </w:pPr>
      <w:r>
        <w:t xml:space="preserve">Threats to validity, mapped to the design</w:t>
      </w:r>
    </w:p>
    <w:p>
      <w:pPr>
        <w:pStyle w:val="FirstParagraph"/>
        <w:spacing w:line="480" w:lineRule="auto"/>
      </w:pPr>
      <w:r>
        <w:t xml:space="preserve">Four threats structure the identification, and each maps to a specific feature of the estimators.</w:t>
      </w:r>
    </w:p>
    <w:p>
      <w:pPr>
        <w:pStyle w:val="BodyText"/>
        <w:spacing w:line="480" w:lineRule="auto"/>
        <w:ind w:firstLine="720"/>
      </w:pPr>
      <w:r>
        <w:t xml:space="preserve">Source selection is the first. The local pack may not represent all relevant activity, so both models describe the retained corpus rather than the field at large. The design responds not by claiming representativeness but by preserving a source column on every row, so the universe is inspectable and a later study can widen it</w:t>
      </w:r>
      <w:r>
        <w:t xml:space="preserve"> </w:t>
      </w:r>
      <w:hyperlink w:anchor="ref-6">
        <w:r>
          <w:rPr>
            <w:rStyle w:val="Hyperlink"/>
          </w:rPr>
          <w:t xml:space="preserve">[6]</w:t>
        </w:r>
      </w:hyperlink>
      <w:r>
        <w:t xml:space="preserve">.</w:t>
      </w:r>
    </w:p>
    <w:p>
      <w:pPr>
        <w:pStyle w:val="BodyText"/>
        <w:spacing w:line="480" w:lineRule="auto"/>
        <w:ind w:firstLine="720"/>
      </w:pPr>
      <w:r>
        <w:t xml:space="preserve">Proxy measurement is the second. Citations, venue scores, and term-hit counts are proxies, not direct measures of governance maturity. The estimators are read accordingly: a coefficient is evidence about the proxy’s structure, and the prose never silently upgrades the proxy into the target concept it approximates</w:t>
      </w:r>
      <w:r>
        <w:t xml:space="preserve"> </w:t>
      </w:r>
      <w:hyperlink w:anchor="ref-4">
        <w:r>
          <w:rPr>
            <w:rStyle w:val="Hyperlink"/>
          </w:rPr>
          <w:t xml:space="preserve">[4]</w:t>
        </w:r>
      </w:hyperlink>
      <w:r>
        <w:t xml:space="preserve">.</w:t>
      </w:r>
    </w:p>
    <w:p>
      <w:pPr>
        <w:pStyle w:val="BodyText"/>
        <w:spacing w:line="480" w:lineRule="auto"/>
        <w:ind w:firstLine="720"/>
      </w:pPr>
      <w:r>
        <w:t xml:space="preserve">Omitted variables are the third. A metadata model cannot include every technical, institutional, or market driver of the signal. The robust standard errors do not fix omission, and the text does not pretend they do; they only make the reported precision honest about the noise the model does capture.</w:t>
      </w:r>
    </w:p>
    <w:p>
      <w:pPr>
        <w:pStyle w:val="BodyText"/>
        <w:spacing w:line="480" w:lineRule="auto"/>
        <w:ind w:firstLine="720"/>
      </w:pPr>
      <w:r>
        <w:t xml:space="preserve">Overinterpretation is the fourth and, in a policy-adjacent dissertation, the most dangerous. The prose can outrun the arithmetic if a suggestive sign is narrated as a mechanism. The design’s defense is procedural: every coefficient is reported with its p-value in Chapter 6, and the interpretation is bound to the reported precision, so an imprecise term is called imprecise regardless of how interesting its sign might be</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94"/>
    <w:bookmarkStart w:id="95" w:name="Xf333eab16142522da41818c449dfb25f26a9f7e"/>
    <w:p>
      <w:pPr>
        <w:pStyle w:val="Heading2"/>
        <w:spacing w:line="480" w:lineRule="auto"/>
      </w:pPr>
      <w:r>
        <w:t xml:space="preserve">Reproducibility as an identification property</w:t>
      </w:r>
    </w:p>
    <w:p>
      <w:pPr>
        <w:pStyle w:val="FirstParagraph"/>
        <w:spacing w:line="480" w:lineRule="auto"/>
      </w:pPr>
      <w:r>
        <w:t xml:space="preserve">There is a final sense in which this design identifies its effect, and it is one that conventional treatments underweight. Because the corpus is fixed, the variables are deterministic functions of documented fields, and the estimators are standard, the entire chain from source to coefficient is reproducible without any private judgment. Reproducibility is not usually listed as an identification property, but in a design-stage screen it is close to one, because it removes the analyst’s discretion as a source of the result. Two researchers running the recorded specification on the recorded rows must obtain the same coefficients, which means any disagreement about the finding is a disagreement about interpretation, not about arithmetic</w:t>
      </w:r>
      <w:r>
        <w:t xml:space="preserve"> </w:t>
      </w:r>
      <w:hyperlink w:anchor="ref-8">
        <w:r>
          <w:rPr>
            <w:rStyle w:val="Hyperlink"/>
          </w:rPr>
          <w:t xml:space="preserve">[8]</w:t>
        </w:r>
      </w:hyperlink>
      <w:r>
        <w:t xml:space="preserve"> </w:t>
      </w:r>
      <w:hyperlink w:anchor="ref-9">
        <w:r>
          <w:rPr>
            <w:rStyle w:val="Hyperlink"/>
          </w:rPr>
          <w:t xml:space="preserve">[9]</w:t>
        </w:r>
      </w:hyperlink>
      <w:r>
        <w:t xml:space="preserve">. That property is what lets the next chapter present the data and the following one present the numbers with equal confidence that a reader could regenerate both.</w:t>
      </w:r>
    </w:p>
    <w:bookmarkEnd w:id="95"/>
    <w:bookmarkStart w:id="96" w:name="Xac04a0f70871a5c64e2b6ba98216eb8c51d225b"/>
    <w:p>
      <w:pPr>
        <w:pStyle w:val="Heading2"/>
        <w:spacing w:line="480" w:lineRule="auto"/>
      </w:pPr>
      <w:r>
        <w:t xml:space="preserve">Statistical power and the interpretation of nulls</w:t>
      </w:r>
    </w:p>
    <w:p>
      <w:pPr>
        <w:pStyle w:val="FirstParagraph"/>
        <w:spacing w:line="480" w:lineRule="auto"/>
      </w:pPr>
      <w:r>
        <w:t xml:space="preserve">A methodology chapter that does not confront its own power is incomplete, and here the confrontation is unavoidable because N equals thirty. With thirty observations and, in the first model, three predictors plus an intercept, the residual degrees of freedom are twenty-six, which is enough to estimate coefficients but not enough to resolve a small effect against noise. This is a design constraint, not an accident, and the honest response is to state in advance how a null will be read given it. A statistically insignificant coefficient in this design does not establish that the corresponding effect is zero. It establishes that, if an effect of ordinary size exists, this corpus is too small and too noisy to distinguish it from zero. Those are different claims, and conflating them is the most common error in the interpretation of underpowered studies</w:t>
      </w:r>
      <w:r>
        <w:t xml:space="preserve"> </w:t>
      </w:r>
      <w:hyperlink w:anchor="ref-5">
        <w:r>
          <w:rPr>
            <w:rStyle w:val="Hyperlink"/>
          </w:rPr>
          <w:t xml:space="preserve">[5]</w:t>
        </w:r>
      </w:hyperlink>
      <w:r>
        <w:t xml:space="preserve">.</w:t>
      </w:r>
    </w:p>
    <w:p>
      <w:pPr>
        <w:pStyle w:val="BodyText"/>
        <w:spacing w:line="480" w:lineRule="auto"/>
        <w:ind w:firstLine="720"/>
      </w:pPr>
      <w:r>
        <w:t xml:space="preserve">The design turns this limitation into information rather than hiding it. Because the theory predicts that a young topic produces a faint signal, low power and a genuinely emergent-but-immature topic produce the same observable: an insignificant result with a possibly correct sign. The design cannot separate these two explanations with the data at hand, and it does not pretend to. What it can do is report the point estimate and its sign alongside the p-value, so that a reader sees both the direction the data lean and the imprecision that forbids relying on it. A recency coefficient that is positive but insignificant is reported as exactly that, and the reader is told that the result is consistent with youth, consistent with a true null, and consistent with low power, without ranking those explanations beyond what the numbers support</w:t>
      </w:r>
      <w:r>
        <w:t xml:space="preserve"> </w:t>
      </w:r>
      <w:hyperlink w:anchor="ref-3">
        <w:r>
          <w:rPr>
            <w:rStyle w:val="Hyperlink"/>
          </w:rPr>
          <w:t xml:space="preserve">[3]</w:t>
        </w:r>
      </w:hyperlink>
      <w:r>
        <w:t xml:space="preserve">. This is the disciplined use of an underpowered screen: it narrows the space of live hypotheses without closing it.</w:t>
      </w:r>
    </w:p>
    <w:bookmarkEnd w:id="96"/>
    <w:bookmarkStart w:id="97" w:name="X9876e6314d03230a36aa0c59fd57e99e92bd684"/>
    <w:p>
      <w:pPr>
        <w:pStyle w:val="Heading2"/>
        <w:spacing w:line="480" w:lineRule="auto"/>
      </w:pPr>
      <w:r>
        <w:t xml:space="preserve">Robustness posture and what was deliberately not done</w:t>
      </w:r>
    </w:p>
    <w:p>
      <w:pPr>
        <w:pStyle w:val="FirstParagraph"/>
        <w:spacing w:line="480" w:lineRule="auto"/>
      </w:pPr>
      <w:r>
        <w:t xml:space="preserve">Robustness checks are a virtue in a well-powered study and a trap in a small one, because with thirty rows every alternative specification is itself underpowered, and running many of them invites the selection of whichever happens to reach significance. The design therefore adopts a restrained robustness posture, and states it openly rather than burying it. The HC1 correction is applied because heteroskedasticity across venues and years is expected on theoretical grounds, not because a battery of specification searches selected it</w:t>
      </w:r>
      <w:r>
        <w:t xml:space="preserve"> </w:t>
      </w:r>
      <w:hyperlink w:anchor="ref-4">
        <w:r>
          <w:rPr>
            <w:rStyle w:val="Hyperlink"/>
          </w:rPr>
          <w:t xml:space="preserve">[4]</w:t>
        </w:r>
      </w:hyperlink>
      <w:r>
        <w:t xml:space="preserve">. The plus-one offset in the temporal model is a principled device for retaining zero-citation records, not a tuning choice, and no alternative offset was searched for a better fit</w:t>
      </w:r>
      <w:r>
        <w:t xml:space="preserve"> </w:t>
      </w:r>
      <w:hyperlink w:anchor="ref-5">
        <w:r>
          <w:rPr>
            <w:rStyle w:val="Hyperlink"/>
          </w:rPr>
          <w:t xml:space="preserve">[5]</w:t>
        </w:r>
      </w:hyperlink>
      <w:r>
        <w:t xml:space="preserve">. No predictors were added or dropped after seeing the results, because with this N such data-driven specification would manufacture significance rather than reveal it.</w:t>
      </w:r>
    </w:p>
    <w:p>
      <w:pPr>
        <w:pStyle w:val="BodyText"/>
        <w:spacing w:line="480" w:lineRule="auto"/>
        <w:ind w:firstLine="720"/>
      </w:pPr>
      <w:r>
        <w:t xml:space="preserve">What was deliberately not done is as much a part of the method as what was done. The design did not fit interaction terms, because twenty-six residual degrees of freedom cannot support them credibly. It did not partition the sample by venue and re-estimate, because each partition would be a handful of rows. It did not report a preferred alternative model chosen for its fit. Each of these omissions protects the falsifiability of the single test, because every additional specification is a fresh opportunity for a null to be overturned by chance. The methodology’s core commitment is that one pre-specified test, honestly reported, is worth more than a dozen post hoc ones, and the restraint is what keeps the eventual result interpretable</w:t>
      </w:r>
      <w:r>
        <w:t xml:space="preserve"> </w:t>
      </w:r>
      <w:hyperlink w:anchor="ref-7">
        <w:r>
          <w:rPr>
            <w:rStyle w:val="Hyperlink"/>
          </w:rPr>
          <w:t xml:space="preserve">[7]</w:t>
        </w:r>
      </w:hyperlink>
      <w:r>
        <w:t xml:space="preserve"> </w:t>
      </w:r>
      <w:hyperlink w:anchor="ref-8">
        <w:r>
          <w:rPr>
            <w:rStyle w:val="Hyperlink"/>
          </w:rPr>
          <w:t xml:space="preserve">[8]</w:t>
        </w:r>
      </w:hyperlink>
      <w:r>
        <w:t xml:space="preserve">. A reader who wants more specifications is not being denied them arbitrarily; they are being told that this corpus cannot support them, which is the same honesty the power discussion demands.</w:t>
      </w:r>
    </w:p>
    <w:bookmarkEnd w:id="97"/>
    <w:bookmarkStart w:id="98" w:name="Xe1b551c1afa21d2cf46fb982b1dbda7a2a623f3"/>
    <w:p>
      <w:pPr>
        <w:pStyle w:val="Heading2"/>
        <w:spacing w:line="480" w:lineRule="auto"/>
      </w:pPr>
      <w:r>
        <w:t xml:space="preserve">Why ordinary least squares over a count model</w:t>
      </w:r>
    </w:p>
    <w:p>
      <w:pPr>
        <w:pStyle w:val="FirstParagraph"/>
        <w:spacing w:line="480" w:lineRule="auto"/>
      </w:pPr>
      <w:r>
        <w:t xml:space="preserve">A careful methodologist will ask why the cross-sectional outcome, a count of term-hits, is modeled with ordinary least squares rather than with a count-data estimator such as Poisson or negative binomial regression, since the outcome is a non-negative integer. The question deserves a direct answer, because the choice is defensible but not automatic. A count estimator would be preferable if the outcome ranged over many integer values with a long right tail and if the substantive interest were in the multiplicative structure of the count-generating process. Neither condition holds strongly here. The signal score occupies a narrow range of small integers, so its behavior over the observed support is close to continuous, and the substantive interest is in the additive partial association of each predictor with the signal, which the linear coefficient reports directly and transparently</w:t>
      </w:r>
      <w:r>
        <w:t xml:space="preserve"> </w:t>
      </w:r>
      <w:hyperlink w:anchor="ref-4">
        <w:r>
          <w:rPr>
            <w:rStyle w:val="Hyperlink"/>
          </w:rPr>
          <w:t xml:space="preserve">[4]</w:t>
        </w:r>
      </w:hyperlink>
      <w:r>
        <w:t xml:space="preserve">.</w:t>
      </w:r>
    </w:p>
    <w:p>
      <w:pPr>
        <w:pStyle w:val="BodyText"/>
        <w:spacing w:line="480" w:lineRule="auto"/>
        <w:ind w:firstLine="720"/>
      </w:pPr>
      <w:r>
        <w:t xml:space="preserve">There is also a reproducibility argument for the simpler estimator. Ordinary least squares with a robust variance estimator is the specification a skeptic is least likely to dispute on grounds of hidden assumptions, because its coefficients are conditional-mean partial slopes that require no link function or dispersion parameter to interpret. A count model introduces a link and, in the negative binomial case, a dispersion parameter that must itself be estimated from thirty rows, adding estimation burden and a fresh assumption for a skeptic to contest</w:t>
      </w:r>
      <w:r>
        <w:t xml:space="preserve"> </w:t>
      </w:r>
      <w:hyperlink w:anchor="ref-5">
        <w:r>
          <w:rPr>
            <w:rStyle w:val="Hyperlink"/>
          </w:rPr>
          <w:t xml:space="preserve">[5]</w:t>
        </w:r>
      </w:hyperlink>
      <w:r>
        <w:t xml:space="preserve">. For a design whose central virtue is that any reader can regenerate and understand every number, the transparency of the linear form outweighs the modest efficiency a count model might buy over this narrow, small-count outcome. The choice is stated openly here so that a reader who would have preferred a count model can see that the alternative was considered and set aside on principled grounds rather than overlooked.</w:t>
      </w:r>
    </w:p>
    <w:bookmarkEnd w:id="98"/>
    <w:bookmarkStart w:id="99" w:name="X902530a711ec9d68737954aab7ec6f8fe247379"/>
    <w:p>
      <w:pPr>
        <w:pStyle w:val="Heading2"/>
        <w:spacing w:line="480" w:lineRule="auto"/>
      </w:pPr>
      <w:r>
        <w:t xml:space="preserve">The learning-curve form as a substantive commitment</w:t>
      </w:r>
    </w:p>
    <w:p>
      <w:pPr>
        <w:pStyle w:val="FirstParagraph"/>
        <w:spacing w:line="480" w:lineRule="auto"/>
      </w:pPr>
      <w:r>
        <w:t xml:space="preserve">The temporal model’s log-log form is not merely a convenient transformation; it encodes a substantive theory of how attention accumulates, and the methodology should own that commitment rather than treat it as a technicality. A learning curve posits that a proportional change in exposure yields a proportional change in outcome, so that the relationship is linear in logs and the slope is a constant elasticity. Applied to citation accumulation, the form assumes that doubling a document’s age changes accumulated attention by a constant percentage regardless of where on the age range the doubling occurs. That is a real assumption, and it could be wrong: attention might accumulate in bursts tied to specific events rather than smoothly with age</w:t>
      </w:r>
      <w:r>
        <w:t xml:space="preserve"> </w:t>
      </w:r>
      <w:hyperlink w:anchor="ref-5">
        <w:r>
          <w:rPr>
            <w:rStyle w:val="Hyperlink"/>
          </w:rPr>
          <w:t xml:space="preserve">[5]</w:t>
        </w:r>
      </w:hyperlink>
      <w:r>
        <w:t xml:space="preserve">. The design accepts the constant-elasticity assumption because it is the standard, interpretable summary of accumulation and because thirty records cannot support a more flexible functional form without overfitting.</w:t>
      </w:r>
    </w:p>
    <w:p>
      <w:pPr>
        <w:pStyle w:val="BodyText"/>
        <w:spacing w:line="480" w:lineRule="auto"/>
        <w:ind w:firstLine="720"/>
      </w:pPr>
      <w:r>
        <w:t xml:space="preserve">The progress ratio makes the commitment legible. Expressing the elasticity as two-raised-to-the-slope translates the abstract coefficient into a statement about what happens to accumulated citations at each doubling of age, which is the quantity a reader can actually reason about</w:t>
      </w:r>
      <w:r>
        <w:t xml:space="preserve"> </w:t>
      </w:r>
      <w:hyperlink w:anchor="ref-8">
        <w:r>
          <w:rPr>
            <w:rStyle w:val="Hyperlink"/>
          </w:rPr>
          <w:t xml:space="preserve">[8]</w:t>
        </w:r>
      </w:hyperlink>
      <w:r>
        <w:t xml:space="preserve">. Choosing to report the result in this form is a decision to make the temporal finding comparable to the learning-curve tradition and interpretable to a non-specialist, at the cost of assuming a smoothness the data cannot fully verify. That tradeoff is stated here so that the results chapter can report the elasticity and its progress ratio as the pre-committed summary of the temporal test, rather than as one convenient framing selected among many after the numbers were in hand</w:t>
      </w:r>
      <w:r>
        <w:t xml:space="preserve"> </w:t>
      </w:r>
      <w:hyperlink w:anchor="ref-7">
        <w:r>
          <w:rPr>
            <w:rStyle w:val="Hyperlink"/>
          </w:rPr>
          <w:t xml:space="preserve">[7]</w:t>
        </w:r>
      </w:hyperlink>
      <w:r>
        <w:t xml:space="preserve">.</w:t>
      </w:r>
    </w:p>
    <w:bookmarkEnd w:id="99"/>
    <w:bookmarkStart w:id="100" w:name="Xe673cfac865cfffddb8bb6f35bb6ab5f4199ae9"/>
    <w:p>
      <w:pPr>
        <w:pStyle w:val="Heading2"/>
        <w:spacing w:line="480" w:lineRule="auto"/>
      </w:pPr>
      <w:r>
        <w:t xml:space="preserve">Identification and the counterfactual it implies</w:t>
      </w:r>
    </w:p>
    <w:p>
      <w:pPr>
        <w:pStyle w:val="FirstParagraph"/>
        <w:spacing w:line="480" w:lineRule="auto"/>
      </w:pPr>
      <w:r>
        <w:t xml:space="preserve">Every identification claim carries an implicit counterfactual, and making it explicit clarifies exactly what the two models do and do not recover. For the cross-sectional screen, the counterfactual behind the recency coefficient is: holding citation and venue fixed, what would a record’s signal score have been had it been published one year later? The model answers that question as an association within the corpus, and its answer is credible only insofar as records differing in recency do not also differ systematically in an omitted driver of the signal</w:t>
      </w:r>
      <w:r>
        <w:t xml:space="preserve"> </w:t>
      </w:r>
      <w:hyperlink w:anchor="ref-4">
        <w:r>
          <w:rPr>
            <w:rStyle w:val="Hyperlink"/>
          </w:rPr>
          <w:t xml:space="preserve">[4]</w:t>
        </w:r>
      </w:hyperlink>
      <w:r>
        <w:t xml:space="preserve">. The design cannot guarantee that, so the counterfactual is associational rather than causal, and the prose keeps it that way. Naming the counterfactual is what prevents the coefficient from being read as a policy lever, which it is not.</w:t>
      </w:r>
    </w:p>
    <w:p>
      <w:pPr>
        <w:pStyle w:val="BodyText"/>
        <w:spacing w:line="480" w:lineRule="auto"/>
        <w:ind w:firstLine="720"/>
      </w:pPr>
      <w:r>
        <w:t xml:space="preserve">For the temporal screen, the counterfactual behind the age elasticity is: holding nothing else, what would a record’s accumulated citation have been had it been twice as old? This is a weaker counterfactual because age is the only regressor, so it makes no attempt to hold competing drivers fixed; it simply describes how accumulated attention covaries with exposure time across the corpus</w:t>
      </w:r>
      <w:r>
        <w:t xml:space="preserve"> </w:t>
      </w:r>
      <w:hyperlink w:anchor="ref-5">
        <w:r>
          <w:rPr>
            <w:rStyle w:val="Hyperlink"/>
          </w:rPr>
          <w:t xml:space="preserve">[5]</w:t>
        </w:r>
      </w:hyperlink>
      <w:r>
        <w:t xml:space="preserve">. The weakness is deliberate and honest: a single-regressor learning curve is a description of accumulation, not an isolation of an age effect from everything else that changes with age. By stating both counterfactuals plainly, the design fixes the interpretive ceiling before the results appear, so that neither coefficient can be quietly promoted from the association it identifies to the causal claim it does not</w:t>
      </w:r>
      <w:r>
        <w:t xml:space="preserve"> </w:t>
      </w:r>
      <w:hyperlink w:anchor="ref-7">
        <w:r>
          <w:rPr>
            <w:rStyle w:val="Hyperlink"/>
          </w:rPr>
          <w:t xml:space="preserve">[7]</w:t>
        </w:r>
      </w:hyperlink>
      <w:r>
        <w:t xml:space="preserve"> </w:t>
      </w:r>
      <w:hyperlink w:anchor="ref-9">
        <w:r>
          <w:rPr>
            <w:rStyle w:val="Hyperlink"/>
          </w:rPr>
          <w:t xml:space="preserve">[9]</w:t>
        </w:r>
      </w:hyperlink>
      <w:r>
        <w:t xml:space="preserve">. That ceiling is the honest boundary of what the two estimators, applied to thirty auditable rows, are entitled to say.</w:t>
      </w:r>
    </w:p>
    <w:bookmarkEnd w:id="100"/>
    <w:bookmarkEnd w:id="101"/>
    <w:bookmarkStart w:id="111" w:name="chapter-5-data-and-measurement"/>
    <w:p>
      <w:pPr>
        <w:pStyle w:val="Heading1"/>
        <w:spacing w:line="480" w:lineRule="auto"/>
      </w:pPr>
      <w:r>
        <w:t xml:space="preserve">Chapter 5: Data and Measurement</w:t>
      </w:r>
    </w:p>
    <w:p>
      <w:pPr>
        <w:pStyle w:val="FirstParagraph"/>
        <w:spacing w:line="480" w:lineRule="auto"/>
      </w:pPr>
      <w:r>
        <w:t xml:space="preserve">Every claim in this dissertation reduces to thirty rows. This chapter documents those rows: where they come from, how each variable is built, and what a reader would have to do to regenerate them. The standard the chapter holds itself to is that a skeptic with the source corpus should be able to reconstruct every number in Chapter 6 without asking the author for anything.</w:t>
      </w:r>
    </w:p>
    <w:bookmarkStart w:id="102" w:name="the-source-universe"/>
    <w:p>
      <w:pPr>
        <w:pStyle w:val="Heading2"/>
        <w:spacing w:line="480" w:lineRule="auto"/>
      </w:pPr>
      <w:r>
        <w:t xml:space="preserve">The source universe</w:t>
      </w:r>
    </w:p>
    <w:p>
      <w:pPr>
        <w:pStyle w:val="FirstParagraph"/>
        <w:spacing w:line="480" w:lineRule="auto"/>
      </w:pPr>
      <w:r>
        <w:t xml:space="preserve">The data are drawn from a fixed local source corpus assembled for the candidate topic, agentic NOC and SOC operation for space missions set against GAO-25-108138. The pack is not a random sample of the world’s literature; it is a retrieved corpus, and the dissertation treats it that way throughout. Each retrieved record carries a source identifier, either a resolvable link to a conference proceeding or a digital object identifier for an archival article, and that identifier is preserved as a column on every data row. Preserving the source is what makes the workbook auditable, because it lets a reader walk from any coefficient back to the exact document that contributed to it.</w:t>
      </w:r>
    </w:p>
    <w:p>
      <w:pPr>
        <w:pStyle w:val="BodyText"/>
        <w:spacing w:line="480" w:lineRule="auto"/>
        <w:ind w:firstLine="720"/>
      </w:pPr>
      <w:r>
        <w:t xml:space="preserve">The retrieved records span roughly a decade. The earliest is 2016 work on satellite electromagnetic interference detection and mitigation</w:t>
      </w:r>
      <w:r>
        <w:t xml:space="preserve"> </w:t>
      </w:r>
      <w:hyperlink w:anchor="ref-1">
        <w:r>
          <w:rPr>
            <w:rStyle w:val="Hyperlink"/>
          </w:rPr>
          <w:t xml:space="preserve">[1]</w:t>
        </w:r>
      </w:hyperlink>
      <w:r>
        <w:t xml:space="preserve">. The most recent are 2025 syntheses, including the survey of agent-based approaches to distributed space systems and mission management</w:t>
      </w:r>
      <w:r>
        <w:t xml:space="preserve"> </w:t>
      </w:r>
      <w:hyperlink w:anchor="ref-9">
        <w:r>
          <w:rPr>
            <w:rStyle w:val="Hyperlink"/>
          </w:rPr>
          <w:t xml:space="preserve">[9]</w:t>
        </w:r>
      </w:hyperlink>
      <w:r>
        <w:t xml:space="preserve"> </w:t>
      </w:r>
      <w:r>
        <w:t xml:space="preserve">and methodological work integrating artificial intelligence into space operations</w:t>
      </w:r>
      <w:r>
        <w:t xml:space="preserve"> </w:t>
      </w:r>
      <w:hyperlink w:anchor="ref-5">
        <w:r>
          <w:rPr>
            <w:rStyle w:val="Hyperlink"/>
          </w:rPr>
          <w:t xml:space="preserve">[5]</w:t>
        </w:r>
      </w:hyperlink>
      <w:r>
        <w:t xml:space="preserve">. Between those endpoints sit relay-architecture papers</w:t>
      </w:r>
      <w:r>
        <w:t xml:space="preserve"> </w:t>
      </w:r>
      <w:hyperlink w:anchor="ref-2">
        <w:r>
          <w:rPr>
            <w:rStyle w:val="Hyperlink"/>
          </w:rPr>
          <w:t xml:space="preserve">[2]</w:t>
        </w:r>
      </w:hyperlink>
      <w:r>
        <w:t xml:space="preserve">, proliferated sensor network studies</w:t>
      </w:r>
      <w:r>
        <w:t xml:space="preserve"> </w:t>
      </w:r>
      <w:hyperlink w:anchor="ref-4">
        <w:r>
          <w:rPr>
            <w:rStyle w:val="Hyperlink"/>
          </w:rPr>
          <w:t xml:space="preserve">[4]</w:t>
        </w:r>
      </w:hyperlink>
      <w:r>
        <w:t xml:space="preserve">, reinforcement-learning tasking work</w:t>
      </w:r>
      <w:r>
        <w:t xml:space="preserve"> </w:t>
      </w:r>
      <w:hyperlink w:anchor="ref-7">
        <w:r>
          <w:rPr>
            <w:rStyle w:val="Hyperlink"/>
          </w:rPr>
          <w:t xml:space="preserve">[7]</w:t>
        </w:r>
      </w:hyperlink>
      <w:r>
        <w:t xml:space="preserve">, and human-machine trust research</w:t>
      </w:r>
      <w:r>
        <w:t xml:space="preserve"> </w:t>
      </w:r>
      <w:hyperlink w:anchor="ref-3">
        <w:r>
          <w:rPr>
            <w:rStyle w:val="Hyperlink"/>
          </w:rPr>
          <w:t xml:space="preserve">[3]</w:t>
        </w:r>
      </w:hyperlink>
      <w:r>
        <w:t xml:space="preserve">. The decade of range is deliberate, because both the recency index and the age index need spread to detect a temporal signal if one exists.</w:t>
      </w:r>
    </w:p>
    <w:p>
      <w:pPr>
        <w:pStyle w:val="BodyText"/>
        <w:spacing w:line="480" w:lineRule="auto"/>
        <w:ind w:firstLine="720"/>
      </w:pPr>
      <w:r>
        <w:t xml:space="preserve">Both estimation files contain the same thirty retrieved source records, N equals 30. The two papers draw different variables from that shared universe, but they agree on the underlying documents, which is what allows the cross-sectional and temporal results to be read as two views of one corpus rather than two unrelated samples.</w:t>
      </w:r>
    </w:p>
    <w:bookmarkEnd w:id="102"/>
    <w:bookmarkStart w:id="103" w:name="variables-for-the-cross-sectional-screen"/>
    <w:p>
      <w:pPr>
        <w:pStyle w:val="Heading2"/>
        <w:spacing w:line="480" w:lineRule="auto"/>
      </w:pPr>
      <w:r>
        <w:t xml:space="preserve">Variables for the cross-sectional screen</w:t>
      </w:r>
    </w:p>
    <w:p>
      <w:pPr>
        <w:pStyle w:val="FirstParagraph"/>
        <w:spacing w:line="480" w:lineRule="auto"/>
      </w:pPr>
      <w:r>
        <w:t xml:space="preserve">The first paper constructs four variables from source metadata, and each has an exact recorded definition.</w:t>
      </w:r>
    </w:p>
    <w:p>
      <w:pPr>
        <w:pStyle w:val="BodyText"/>
        <w:spacing w:line="480" w:lineRule="auto"/>
        <w:ind w:firstLine="720"/>
      </w:pPr>
      <w:r>
        <w:t xml:space="preserve">The outcome is the topic-signal score. It is a composite topic-signal score for each retrieved source record, built as a deterministic count of candidate-theme term hits across the source title, snippet, keyword field, and author metadata. Because the count draws on four fields rather than one, no single field can dominate it, which is the design’s first defense against venue-driven inflation of the signal. In the observed data the score is small and discrete, running from one upward, which reflects that most retrieved records touch the theme lightly and a few touch it squarely.</w:t>
      </w:r>
    </w:p>
    <w:p>
      <w:pPr>
        <w:pStyle w:val="BodyText"/>
        <w:spacing w:line="480" w:lineRule="auto"/>
        <w:ind w:firstLine="720"/>
      </w:pPr>
      <w:r>
        <w:t xml:space="preserve">The first predictor is the recency index. It is computed as the publication year of a record minus the minimum publication year in the sample, plus one. The earliest record in the pack therefore receives a recency index of one, and each later year increments from there. This construction turns raw years into a clean ordinal spread anchored at the corpus floor, which is exactly the quantity the emergence mechanism predicts should correlate with the signal</w:t>
      </w:r>
      <w:r>
        <w:t xml:space="preserve"> </w:t>
      </w:r>
      <w:hyperlink w:anchor="ref-3">
        <w:r>
          <w:rPr>
            <w:rStyle w:val="Hyperlink"/>
          </w:rPr>
          <w:t xml:space="preserve">[3]</w:t>
        </w:r>
      </w:hyperlink>
      <w:r>
        <w:t xml:space="preserve">.</w:t>
      </w:r>
    </w:p>
    <w:p>
      <w:pPr>
        <w:pStyle w:val="BodyText"/>
        <w:spacing w:line="480" w:lineRule="auto"/>
        <w:ind w:firstLine="720"/>
      </w:pPr>
      <w:r>
        <w:t xml:space="preserve">The second predictor is the citation count, parsed from the local brain index citation field. Where the index reported no citation count, the value is set to zero. This is an honest but limiting choice, because a zero here means the local index recorded nothing, not that the document is genuinely uncited in the wider world. The variable is therefore a lower-bound proxy for attention, and Chapter 6 reads its coefficient against that limitation rather than treating it as a true citation total</w:t>
      </w:r>
      <w:r>
        <w:t xml:space="preserve"> </w:t>
      </w:r>
      <w:hyperlink w:anchor="ref-4">
        <w:r>
          <w:rPr>
            <w:rStyle w:val="Hyperlink"/>
          </w:rPr>
          <w:t xml:space="preserve">[4]</w:t>
        </w:r>
      </w:hyperlink>
      <w:r>
        <w:t xml:space="preserve">.</w:t>
      </w:r>
    </w:p>
    <w:p>
      <w:pPr>
        <w:pStyle w:val="BodyText"/>
        <w:spacing w:line="480" w:lineRule="auto"/>
        <w:ind w:firstLine="720"/>
      </w:pPr>
      <w:r>
        <w:t xml:space="preserve">The third predictor is the venue-family score, an ordinal code: AMOS proceedings equal one, Acta Astronautica equals two, and Space Economy outlets equal three. The ordering reflects a rough movement from fast conference channels toward slower archival and economics-adjacent venues. It is ordinal only, and the dissertation is explicit that a higher venue score is not a higher quality; it is a different publication family with different metadata conventions</w:t>
      </w:r>
      <w:r>
        <w:t xml:space="preserve"> </w:t>
      </w:r>
      <w:hyperlink w:anchor="ref-6">
        <w:r>
          <w:rPr>
            <w:rStyle w:val="Hyperlink"/>
          </w:rPr>
          <w:t xml:space="preserve">[6]</w:t>
        </w:r>
      </w:hyperlink>
      <w:r>
        <w:t xml:space="preserve">.</w:t>
      </w:r>
    </w:p>
    <w:bookmarkEnd w:id="103"/>
    <w:bookmarkStart w:id="104" w:name="variables-for-the-temporal-screen"/>
    <w:p>
      <w:pPr>
        <w:pStyle w:val="Heading2"/>
        <w:spacing w:line="480" w:lineRule="auto"/>
      </w:pPr>
      <w:r>
        <w:t xml:space="preserve">Variables for the temporal screen</w:t>
      </w:r>
    </w:p>
    <w:p>
      <w:pPr>
        <w:pStyle w:val="FirstParagraph"/>
        <w:spacing w:line="480" w:lineRule="auto"/>
      </w:pPr>
      <w:r>
        <w:t xml:space="preserve">The second paper draws two variables from the same thirty records, aimed at accumulation rather than cross-section.</w:t>
      </w:r>
    </w:p>
    <w:p>
      <w:pPr>
        <w:pStyle w:val="BodyText"/>
        <w:spacing w:line="480" w:lineRule="auto"/>
        <w:ind w:firstLine="720"/>
      </w:pPr>
      <w:r>
        <w:t xml:space="preserve">The outcome is the citation count plus one. It is the reported citation count from the local brain index plus one, offset so that the logarithm is defined for the uncited records. Without the offset, every zero-citation document would drop out of a log model, and those documents are disproportionately the recent ones, so dropping them would bias the accumulation estimate toward finding a curve that the full sample might not support. The plus-one device keeps the whole corpus in the estimation</w:t>
      </w:r>
      <w:r>
        <w:t xml:space="preserve"> </w:t>
      </w:r>
      <w:hyperlink w:anchor="ref-5">
        <w:r>
          <w:rPr>
            <w:rStyle w:val="Hyperlink"/>
          </w:rPr>
          <w:t xml:space="preserve">[5]</w:t>
        </w:r>
      </w:hyperlink>
      <w:r>
        <w:t xml:space="preserve">.</w:t>
      </w:r>
    </w:p>
    <w:p>
      <w:pPr>
        <w:pStyle w:val="BodyText"/>
        <w:spacing w:line="480" w:lineRule="auto"/>
        <w:ind w:firstLine="720"/>
      </w:pPr>
      <w:r>
        <w:t xml:space="preserve">The predictor is the age index, computed as 2026 minus the publication year, plus one. The most recent records receive an age index near one, and the oldest receive the largest values. Age and recency are mechanically related, but they serve different models and are read differently: recency enters the cross-sectional screen as a marker of freshness, while age enters the learning-curve model as exposure time over which attention could accumulate.</w:t>
      </w:r>
    </w:p>
    <w:bookmarkEnd w:id="104"/>
    <w:bookmarkStart w:id="105" w:name="from-metadata-to-rows-to-coefficients"/>
    <w:p>
      <w:pPr>
        <w:pStyle w:val="Heading2"/>
        <w:spacing w:line="480" w:lineRule="auto"/>
      </w:pPr>
      <w:r>
        <w:t xml:space="preserve">From metadata to rows to coefficients</w:t>
      </w:r>
    </w:p>
    <w:p>
      <w:pPr>
        <w:pStyle w:val="FirstParagraph"/>
        <w:spacing w:line="480" w:lineRule="auto"/>
      </w:pPr>
      <w:r>
        <w:t xml:space="preserve">The reproducible hierarchy is worth stating in full, because it is the spine of the auditability claim. The bibliography and source metadata establish the universe of documents. The paper CSV files fix that universe into thirty rows, each with its preserved source column. The configuration files define every variable and record the estimating formula in exact form. The workbooks then reproduce the estimator output from those rows and definitions, with nothing hidden between the data and the result. The dissertation narrative sits downstream of all of this; it interprets artifacts that already exist rather than asserting numbers the reader cannot check</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This ordering has a consequence that is easy to miss. Because the variables are deterministic functions of documented fields, there is no analyst discretion between the source corpus and the coefficients. A term either appears in a title or it does not. A year either exceeds the sample floor by four or it does not. The venue either is AMOS or is not. Every value can be recomputed from the recorded rules, which is what lets Chapter 6 present coefficients as measurements rather than as estimates that depend on choices the reader would have to trust</w:t>
      </w:r>
      <w:r>
        <w:t xml:space="preserve"> </w:t>
      </w:r>
      <w:hyperlink w:anchor="ref-9">
        <w:r>
          <w:rPr>
            <w:rStyle w:val="Hyperlink"/>
          </w:rPr>
          <w:t xml:space="preserve">[9]</w:t>
        </w:r>
      </w:hyperlink>
      <w:r>
        <w:t xml:space="preserve">.</w:t>
      </w:r>
    </w:p>
    <w:bookmarkEnd w:id="105"/>
    <w:bookmarkStart w:id="106" w:name="what-the-data-cannot-measure"/>
    <w:p>
      <w:pPr>
        <w:pStyle w:val="Heading2"/>
        <w:spacing w:line="480" w:lineRule="auto"/>
      </w:pPr>
      <w:r>
        <w:t xml:space="preserve">What the data cannot measure</w:t>
      </w:r>
    </w:p>
    <w:p>
      <w:pPr>
        <w:pStyle w:val="FirstParagraph"/>
        <w:spacing w:line="480" w:lineRule="auto"/>
      </w:pPr>
      <w:r>
        <w:t xml:space="preserve">Measurement validity depends on the fit between the question and the data, and honesty about that fit belongs in the data chapter rather than buried in a later caveat. The design is strongest when it asks whether the retained records contain observable structure, because that is a question the metadata can actually answer. It is weakest if read as proof of a causal effect operating outside the retained corpus, because no amount of clean metadata construction can reach a document that was never retrieved.</w:t>
      </w:r>
    </w:p>
    <w:p>
      <w:pPr>
        <w:pStyle w:val="BodyText"/>
        <w:spacing w:line="480" w:lineRule="auto"/>
        <w:ind w:firstLine="720"/>
      </w:pPr>
      <w:r>
        <w:t xml:space="preserve">Three limits follow directly from the construction. The citation variable is a local lower bound, so any attention effect is measured with a floor, not a true count</w:t>
      </w:r>
      <w:r>
        <w:t xml:space="preserve"> </w:t>
      </w:r>
      <w:hyperlink w:anchor="ref-4">
        <w:r>
          <w:rPr>
            <w:rStyle w:val="Hyperlink"/>
          </w:rPr>
          <w:t xml:space="preserve">[4]</w:t>
        </w:r>
      </w:hyperlink>
      <w:r>
        <w:t xml:space="preserve">. The venue variable is ordinal and confounded with publication practice, so its coefficient mixes substance with convention</w:t>
      </w:r>
      <w:r>
        <w:t xml:space="preserve"> </w:t>
      </w:r>
      <w:hyperlink w:anchor="ref-6">
        <w:r>
          <w:rPr>
            <w:rStyle w:val="Hyperlink"/>
          </w:rPr>
          <w:t xml:space="preserve">[6]</w:t>
        </w:r>
      </w:hyperlink>
      <w:r>
        <w:t xml:space="preserve">. And the topic-signal score, built by term matching, will register adjacent work that mentions the theme without being about it, which adds noise to the outcome and pushes the estimates toward the null</w:t>
      </w:r>
      <w:r>
        <w:t xml:space="preserve"> </w:t>
      </w:r>
      <w:hyperlink w:anchor="ref-3">
        <w:r>
          <w:rPr>
            <w:rStyle w:val="Hyperlink"/>
          </w:rPr>
          <w:t xml:space="preserve">[3]</w:t>
        </w:r>
      </w:hyperlink>
      <w:r>
        <w:t xml:space="preserve">. None of these is fatal to a design-stage screen, and each is carried forward into the results and discussion rather than resolved by assertion. The data are what they are: thirty auditable rows, sufficient to test whether the topic has organized this corpus, and insufficient to settle the governance question that organization would eventually inform</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106"/>
    <w:bookmarkStart w:id="107" w:name="X04bb58a9ac275bac824961ab8bfd60cf849e861"/>
    <w:p>
      <w:pPr>
        <w:pStyle w:val="Heading2"/>
        <w:spacing w:line="480" w:lineRule="auto"/>
      </w:pPr>
      <w:r>
        <w:t xml:space="preserve">The distributional shape of the observed variables</w:t>
      </w:r>
    </w:p>
    <w:p>
      <w:pPr>
        <w:pStyle w:val="FirstParagraph"/>
        <w:spacing w:line="480" w:lineRule="auto"/>
      </w:pPr>
      <w:r>
        <w:t xml:space="preserve">Understanding the results in Chapter 6 requires understanding the shape of the variables that feed them, because a coefficient’s meaning depends on the spread of the data behind it. The topic-signal score is small and discrete. Most records score at the low end, one or two term-hits, with a thin tail of records that sit more squarely on the theme. This right-skewed, low-variance outcome is exactly the distribution the microfoundation predicted for a young topic whose vocabulary has not yet migrated into titles and keywords. It also means the outcome carries limited variation for the predictors to explain, which mechanically caps how large an R2 the cross-sectional model can achieve regardless of whether a true relationship exists.</w:t>
      </w:r>
    </w:p>
    <w:p>
      <w:pPr>
        <w:pStyle w:val="BodyText"/>
        <w:spacing w:line="480" w:lineRule="auto"/>
        <w:ind w:firstLine="720"/>
      </w:pPr>
      <w:r>
        <w:t xml:space="preserve">The recency index spreads cleanly across the decade the corpus spans, anchored at one for the 2016 records and rising for each later year. This is the variable with the most usable variation, which is why the recency coefficient is the one the emergence mechanism most directly tests. The citation count, by contrast, is dominated by zeros, because the local index reported no citation figure for most records and those records were floored to zero per the recorded rule. A variable that is mostly zeros carries little information, and a coefficient estimated on it will tend toward imprecision no matter what the underlying attention pattern is</w:t>
      </w:r>
      <w:r>
        <w:t xml:space="preserve"> </w:t>
      </w:r>
      <w:hyperlink w:anchor="ref-4">
        <w:r>
          <w:rPr>
            <w:rStyle w:val="Hyperlink"/>
          </w:rPr>
          <w:t xml:space="preserve">[4]</w:t>
        </w:r>
      </w:hyperlink>
      <w:r>
        <w:t xml:space="preserve">. The venue-family score clusters at one, reflecting the AMOS-heavy composition of the pack, with fewer records at the archival-journal and economics-adjacent levels. That clustering means the venue coefficient is estimated off a modest number of higher-scored records, which limits how confidently its sign can be read</w:t>
      </w:r>
      <w:r>
        <w:t xml:space="preserve"> </w:t>
      </w:r>
      <w:hyperlink w:anchor="ref-6">
        <w:r>
          <w:rPr>
            <w:rStyle w:val="Hyperlink"/>
          </w:rPr>
          <w:t xml:space="preserve">[6]</w:t>
        </w:r>
      </w:hyperlink>
      <w:r>
        <w:t xml:space="preserve">.</w:t>
      </w:r>
    </w:p>
    <w:p>
      <w:pPr>
        <w:pStyle w:val="BodyText"/>
        <w:spacing w:line="480" w:lineRule="auto"/>
        <w:ind w:firstLine="720"/>
      </w:pPr>
      <w:r>
        <w:t xml:space="preserve">Two lessons follow for the reader of the results chapter. First, the variables most likely to show detectable structure are recency and, in the temporal model, age, because they have the widest spread. Second, the citation-based variables are the weakest instruments in the design, and any null on them should be attributed at least in part to the floored, zero-heavy distribution rather than to a genuine absence of attention effects</w:t>
      </w:r>
      <w:r>
        <w:t xml:space="preserve"> </w:t>
      </w:r>
      <w:hyperlink w:anchor="ref-5">
        <w:r>
          <w:rPr>
            <w:rStyle w:val="Hyperlink"/>
          </w:rPr>
          <w:t xml:space="preserve">[5]</w:t>
        </w:r>
      </w:hyperlink>
      <w:r>
        <w:t xml:space="preserve">. Naming these distributional facts before the coefficients appear is part of the auditability commitment: the reader should be able to anticipate which terms can carry weight and which cannot, from the data alone.</w:t>
      </w:r>
    </w:p>
    <w:bookmarkEnd w:id="107"/>
    <w:bookmarkStart w:id="108" w:name="provenance-and-the-audit-walk"/>
    <w:p>
      <w:pPr>
        <w:pStyle w:val="Heading2"/>
        <w:spacing w:line="480" w:lineRule="auto"/>
      </w:pPr>
      <w:r>
        <w:t xml:space="preserve">Provenance and the audit walk</w:t>
      </w:r>
    </w:p>
    <w:p>
      <w:pPr>
        <w:pStyle w:val="FirstParagraph"/>
        <w:spacing w:line="480" w:lineRule="auto"/>
      </w:pPr>
      <w:r>
        <w:t xml:space="preserve">The auditability claim is worth demonstrating concretely rather than asserting, because a reader is entitled to see the walk from coefficient back to document. Take the first record in both files, doc_id one. It is the 2016 AMOS paper on satellite-based electromagnetic interference detection, identification, and mitigation</w:t>
      </w:r>
      <w:r>
        <w:t xml:space="preserve"> </w:t>
      </w:r>
      <w:hyperlink w:anchor="ref-1">
        <w:r>
          <w:rPr>
            <w:rStyle w:val="Hyperlink"/>
          </w:rPr>
          <w:t xml:space="preserve">[1]</w:t>
        </w:r>
      </w:hyperlink>
      <w:r>
        <w:t xml:space="preserve">, and its source column carries the resolvable proceedings link. In the cross-sectional file it receives a recency index of one, being the oldest record, a citation count of zero, a venue score of one for AMOS, and a low topic-signal score reflecting a sparse term-hit count against its title and metadata. In the temporal file the same document receives an age index of eleven, being 2026 minus 2016 plus one, and a citations-plus-one value of one, the offset applied to its zero citations. Every one of these values can be recomputed by hand from the recorded rules and the document’s year and venue, with no step requiring the analyst’s judgment.</w:t>
      </w:r>
    </w:p>
    <w:p>
      <w:pPr>
        <w:pStyle w:val="BodyText"/>
        <w:spacing w:line="480" w:lineRule="auto"/>
        <w:ind w:firstLine="720"/>
      </w:pPr>
      <w:r>
        <w:t xml:space="preserve">That walk generalizes to all thirty rows. A skeptic who doubts the recency coefficient can pull the recency index for every record, confirm each against the document’s publication year and the sample floor, and rerun the regression. A skeptic who doubts the venue result can verify each venue code against the source identifier, AMOS links coded one, Acta Astronautica DOIs coded two, and so on. Because the mapping from document to value is a stated function rather than a coding decision, the audit is a verification rather than a re-interpretation. This is the property that separates a design-stage screen built for reproducibility from a conventional coding study, and it is why the following chapter can present the estimator output as measurements to be checked rather than as estimates to be trusted</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108"/>
    <w:bookmarkStart w:id="109" w:name="X97ef77da6fc741c245269e8393e8bf06f4f1746"/>
    <w:p>
      <w:pPr>
        <w:pStyle w:val="Heading2"/>
        <w:spacing w:line="480" w:lineRule="auto"/>
      </w:pPr>
      <w:r>
        <w:t xml:space="preserve">Construct validity, one variable at a time</w:t>
      </w:r>
    </w:p>
    <w:p>
      <w:pPr>
        <w:pStyle w:val="FirstParagraph"/>
        <w:spacing w:line="480" w:lineRule="auto"/>
      </w:pPr>
      <w:r>
        <w:t xml:space="preserve">Auditability guarantees that the numbers can be reproduced; it does not guarantee that the numbers measure what the theory needs them to measure. That second question is construct validity, and it deserves a variable-by-variable accounting because each variable stands in a different relationship to the concept it proxies. The recency index has strong construct validity for the concept of freshness, because publication year is a direct, unambiguous record of when a document entered the literature, and the transformation to an index anchored at the sample floor changes nothing about that directness</w:t>
      </w:r>
      <w:r>
        <w:t xml:space="preserve"> </w:t>
      </w:r>
      <w:hyperlink w:anchor="ref-3">
        <w:r>
          <w:rPr>
            <w:rStyle w:val="Hyperlink"/>
          </w:rPr>
          <w:t xml:space="preserve">[3]</w:t>
        </w:r>
      </w:hyperlink>
      <w:r>
        <w:t xml:space="preserve">. If any variable in the design measures its target cleanly, it is this one, which is why the recency result carries the most interpretive weight in the results chapter despite its imprecision.</w:t>
      </w:r>
    </w:p>
    <w:p>
      <w:pPr>
        <w:pStyle w:val="BodyText"/>
        <w:spacing w:line="480" w:lineRule="auto"/>
        <w:ind w:firstLine="720"/>
      </w:pPr>
      <w:r>
        <w:t xml:space="preserve">The topic-signal score has moderate construct validity for the concept of on-topic intensity. Its strength is that it draws on four metadata fields, so a document that is genuinely about agentic operations centers will tend to register across title, snippet, keyword, and author metadata rather than in one field alone</w:t>
      </w:r>
      <w:r>
        <w:t xml:space="preserve"> </w:t>
      </w:r>
      <w:hyperlink w:anchor="ref-1">
        <w:r>
          <w:rPr>
            <w:rStyle w:val="Hyperlink"/>
          </w:rPr>
          <w:t xml:space="preserve">[1]</w:t>
        </w:r>
      </w:hyperlink>
      <w:r>
        <w:t xml:space="preserve">. Its weakness is that term matching is blind to sense: a title that mentions network operations in an unrelated context will register a hit, and a squarely on-topic paper that happens to use different vocabulary will be undercounted. The construct is approximated, not captured, and the results chapter treats a low score as evidence of light topical engagement while acknowledging that some genuinely central work may be undercounted by vocabulary drift</w:t>
      </w:r>
      <w:r>
        <w:t xml:space="preserve"> </w:t>
      </w:r>
      <w:hyperlink w:anchor="ref-9">
        <w:r>
          <w:rPr>
            <w:rStyle w:val="Hyperlink"/>
          </w:rPr>
          <w:t xml:space="preserve">[9]</w:t>
        </w:r>
      </w:hyperlink>
      <w:r>
        <w:t xml:space="preserve">.</w:t>
      </w:r>
    </w:p>
    <w:p>
      <w:pPr>
        <w:pStyle w:val="BodyText"/>
        <w:spacing w:line="480" w:lineRule="auto"/>
        <w:ind w:firstLine="720"/>
      </w:pPr>
      <w:r>
        <w:t xml:space="preserve">The citation count has weak construct validity for the concept of scholarly attention, and the data chapter has already said why. It is a local lower bound floored to zero wherever the index was silent, so it measures recorded attention within one index rather than attention in the world</w:t>
      </w:r>
      <w:r>
        <w:t xml:space="preserve"> </w:t>
      </w:r>
      <w:hyperlink w:anchor="ref-4">
        <w:r>
          <w:rPr>
            <w:rStyle w:val="Hyperlink"/>
          </w:rPr>
          <w:t xml:space="preserve">[4]</w:t>
        </w:r>
      </w:hyperlink>
      <w:r>
        <w:t xml:space="preserve">. The venue-family score has weak-to-moderate construct validity for the concept of publication maturity, because its ordinal levels track publication family, which correlates with maturity but also with discipline, speed, and audience</w:t>
      </w:r>
      <w:r>
        <w:t xml:space="preserve"> </w:t>
      </w:r>
      <w:hyperlink w:anchor="ref-6">
        <w:r>
          <w:rPr>
            <w:rStyle w:val="Hyperlink"/>
          </w:rPr>
          <w:t xml:space="preserve">[6]</w:t>
        </w:r>
      </w:hyperlink>
      <w:r>
        <w:t xml:space="preserve">. Stating these validities explicitly, and ranking them, is what lets the reader weight the eventual coefficients appropriately: a recency result deserves more interpretive trust than a citation result, not because of its p-value but because the underlying variable measures its construct more cleanly. That weighting is a judgment the data chapter equips the reader to make, and it is a judgment the results chapter will rely on when it reads the four coefficients against one another rather than treating them as interchangeable</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09"/>
    <w:bookmarkStart w:id="110" w:name="X9c8bd26a6c31bf0471ec3d12265dbd0dfb45df7"/>
    <w:p>
      <w:pPr>
        <w:pStyle w:val="Heading2"/>
        <w:spacing w:line="480" w:lineRule="auto"/>
      </w:pPr>
      <w:r>
        <w:t xml:space="preserve">The cost of the fixed corpus, weighed honestly</w:t>
      </w:r>
    </w:p>
    <w:p>
      <w:pPr>
        <w:pStyle w:val="FirstParagraph"/>
        <w:spacing w:line="480" w:lineRule="auto"/>
      </w:pPr>
      <w:r>
        <w:t xml:space="preserve">A fixed local source corpus buys reproducibility and pays for it in coverage, and the data chapter should weigh that trade openly rather than presenting the corpus as costless. The benefit is real: because the universe is frozen and every row is sourced, no analyst choice about which documents to include can influence the result after the fact, and the entire chain from document to coefficient is inspectable</w:t>
      </w:r>
      <w:r>
        <w:t xml:space="preserve"> </w:t>
      </w:r>
      <w:hyperlink w:anchor="ref-8">
        <w:r>
          <w:rPr>
            <w:rStyle w:val="Hyperlink"/>
          </w:rPr>
          <w:t xml:space="preserve">[8]</w:t>
        </w:r>
      </w:hyperlink>
      <w:r>
        <w:t xml:space="preserve">. That property is rare and valuable, and it is the reason a design-stage screen should prefer a small fixed corpus to a large fluid one whose composition the analyst could adjust. The cost is equally real. A corpus this size and this composition cannot claim to represent the field, and any document the retrieval missed is simply invisible to every model that follows</w:t>
      </w:r>
      <w:r>
        <w:t xml:space="preserve"> </w:t>
      </w:r>
      <w:hyperlink w:anchor="ref-6">
        <w:r>
          <w:rPr>
            <w:rStyle w:val="Hyperlink"/>
          </w:rPr>
          <w:t xml:space="preserve">[6]</w:t>
        </w:r>
      </w:hyperlink>
      <w:r>
        <w:t xml:space="preserve">.</w:t>
      </w:r>
    </w:p>
    <w:p>
      <w:pPr>
        <w:pStyle w:val="BodyText"/>
        <w:spacing w:line="480" w:lineRule="auto"/>
        <w:ind w:firstLine="720"/>
      </w:pPr>
      <w:r>
        <w:t xml:space="preserve">The honest accounting is that the corpus is fit for the question it is asked and unfit for questions it is not asked. Asked whether structure is present in these thirty auditable records, it answers cleanly and reproducibly. Asked whether the field at large is mature, it cannot answer, because it never saw the field at large. The design does not blur this line by treating the corpus result as a field result; it reports a corpus result and specifies that widening the corpus is the first move a successor study should make</w:t>
      </w:r>
      <w:r>
        <w:t xml:space="preserve"> </w:t>
      </w:r>
      <w:hyperlink w:anchor="ref-4">
        <w:r>
          <w:rPr>
            <w:rStyle w:val="Hyperlink"/>
          </w:rPr>
          <w:t xml:space="preserve">[4]</w:t>
        </w:r>
      </w:hyperlink>
      <w:r>
        <w:t xml:space="preserve">. This is the same discipline the construct-validity ranking enforces at the variable level, applied now at the level of the sample: state what the data can carry, state what they cannot, and refuse to let the reproducibility of the small corpus be mistaken for the representativeness of a large one</w:t>
      </w:r>
      <w:r>
        <w:t xml:space="preserve"> </w:t>
      </w:r>
      <w:hyperlink w:anchor="ref-9">
        <w:r>
          <w:rPr>
            <w:rStyle w:val="Hyperlink"/>
          </w:rPr>
          <w:t xml:space="preserve">[9]</w:t>
        </w:r>
      </w:hyperlink>
      <w:r>
        <w:t xml:space="preserve">. The thirty rows are a foundation, deliberately narrow and deliberately solid, and the chapters that follow build only what that foundation will bear.</w:t>
      </w:r>
    </w:p>
    <w:bookmarkEnd w:id="110"/>
    <w:bookmarkEnd w:id="111"/>
    <w:bookmarkStart w:id="120" w:name="chapter-6-results"/>
    <w:p>
      <w:pPr>
        <w:pStyle w:val="Heading1"/>
        <w:spacing w:line="480" w:lineRule="auto"/>
      </w:pPr>
      <w:r>
        <w:t xml:space="preserve">Chapter 6: Results</w:t>
      </w:r>
    </w:p>
    <w:p>
      <w:pPr>
        <w:pStyle w:val="FirstParagraph"/>
        <w:spacing w:line="480" w:lineRule="auto"/>
      </w:pPr>
      <w:r>
        <w:t xml:space="preserve">This chapter reports the estimator output exactly as the two workbooks produced it, then interprets the signs and magnitudes within the limits established in Chapters 4 and 5. Nothing is rounded away, and no coefficient is dropped for being inconvenient. The imprecise terms are reported alongside the precise ones, because under the evidence ladder an imprecise term is a finding about the corpus, not an embarrassment to be hidden.</w:t>
      </w:r>
    </w:p>
    <w:bookmarkStart w:id="112" w:name="paper-1-the-cross-sectional-screen"/>
    <w:p>
      <w:pPr>
        <w:pStyle w:val="Heading2"/>
        <w:spacing w:line="480" w:lineRule="auto"/>
      </w:pPr>
      <w:r>
        <w:t xml:space="preserve">Paper 1: the cross-sectional screen</w:t>
      </w:r>
    </w:p>
    <w:p>
      <w:pPr>
        <w:pStyle w:val="FirstParagraph"/>
        <w:spacing w:line="480" w:lineRule="auto"/>
      </w:pPr>
      <w:r>
        <w:t xml:space="preserve">The first paper estimates an ordinary least squares model with robust HC1 standard errors, regressing the topic-signal score on the recency index, the local citation count, and the ordinal venue-family score, over the thirty retrieved source records.</w:t>
      </w:r>
    </w:p>
    <w:p>
      <w:pPr>
        <w:pStyle w:val="BodyText"/>
        <w:spacing w:line="480" w:lineRule="auto"/>
        <w:ind w:firstLine="720"/>
      </w:pPr>
      <w:r>
        <w:t xml:space="preserve">The fit summary is: N = 30, R2 = 0.07712060910820506, R2_adj = -0.029365474456232832, F = 0.8740215054799764, F_p = 0.46721045728877053.</w:t>
      </w:r>
    </w:p>
    <w:p>
      <w:pPr>
        <w:pStyle w:val="BodyText"/>
        <w:spacing w:line="480" w:lineRule="auto"/>
        <w:ind w:firstLine="720"/>
      </w:pPr>
      <w:r>
        <w:t xml:space="preserve">The term summary is: const coef = 2.589552444614521, p = 0.09865507244384576; recency_index coef = 0.1663847987760372, p = 0.2377072730196058; cites_num coef = -0.0006836056901668875, p = 0.9926297277715995; venue_score coef = -0.6519374656045693, p = 0.26114081515755605.</w:t>
      </w:r>
    </w:p>
    <w:p>
      <w:pPr>
        <w:pStyle w:val="BodyText"/>
        <w:spacing w:line="480" w:lineRule="auto"/>
        <w:ind w:firstLine="720"/>
      </w:pPr>
      <w:r>
        <w:t xml:space="preserve">Read the fit first. The model accounts for about 7.7 percent of the variation in the topic-signal score, and the adjusted R2 is slightly negative, at roughly -0.029, which is what happens when the predictors add so little explanatory power that the adjustment for their number pushes the statistic below zero. The joint F statistic is 0.874 with a p-value of 0.467, so the null that all three slopes are jointly zero cannot be rejected at any conventional level. On the joint test alone, H0(a) stands: the three predictors together do not organize the signal in this corpus.</w:t>
      </w:r>
    </w:p>
    <w:p>
      <w:pPr>
        <w:pStyle w:val="BodyText"/>
        <w:spacing w:line="480" w:lineRule="auto"/>
        <w:ind w:firstLine="720"/>
      </w:pPr>
      <w:r>
        <w:t xml:space="preserve">The individual terms fill in the shape of that null. The recency coefficient is positive, 0.166, which is the direction the emergence mechanism predicted, but its p-value of 0.238 leaves it well short of significance. So the sign is consistent with the story that squarely-on-topic documents are more recent, yet the precision does not support asserting the association. Under the evidence ladder this lands on the bottom rung: suggestive direction, insufficient support, reported that way rather than promoted</w:t>
      </w:r>
      <w:r>
        <w:t xml:space="preserve"> </w:t>
      </w:r>
      <w:hyperlink w:anchor="ref-3">
        <w:r>
          <w:rPr>
            <w:rStyle w:val="Hyperlink"/>
          </w:rPr>
          <w:t xml:space="preserve">[3]</w:t>
        </w:r>
      </w:hyperlink>
      <w:r>
        <w:t xml:space="preserve">.</w:t>
      </w:r>
    </w:p>
    <w:p>
      <w:pPr>
        <w:pStyle w:val="BodyText"/>
        <w:spacing w:line="480" w:lineRule="auto"/>
        <w:ind w:firstLine="720"/>
      </w:pPr>
      <w:r>
        <w:t xml:space="preserve">The citation coefficient is essentially zero, -0.000684, with a p-value of 0.993. This is as flat a result as the data can produce. Attention, measured by the local citation field, carries no detectable relationship with the topic signal. Given that the citation variable is a lower-bound proxy that records zero wherever the local index reported nothing, this near-perfect null is consistent with the measurement limitation flagged in Chapter 5: a floored, noisy attention measure is exactly the kind of variable that would show no structure even if a true relationship existed</w:t>
      </w:r>
      <w:r>
        <w:t xml:space="preserve"> </w:t>
      </w:r>
      <w:hyperlink w:anchor="ref-4">
        <w:r>
          <w:rPr>
            <w:rStyle w:val="Hyperlink"/>
          </w:rPr>
          <w:t xml:space="preserve">[4]</w:t>
        </w:r>
      </w:hyperlink>
      <w:r>
        <w:t xml:space="preserve">.</w:t>
      </w:r>
    </w:p>
    <w:p>
      <w:pPr>
        <w:pStyle w:val="BodyText"/>
        <w:spacing w:line="480" w:lineRule="auto"/>
        <w:ind w:firstLine="720"/>
      </w:pPr>
      <w:r>
        <w:t xml:space="preserve">The venue coefficient is negative, -0.652, with a p-value of 0.261. The negative sign says that, if anything, higher venue-family codes are associated with slightly weaker topic signals, meaning the strongest term-hit intensity sits in the AMOS proceedings end of the pack rather than the archival-journal end. The theory was agnostic about this sign, so the direction is not evidence against the mechanism, but the imprecision means it is not evidence for a venue effect either. It is most safely read as consistent with the concentration of on-topic conference work noted in the literature review</w:t>
      </w:r>
      <w:r>
        <w:t xml:space="preserve"> </w:t>
      </w:r>
      <w:hyperlink w:anchor="ref-6">
        <w:r>
          <w:rPr>
            <w:rStyle w:val="Hyperlink"/>
          </w:rPr>
          <w:t xml:space="preserve">[6]</w:t>
        </w:r>
      </w:hyperlink>
      <w:r>
        <w:t xml:space="preserve">.</w:t>
      </w:r>
    </w:p>
    <w:p>
      <w:pPr>
        <w:pStyle w:val="BodyText"/>
        <w:spacing w:line="480" w:lineRule="auto"/>
        <w:ind w:firstLine="720"/>
      </w:pPr>
      <w:r>
        <w:t xml:space="preserve">Taken together, Paper 1 returns a bounded and honest result. The corpus does not exhibit statistically resolved cross-sectional structure along recency, attention, or venue. The recency sign points the predicted way but cannot be relied upon. This is not a failure of the design; it is the design working, telling a future researcher that metadata screening alone will not carry the emergence claim and that direct document coding is needed to resolve it</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12"/>
    <w:bookmarkStart w:id="113" w:name="paper-2-the-temporal-screen"/>
    <w:p>
      <w:pPr>
        <w:pStyle w:val="Heading2"/>
        <w:spacing w:line="480" w:lineRule="auto"/>
      </w:pPr>
      <w:r>
        <w:t xml:space="preserve">Paper 2: the temporal screen</w:t>
      </w:r>
    </w:p>
    <w:p>
      <w:pPr>
        <w:pStyle w:val="FirstParagraph"/>
        <w:spacing w:line="480" w:lineRule="auto"/>
      </w:pPr>
      <w:r>
        <w:t xml:space="preserve">The second paper estimates a log-log learning-curve model with robust HC1 standard errors, regressing the log of citations-plus-one on the log of the age index, over the same thirty records.</w:t>
      </w:r>
    </w:p>
    <w:p>
      <w:pPr>
        <w:pStyle w:val="BodyText"/>
        <w:spacing w:line="480" w:lineRule="auto"/>
        <w:ind w:firstLine="720"/>
      </w:pPr>
      <w:r>
        <w:t xml:space="preserve">The fit summary is: N = 30, R2 = 0.027984727542535004, elasticity_b = -0.2821662445047165, progress_ratio_2^b = 0.8223553016805887.</w:t>
      </w:r>
    </w:p>
    <w:p>
      <w:pPr>
        <w:pStyle w:val="BodyText"/>
        <w:spacing w:line="480" w:lineRule="auto"/>
        <w:ind w:firstLine="720"/>
      </w:pPr>
      <w:r>
        <w:t xml:space="preserve">The term summary is: const coef = 0.8942905102660321, p = 0.01971972089982633; _ln_x coef = -0.2821662445047165, p = 0.2152220968869749.</w:t>
      </w:r>
    </w:p>
    <w:p>
      <w:pPr>
        <w:pStyle w:val="BodyText"/>
        <w:spacing w:line="480" w:lineRule="auto"/>
        <w:ind w:firstLine="720"/>
      </w:pPr>
      <w:r>
        <w:t xml:space="preserve">The model explains about 2.8 percent of the variation in logged citations-plus-one, which is small. The intercept is 0.894 and is statistically distinguishable from zero, p = 0.020, but the intercept is not the quantity of interest; it merely sets the level of the fitted curve at unit age. The object of the test is the age elasticity.</w:t>
      </w:r>
    </w:p>
    <w:p>
      <w:pPr>
        <w:pStyle w:val="BodyText"/>
        <w:spacing w:line="480" w:lineRule="auto"/>
        <w:ind w:firstLine="720"/>
      </w:pPr>
      <w:r>
        <w:t xml:space="preserve">That elasticity is -0.282, with a p-value of 0.215. Two things follow. The sign is negative, meaning older documents in this pack carry proportionally fewer, not more, accumulated citations than a positive-accumulation story would predict. And the imprecision, p = 0.215, means the elasticity is not statistically distinguishable from zero, so H0(b) is not rejected. Citation accumulation does not follow a resolved age-based curve in this corpus.</w:t>
      </w:r>
    </w:p>
    <w:p>
      <w:pPr>
        <w:pStyle w:val="BodyText"/>
        <w:spacing w:line="480" w:lineRule="auto"/>
        <w:ind w:firstLine="720"/>
      </w:pPr>
      <w:r>
        <w:t xml:space="preserve">The progress ratio makes the elasticity concrete. A progress ratio of 0.822 says that each doubling of article age is associated with accumulated citations at about 82 percent of their prior level, a decline rather than a climb. Read literally, this is the opposite of a maturing-attention curve; it points toward recent work drawing relatively more attention than aged work. But the elasticity that generates the ratio is imprecise, so the literal reading cannot be pressed. The defensible statement is narrower: the data show no evidence of positive citation accumulation with age, and if anything a weak negative tilt, consistent with a young topic whose freshest work is where the attention sits</w:t>
      </w:r>
      <w:r>
        <w:t xml:space="preserve"> </w:t>
      </w:r>
      <w:hyperlink w:anchor="ref-5">
        <w:r>
          <w:rPr>
            <w:rStyle w:val="Hyperlink"/>
          </w:rPr>
          <w:t xml:space="preserve">[5]</w:t>
        </w:r>
      </w:hyperlink>
      <w:r>
        <w:t xml:space="preserve">.</w:t>
      </w:r>
    </w:p>
    <w:bookmarkEnd w:id="113"/>
    <w:bookmarkStart w:id="114" w:name="reading-the-two-screens-together"/>
    <w:p>
      <w:pPr>
        <w:pStyle w:val="Heading2"/>
        <w:spacing w:line="480" w:lineRule="auto"/>
      </w:pPr>
      <w:r>
        <w:t xml:space="preserve">Reading the two screens together</w:t>
      </w:r>
    </w:p>
    <w:p>
      <w:pPr>
        <w:pStyle w:val="FirstParagraph"/>
        <w:spacing w:line="480" w:lineRule="auto"/>
      </w:pPr>
      <w:r>
        <w:t xml:space="preserve">The two papers answer different questions and, in this corpus, return the same verdict from different directions. Paper 1 finds no resolved cross-sectional structure, with a recency sign that hints in the predicted direction. Paper 2 finds no resolved temporal accumulation, with an age tilt that is weakly negative rather than positive. Neither rejects its null. Both point, faintly, toward a topic whose signal lives among the most recent records rather than being distributed across a mature, accumulating literature</w:t>
      </w:r>
      <w:r>
        <w:t xml:space="preserve"> </w:t>
      </w:r>
      <w:hyperlink w:anchor="ref-9">
        <w:r>
          <w:rPr>
            <w:rStyle w:val="Hyperlink"/>
          </w:rPr>
          <w:t xml:space="preserve">[9]</w:t>
        </w:r>
      </w:hyperlink>
      <w:r>
        <w:t xml:space="preserve">.</w:t>
      </w:r>
    </w:p>
    <w:p>
      <w:pPr>
        <w:pStyle w:val="BodyText"/>
        <w:spacing w:line="480" w:lineRule="auto"/>
        <w:ind w:firstLine="720"/>
      </w:pPr>
      <w:r>
        <w:t xml:space="preserve">That convergence is more informative than either result alone. If the cross-sectional model had found a strong recency effect while the temporal model found strong positive accumulation, the corpus would look like a mature field. If both had been flat with no directional hint, the corpus would look like noise. What the data actually show is the signature of an early-stage topic: a faint pull toward recency, no accumulated citation base, and no venue that has yet claimed the subject as its own</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The safeguard the dissertation built in now does its work. A candidate tempted to over-claim would report the positive recency sign and the significant intercept and stop there. The design forbids that reading, because the joint F is insignificant, the recency p-value is 0.238, the citation term is a flat 0.993, and the age elasticity is an imprecise -0.282. The result is modest, and reporting it as modest is the finding: the topic is measurable and auditable, it is not yet structured enough for metadata screening to resolve, and the next study must bring direct outcome data to bear</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114"/>
    <w:bookmarkStart w:id="115" w:name="magnitudes-in-context"/>
    <w:p>
      <w:pPr>
        <w:pStyle w:val="Heading2"/>
        <w:spacing w:line="480" w:lineRule="auto"/>
      </w:pPr>
      <w:r>
        <w:t xml:space="preserve">Magnitudes in context</w:t>
      </w:r>
    </w:p>
    <w:p>
      <w:pPr>
        <w:pStyle w:val="FirstParagraph"/>
        <w:spacing w:line="480" w:lineRule="auto"/>
      </w:pPr>
      <w:r>
        <w:t xml:space="preserve">Statistical significance is one axis; substantive magnitude is another, and reporting both is part of an honest results chapter even when the terms are imprecise. Consider the recency coefficient of 0.166. Taken at face value, it says that moving one year later in the corpus, a one-unit increase in the recency index, is associated with about 0.166 additional term-hits in the signal score. Across the full decade of range, from a recency index of one to roughly ten, that implies a fitted swing of about 1.5 points in a signal score whose typical values sit between one and a small handful. So even if the recency effect were real, its magnitude would be meaningful relative to the outcome’s scale, which is why the correct sign is worth noting even as the imprecision forbids relying on it. The problem is not that the point estimate is trivially small; it is that the standard error is large enough, at a p-value of 0.238, that the true value could plausibly be zero or negative</w:t>
      </w:r>
      <w:r>
        <w:t xml:space="preserve"> </w:t>
      </w:r>
      <w:hyperlink w:anchor="ref-3">
        <w:r>
          <w:rPr>
            <w:rStyle w:val="Hyperlink"/>
          </w:rPr>
          <w:t xml:space="preserve">[3]</w:t>
        </w:r>
      </w:hyperlink>
      <w:r>
        <w:t xml:space="preserve">.</w:t>
      </w:r>
    </w:p>
    <w:p>
      <w:pPr>
        <w:pStyle w:val="BodyText"/>
        <w:spacing w:line="480" w:lineRule="auto"/>
        <w:ind w:firstLine="720"/>
      </w:pPr>
      <w:r>
        <w:t xml:space="preserve">The venue coefficient of -0.652 tells a similar story in the other direction. A one-step move up the ordinal venue scale, from AMOS to Acta Astronautica or from Acta to Space Economy, is associated with roughly two-thirds of a point lower signal score. Given that the score’s range is narrow, that is a large implied effect, and if it were precise it would say the strongest on-topic intensity sits firmly at the conference-proceedings end of the pack. But the estimate rests on the modest number of higher-venue records noted in Chapter 5, and its p-value of 0.261 leaves it well inside the range attributable to chance</w:t>
      </w:r>
      <w:r>
        <w:t xml:space="preserve"> </w:t>
      </w:r>
      <w:hyperlink w:anchor="ref-6">
        <w:r>
          <w:rPr>
            <w:rStyle w:val="Hyperlink"/>
          </w:rPr>
          <w:t xml:space="preserve">[6]</w:t>
        </w:r>
      </w:hyperlink>
      <w:r>
        <w:t xml:space="preserve">. The magnitude is interesting; the precision is not there to bank it.</w:t>
      </w:r>
    </w:p>
    <w:p>
      <w:pPr>
        <w:pStyle w:val="BodyText"/>
        <w:spacing w:line="480" w:lineRule="auto"/>
        <w:ind w:firstLine="720"/>
      </w:pPr>
      <w:r>
        <w:t xml:space="preserve">The citation coefficient needs no magnitude discussion, because at -0.000684 it is indistinguishable from zero in both the statistical and the practical sense. This is the clearest illustration in the results of a variable defeated by its own construction: a floored, zero-heavy citation measure cannot exhibit a magnitude worth interpreting, and its p-value of 0.993 confirms that the model learned nothing from it</w:t>
      </w:r>
      <w:r>
        <w:t xml:space="preserve"> </w:t>
      </w:r>
      <w:hyperlink w:anchor="ref-4">
        <w:r>
          <w:rPr>
            <w:rStyle w:val="Hyperlink"/>
          </w:rPr>
          <w:t xml:space="preserve">[4]</w:t>
        </w:r>
      </w:hyperlink>
      <w:r>
        <w:t xml:space="preserve">. The temporal model’s elasticity of -0.282, by contrast, does carry an interpretable magnitude through the progress ratio of 0.822, which quantifies an implied 18 percent decline in accumulated citations per doubling of age. That is a substantial implied slope, and the fact that it points downward rather than upward is what makes the temporal result more than a bland null: the data lean, faintly, against the accumulation story rather than merely failing to confirm it</w:t>
      </w:r>
      <w:r>
        <w:t xml:space="preserve"> </w:t>
      </w:r>
      <w:hyperlink w:anchor="ref-5">
        <w:r>
          <w:rPr>
            <w:rStyle w:val="Hyperlink"/>
          </w:rPr>
          <w:t xml:space="preserve">[5]</w:t>
        </w:r>
      </w:hyperlink>
      <w:r>
        <w:t xml:space="preserve">.</w:t>
      </w:r>
    </w:p>
    <w:bookmarkEnd w:id="115"/>
    <w:bookmarkStart w:id="116" w:name="Xc37beae7ee92987e0e9c049656a59a6c531ae3d"/>
    <w:p>
      <w:pPr>
        <w:pStyle w:val="Heading2"/>
        <w:spacing w:line="480" w:lineRule="auto"/>
      </w:pPr>
      <w:r>
        <w:t xml:space="preserve">The joint reading as a diagnostic, not a defeat</w:t>
      </w:r>
    </w:p>
    <w:p>
      <w:pPr>
        <w:pStyle w:val="FirstParagraph"/>
        <w:spacing w:line="480" w:lineRule="auto"/>
      </w:pPr>
      <w:r>
        <w:t xml:space="preserve">The four possible combinations of cross-sectional and temporal structure were laid out in the theory, and the observed data occupy the cell the theory flagged as the signature of an emergent-but-immature topic: a faint cross-sectional pull toward recency, no citation base, and a weak negative age tilt. This is worth stating as a positive diagnostic rather than a string of failures, because the pattern is coherent and it is the pattern one would predict for a topic that is real but young. A field caught mid-emergence has fresh work whose vocabulary is only beginning to organize the metadata, has not yet accumulated the citations that come with age, and has not yet been claimed by a home venue. Every observed number is consistent with that single description</w:t>
      </w:r>
      <w:r>
        <w:t xml:space="preserve"> </w:t>
      </w:r>
      <w:hyperlink w:anchor="ref-9">
        <w:r>
          <w:rPr>
            <w:rStyle w:val="Hyperlink"/>
          </w:rPr>
          <w:t xml:space="preserve">[9]</w:t>
        </w:r>
      </w:hyperlink>
      <w:r>
        <w:t xml:space="preserve">.</w:t>
      </w:r>
    </w:p>
    <w:p>
      <w:pPr>
        <w:pStyle w:val="BodyText"/>
        <w:spacing w:line="480" w:lineRule="auto"/>
        <w:ind w:firstLine="720"/>
      </w:pPr>
      <w:r>
        <w:t xml:space="preserve">The alternative descriptions are worth ruling in and out explicitly. A mature field would have shown a strong recency effect and positive accumulation; the data show neither, so maturity is rejected. Pure noise would have shown no directional consistency; but the data show a mutually consistent lean, recency positive and age negative, both pointing toward youth, so pure noise is a poorer fit than immaturity. A dead or receding topic would have shown negative recency and positive age accumulation, the mirror image of what appears; that too is rejected. Among the descriptions the data can distinguish, emergent-but-immature is the best-supported, and it is supported not by any single significant coefficient but by the coherence of the whole imprecise picture</w:t>
      </w:r>
      <w:r>
        <w:t xml:space="preserve"> </w:t>
      </w:r>
      <w:hyperlink w:anchor="ref-7">
        <w:r>
          <w:rPr>
            <w:rStyle w:val="Hyperlink"/>
          </w:rPr>
          <w:t xml:space="preserve">[7]</w:t>
        </w:r>
      </w:hyperlink>
      <w:r>
        <w:t xml:space="preserve">. That is the correct way to extract signal from an underpowered screen: not by hunting for a star next to a p-value, but by asking which single story renders all the numbers, significant and insignificant alike, mutually consistent. Here that story is a young topic, and the results chapter reports it as the bounded, reproducible finding the design was built to produce</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116"/>
    <w:bookmarkStart w:id="117" w:name="the-fit-statistics-as-their-own-result"/>
    <w:p>
      <w:pPr>
        <w:pStyle w:val="Heading2"/>
        <w:spacing w:line="480" w:lineRule="auto"/>
      </w:pPr>
      <w:r>
        <w:t xml:space="preserve">The fit statistics as their own result</w:t>
      </w:r>
    </w:p>
    <w:p>
      <w:pPr>
        <w:pStyle w:val="FirstParagraph"/>
        <w:spacing w:line="480" w:lineRule="auto"/>
      </w:pPr>
      <w:r>
        <w:t xml:space="preserve">It is tempting to treat R2 as a summary to glance past on the way to the coefficients, but in this screen the fit statistics are themselves a substantive result worth dwelling on. The cross-sectional R2 of 0.0771 says the three predictors jointly account for under eight percent of the variation in the signal score, and the negative adjusted R2 of -0.029 says that once the model is penalized for its three predictors, it explains less than a bare intercept would. Read against the construct-validity ranking from Chapter 5, this is not surprising and it is informative. The one variable with strong construct validity, recency, carries a correctly signed but imprecise slope, while the two weakest variables, citation and venue, contribute a flat term and an imprecise negative term. A model built mostly from weak-validity variables explaining almost none of a low-variance outcome is exactly what a young topic measured with thin metadata should produce</w:t>
      </w:r>
      <w:r>
        <w:t xml:space="preserve"> </w:t>
      </w:r>
      <w:hyperlink w:anchor="ref-4">
        <w:r>
          <w:rPr>
            <w:rStyle w:val="Hyperlink"/>
          </w:rPr>
          <w:t xml:space="preserve">[4]</w:t>
        </w:r>
      </w:hyperlink>
      <w:r>
        <w:t xml:space="preserve">.</w:t>
      </w:r>
    </w:p>
    <w:p>
      <w:pPr>
        <w:pStyle w:val="BodyText"/>
        <w:spacing w:line="480" w:lineRule="auto"/>
        <w:ind w:firstLine="720"/>
      </w:pPr>
      <w:r>
        <w:t xml:space="preserve">The temporal R2 of 0.0280 tells a parallel story. Age explains under three percent of the variation in logged citations-plus-one, which means article age is nearly uninformative about accumulated attention in this corpus. That near-uninformativeness is consistent with the citation variable’s floor: when most records carry zero citations offset to one, there is little variation in the outcome for age to explain, and the low R2 partly reflects the outcome’s construction rather than a genuine absence of any age relationship</w:t>
      </w:r>
      <w:r>
        <w:t xml:space="preserve"> </w:t>
      </w:r>
      <w:hyperlink w:anchor="ref-5">
        <w:r>
          <w:rPr>
            <w:rStyle w:val="Hyperlink"/>
          </w:rPr>
          <w:t xml:space="preserve">[5]</w:t>
        </w:r>
      </w:hyperlink>
      <w:r>
        <w:t xml:space="preserve">. So the fit statistics do double duty. They report how little structure the models found, and they point to why: a low-variance, weakly-measured outcome cannot yield a high fit even if a true relationship exists. Reporting them prominently, rather than burying them beneath the coefficients, is part of the honesty the design demands, because a reader who sees only the coefficients might miss that the models as wholes explain almost nothing</w:t>
      </w:r>
      <w:r>
        <w:t xml:space="preserve"> </w:t>
      </w:r>
      <w:hyperlink w:anchor="ref-7">
        <w:r>
          <w:rPr>
            <w:rStyle w:val="Hyperlink"/>
          </w:rPr>
          <w:t xml:space="preserve">[7]</w:t>
        </w:r>
      </w:hyperlink>
      <w:r>
        <w:t xml:space="preserve">.</w:t>
      </w:r>
    </w:p>
    <w:bookmarkEnd w:id="117"/>
    <w:bookmarkStart w:id="118" w:name="consistency-of-the-two-samples"/>
    <w:p>
      <w:pPr>
        <w:pStyle w:val="Heading2"/>
        <w:spacing w:line="480" w:lineRule="auto"/>
      </w:pPr>
      <w:r>
        <w:t xml:space="preserve">Consistency of the two samples</w:t>
      </w:r>
    </w:p>
    <w:p>
      <w:pPr>
        <w:pStyle w:val="FirstParagraph"/>
        <w:spacing w:line="480" w:lineRule="auto"/>
      </w:pPr>
      <w:r>
        <w:t xml:space="preserve">One internal check strengthens confidence that the results describe a single coherent corpus rather than two loosely related datasets. Both papers draw their thirty records from the same retrieved universe, and the shared documents carry consistent values across the two files. Record one, the 2016 interference paper, appears in the cross-sectional file with recency index one and in the temporal file with age index eleven, and those two indices are mechanically reconcilable: recency counts up from the sample floor while age counts down from the observation year, and their sum is fixed by the decade the corpus spans</w:t>
      </w:r>
      <w:r>
        <w:t xml:space="preserve"> </w:t>
      </w:r>
      <w:hyperlink w:anchor="ref-1">
        <w:r>
          <w:rPr>
            <w:rStyle w:val="Hyperlink"/>
          </w:rPr>
          <w:t xml:space="preserve">[1]</w:t>
        </w:r>
      </w:hyperlink>
      <w:r>
        <w:t xml:space="preserve">. The citation values agree across files, zero in both, and the plus-one offset in the temporal file is the only transformation between them. This consistency is not a finding about the topic, but it is a finding about the data, and it matters because it confirms that the cross-sectional and temporal results are two views of one corpus. A reader who accepts the joint diagnostic reading, that the numbers together describe a young topic, is entitled to that reading precisely because the two models rest on the same auditable thirty documents rather than on divergent samples that might disagree for reasons unrelated to the topic</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118"/>
    <w:bookmarkStart w:id="119" w:name="Xd6ac9963fc975f690c962a8394cfb582f95fa93"/>
    <w:p>
      <w:pPr>
        <w:pStyle w:val="Heading2"/>
        <w:spacing w:line="480" w:lineRule="auto"/>
      </w:pPr>
      <w:r>
        <w:t xml:space="preserve">What a future dataset would have to change</w:t>
      </w:r>
    </w:p>
    <w:p>
      <w:pPr>
        <w:pStyle w:val="FirstParagraph"/>
        <w:spacing w:line="480" w:lineRule="auto"/>
      </w:pPr>
      <w:r>
        <w:t xml:space="preserve">The results, read honestly, are a specification for the dataset that could resolve what this one could not, and stating that specification here converts the nulls into a forward instruction rather than a dead end. Three changes would matter most, and each maps to a specific weakness the coefficients exposed. Raising the sample size would lift the power that a thirty-record screen inherently lacks, so that a recency lean of the magnitude observed, 0.166 with a p-value of 0.238, could be resolved to significance or rejected rather than left suspended</w:t>
      </w:r>
      <w:r>
        <w:t xml:space="preserve"> </w:t>
      </w:r>
      <w:hyperlink w:anchor="ref-4">
        <w:r>
          <w:rPr>
            <w:rStyle w:val="Hyperlink"/>
          </w:rPr>
          <w:t xml:space="preserve">[4]</w:t>
        </w:r>
      </w:hyperlink>
      <w:r>
        <w:t xml:space="preserve">. A larger sample would also stabilize the venue term, which the present data estimated off too few higher-venue records to trust.</w:t>
      </w:r>
    </w:p>
    <w:p>
      <w:pPr>
        <w:pStyle w:val="BodyText"/>
        <w:spacing w:line="480" w:lineRule="auto"/>
        <w:ind w:firstLine="720"/>
      </w:pPr>
      <w:r>
        <w:t xml:space="preserve">Replacing the floored citation field with a full citation source would rescue the attention variable from the near-perfect null of 0.993 that its construction, not the world, most likely produced</w:t>
      </w:r>
      <w:r>
        <w:t xml:space="preserve"> </w:t>
      </w:r>
      <w:hyperlink w:anchor="ref-5">
        <w:r>
          <w:rPr>
            <w:rStyle w:val="Hyperlink"/>
          </w:rPr>
          <w:t xml:space="preserve">[5]</w:t>
        </w:r>
      </w:hyperlink>
      <w:r>
        <w:t xml:space="preserve">. And hand-coding each document for genuine topical relevance would strip the term-match noise from the signal score, sharpening the outcome that both models struggled to explain and lifting the fit statistics that sat near zero. None of these changes is exotic; each is a routine strengthening of a design-stage screen, and the value of running the weak version first is that it identifies exactly which strengthening will pay off. The nulls here are therefore not a verdict that the topic is unstructured but a map of where the measurement failed, and a successor who follows the map will know before collecting a single new row which three moves the data are demanding</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119"/>
    <w:bookmarkEnd w:id="120"/>
    <w:bookmarkStart w:id="131" w:name="chapter-7-discussion-and-limitations"/>
    <w:p>
      <w:pPr>
        <w:pStyle w:val="Heading1"/>
        <w:spacing w:line="480" w:lineRule="auto"/>
      </w:pPr>
      <w:r>
        <w:t xml:space="preserve">Chapter 7: Discussion and Limitations</w:t>
      </w:r>
    </w:p>
    <w:p>
      <w:pPr>
        <w:pStyle w:val="FirstParagraph"/>
        <w:spacing w:line="480" w:lineRule="auto"/>
      </w:pPr>
      <w:r>
        <w:t xml:space="preserve">The results are modest, and this chapter takes their modesty seriously. A null-dominated screen is easy to mishandle in either direction, by narrating the faint signs as a discovery or by dismissing the whole exercise as a failure. Both readings are wrong. This chapter argues for the correct one: the design worked, it returned an honest bounded answer, and that answer carries real implications for how the governance question in GAO-25-108138 should be approached.</w:t>
      </w:r>
    </w:p>
    <w:bookmarkStart w:id="121" w:name="what-the-findings-mean"/>
    <w:p>
      <w:pPr>
        <w:pStyle w:val="Heading2"/>
        <w:spacing w:line="480" w:lineRule="auto"/>
      </w:pPr>
      <w:r>
        <w:t xml:space="preserve">What the findings mean</w:t>
      </w:r>
    </w:p>
    <w:p>
      <w:pPr>
        <w:pStyle w:val="FirstParagraph"/>
        <w:spacing w:line="480" w:lineRule="auto"/>
      </w:pPr>
      <w:r>
        <w:t xml:space="preserve">The central substantive finding is a controlled negative. Across two estimators asking two different questions, the retrieved corpus does not exhibit statistically resolved structure. The cross-sectional screen could not reject the joint null, with an F p-value of 0.467, and its recency term, though signed in the predicted positive direction at 0.166, was imprecise at p = 0.238. The temporal screen could not reject its null either, returning an age elasticity of -0.282 at p = 0.215, a weak negative tilt rather than the positive accumulation a mature field would show. Read together, these are the fingerprints of an early-stage topic whose signal concentrates in recent work and has not yet organized a citation base or claimed a home venue</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p>
      <w:pPr>
        <w:pStyle w:val="BodyText"/>
        <w:spacing w:line="480" w:lineRule="auto"/>
        <w:ind w:firstLine="720"/>
      </w:pPr>
      <w:r>
        <w:t xml:space="preserve">For the governance question, this matters more than a positive result would have. GAO-25-108138 sits in the world where oversight bodies must reason before a clean evidence base exists, and the temptation in that world is to treat the visible technical enthusiasm around agentic operations as if it were a mature, auditable practice. The findings caution against exactly that. If the published record has not yet accumulated the structure that metadata screening can detect, then the operational community is likely still in the calibration phase the trust literature describes, where reliance on the agent is being revised continuously and no shared standard has settled</w:t>
      </w:r>
      <w:r>
        <w:t xml:space="preserve"> </w:t>
      </w:r>
      <w:hyperlink w:anchor="ref-3">
        <w:r>
          <w:rPr>
            <w:rStyle w:val="Hyperlink"/>
          </w:rPr>
          <w:t xml:space="preserve">[3]</w:t>
        </w:r>
      </w:hyperlink>
      <w:r>
        <w:t xml:space="preserve">. An oversight regime that codified now would be codifying a moving target. The negative result is therefore not empty; it is a timing signal, and the timing it signals is early.</w:t>
      </w:r>
    </w:p>
    <w:p>
      <w:pPr>
        <w:pStyle w:val="BodyText"/>
        <w:spacing w:line="480" w:lineRule="auto"/>
        <w:ind w:firstLine="720"/>
      </w:pPr>
      <w:r>
        <w:t xml:space="preserve">The convergence of the two screens strengthens this reading. A single null could be dismissed as underpowered. Two nulls from independent questions, both faintly pointing toward recency and away from accumulation, describe a coherent picture rather than a coincidence. The topic is real, it is retrievable, and it is young. That is a defensible thing to tell a governance audience, and it is defensible precisely because the arithmetic behind it is reproducible</w:t>
      </w:r>
      <w:r>
        <w:t xml:space="preserve"> </w:t>
      </w:r>
      <w:hyperlink w:anchor="ref-7">
        <w:r>
          <w:rPr>
            <w:rStyle w:val="Hyperlink"/>
          </w:rPr>
          <w:t xml:space="preserve">[7]</w:t>
        </w:r>
      </w:hyperlink>
      <w:r>
        <w:t xml:space="preserve">.</w:t>
      </w:r>
    </w:p>
    <w:bookmarkEnd w:id="121"/>
    <w:bookmarkStart w:id="122" w:name="threats-to-validity"/>
    <w:p>
      <w:pPr>
        <w:pStyle w:val="Heading2"/>
        <w:spacing w:line="480" w:lineRule="auto"/>
      </w:pPr>
      <w:r>
        <w:t xml:space="preserve">Threats to validity</w:t>
      </w:r>
    </w:p>
    <w:p>
      <w:pPr>
        <w:pStyle w:val="FirstParagraph"/>
        <w:spacing w:line="480" w:lineRule="auto"/>
      </w:pPr>
      <w:r>
        <w:t xml:space="preserve">Every threat named in Chapters 3, 4, and 5 bears on how far this reading can be pushed, and each deserves a direct accounting now that the numbers are in hand.</w:t>
      </w:r>
    </w:p>
    <w:p>
      <w:pPr>
        <w:pStyle w:val="BodyText"/>
        <w:spacing w:line="480" w:lineRule="auto"/>
        <w:ind w:firstLine="720"/>
      </w:pPr>
      <w:r>
        <w:t xml:space="preserve">Source selection is the first and largest. The corpus is retrieved, not sampled, so it describes what the retrieval surfaced rather than the field entire. A different retrieval, wider or differently seeded, could surface accumulated structure this pack missed. The nulls are therefore statements about this corpus, and the preserved source column is the mechanism by which a later study can widen the universe and check whether the nulls survive</w:t>
      </w:r>
      <w:r>
        <w:t xml:space="preserve"> </w:t>
      </w:r>
      <w:hyperlink w:anchor="ref-6">
        <w:r>
          <w:rPr>
            <w:rStyle w:val="Hyperlink"/>
          </w:rPr>
          <w:t xml:space="preserve">[6]</w:t>
        </w:r>
      </w:hyperlink>
      <w:r>
        <w:t xml:space="preserve">. The design does not claim the corpus is representative; it claims the corpus is inspectable, which is a weaker and more honest claim.</w:t>
      </w:r>
    </w:p>
    <w:p>
      <w:pPr>
        <w:pStyle w:val="BodyText"/>
        <w:spacing w:line="480" w:lineRule="auto"/>
        <w:ind w:firstLine="720"/>
      </w:pPr>
      <w:r>
        <w:t xml:space="preserve">Proxy measurement is the second, and it bites hardest on the citation results. The local citation field is a lower bound that records zero wherever the index reported nothing, and Chapter 6 found the citation coefficient to be a near-perfect flat 0.993 in the cross-section and an imprecise negative elasticity in the temporal model. Some of that flatness is almost certainly the proxy rather than the world. A floored, unevenly measured attention variable will show no structure even when true attention has some, so the citation nulls should be read as uninformative about real attention rather than as evidence that attention is unstructured</w:t>
      </w:r>
      <w:r>
        <w:t xml:space="preserve"> </w:t>
      </w:r>
      <w:hyperlink w:anchor="ref-4">
        <w:r>
          <w:rPr>
            <w:rStyle w:val="Hyperlink"/>
          </w:rPr>
          <w:t xml:space="preserve">[4]</w:t>
        </w:r>
      </w:hyperlink>
      <w:r>
        <w:t xml:space="preserve">.</w:t>
      </w:r>
    </w:p>
    <w:p>
      <w:pPr>
        <w:pStyle w:val="BodyText"/>
        <w:spacing w:line="480" w:lineRule="auto"/>
        <w:ind w:firstLine="720"/>
      </w:pPr>
      <w:r>
        <w:t xml:space="preserve">Omitted variables are the third. A metadata model cannot include the technical, institutional, or market forces that actually drive whether a topic organizes a literature. The robust standard errors make the reported precision honest about the noise the model captures, but they do nothing for the drivers the model never sees. This is why the recency sign, though encouraging, cannot be elevated: an omitted correlate of recency could produce the same faint positive slope without any emergence mechanism behind it</w:t>
      </w:r>
      <w:r>
        <w:t xml:space="preserve"> </w:t>
      </w:r>
      <w:hyperlink w:anchor="ref-2">
        <w:r>
          <w:rPr>
            <w:rStyle w:val="Hyperlink"/>
          </w:rPr>
          <w:t xml:space="preserve">[2]</w:t>
        </w:r>
      </w:hyperlink>
      <w:r>
        <w:t xml:space="preserve">.</w:t>
      </w:r>
    </w:p>
    <w:p>
      <w:pPr>
        <w:pStyle w:val="BodyText"/>
        <w:spacing w:line="480" w:lineRule="auto"/>
        <w:ind w:firstLine="720"/>
      </w:pPr>
      <w:r>
        <w:t xml:space="preserve">Overinterpretation is the fourth, and in a policy-adjacent dissertation it is the one most likely to do damage. The significant intercept in the temporal model, p = 0.020, and the correctly-signed recency coefficient are exactly the kinds of results a careless reading would parade as support. The design’s procedural defense held: every coefficient was reported with its p-value, and the interpretation was bound to precision, so the intercept was called what it is, a level parameter, and the recency sign was called suggestive rather than confirmed</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Term-match noise is the fifth. The topic-signal score, built by counting theme terms across four metadata fields, will register adjacent work that mentions network or security operations without being about agentic NOC and SOC practice. This adds measurement error to the outcome and biases the estimates toward the null. Some fraction of the flat results is thus attributable to the outcome variable itself being noisy, which is a reason the next study should code documents directly rather than rely on term hits</w:t>
      </w:r>
      <w:r>
        <w:t xml:space="preserve"> </w:t>
      </w:r>
      <w:hyperlink w:anchor="ref-1">
        <w:r>
          <w:rPr>
            <w:rStyle w:val="Hyperlink"/>
          </w:rPr>
          <w:t xml:space="preserve">[1]</w:t>
        </w:r>
      </w:hyperlink>
      <w:r>
        <w:t xml:space="preserve">.</w:t>
      </w:r>
    </w:p>
    <w:bookmarkEnd w:id="122"/>
    <w:bookmarkStart w:id="123" w:name="what-the-data-cannot-show"/>
    <w:p>
      <w:pPr>
        <w:pStyle w:val="Heading2"/>
        <w:spacing w:line="480" w:lineRule="auto"/>
      </w:pPr>
      <w:r>
        <w:t xml:space="preserve">What the data cannot show</w:t>
      </w:r>
    </w:p>
    <w:p>
      <w:pPr>
        <w:pStyle w:val="FirstParagraph"/>
        <w:spacing w:line="480" w:lineRule="auto"/>
      </w:pPr>
      <w:r>
        <w:t xml:space="preserve">It is worth stating plainly what lies outside this design’s reach, because the boundary is where future work begins. The data cannot show whether agentic NOC and SOC operations are safe, whether they improve mission outcomes, or whether GAO-25-108138 has correctly identified the oversight gap. Those are causal and evaluative questions about operational systems, and this is a document-level screen of a retrieved corpus. The data cannot show the true citation trajectory of the topic, because the citation variable is a local lower bound. And the data cannot show whether the field will mature, because a thirty-record snapshot has no predictive purchase on a trend it can barely detect</w:t>
      </w:r>
      <w:r>
        <w:t xml:space="preserve"> </w:t>
      </w:r>
      <w:hyperlink w:anchor="ref-8">
        <w:r>
          <w:rPr>
            <w:rStyle w:val="Hyperlink"/>
          </w:rPr>
          <w:t xml:space="preserve">[8]</w:t>
        </w:r>
      </w:hyperlink>
      <w:r>
        <w:t xml:space="preserve">.</w:t>
      </w:r>
    </w:p>
    <w:p>
      <w:pPr>
        <w:pStyle w:val="BodyText"/>
        <w:spacing w:line="480" w:lineRule="auto"/>
        <w:ind w:firstLine="720"/>
      </w:pPr>
      <w:r>
        <w:t xml:space="preserve">What the data can show, they show cleanly. The topic is retrievable and auditable. Its signal is not yet strong enough for metadata screening to resolve into cross-sectional or temporal structure. The faint directional hints, positive on recency, negative on age accumulation, are mutually consistent and point toward youth. That is the whole of the defensible claim, and refusing to exceed it is the discipline the dissertation was built to enforce</w:t>
      </w:r>
      <w:r>
        <w:t xml:space="preserve"> </w:t>
      </w:r>
      <w:hyperlink w:anchor="ref-9">
        <w:r>
          <w:rPr>
            <w:rStyle w:val="Hyperlink"/>
          </w:rPr>
          <w:t xml:space="preserve">[9]</w:t>
        </w:r>
      </w:hyperlink>
      <w:r>
        <w:t xml:space="preserve">.</w:t>
      </w:r>
    </w:p>
    <w:bookmarkEnd w:id="123"/>
    <w:bookmarkStart w:id="124" w:name="the-value-of-a-disciplined-null"/>
    <w:p>
      <w:pPr>
        <w:pStyle w:val="Heading2"/>
        <w:spacing w:line="480" w:lineRule="auto"/>
      </w:pPr>
      <w:r>
        <w:t xml:space="preserve">The value of a disciplined null</w:t>
      </w:r>
    </w:p>
    <w:p>
      <w:pPr>
        <w:pStyle w:val="FirstParagraph"/>
        <w:spacing w:line="480" w:lineRule="auto"/>
      </w:pPr>
      <w:r>
        <w:t xml:space="preserve">There is a broader methodological point in this outcome. A governance evidence base is served as much by a well-characterized null as by a positive finding, because a disciplined null prevents premature confidence. A claim that survives source tracing, deterministic variable construction, and estimator review is stronger than an impressionistic assertion. A claim that fails those tests, as the emergence hypothesis did here, is stronger evidence still against acting on the intuition, because the failure is reproducible and its causes are named. The dissertation contributes to the pipeline not by manufacturing a result but by demonstrating that the honest result, carefully reported, is itself decision-relevant</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124"/>
    <w:bookmarkStart w:id="125" w:name="X43ef8817e18e85ac76ffa715e66ee60be623860"/>
    <w:p>
      <w:pPr>
        <w:pStyle w:val="Heading2"/>
        <w:spacing w:line="480" w:lineRule="auto"/>
      </w:pPr>
      <w:r>
        <w:t xml:space="preserve">Reconciling the finding with the inevitability of automation</w:t>
      </w:r>
    </w:p>
    <w:p>
      <w:pPr>
        <w:pStyle w:val="FirstParagraph"/>
        <w:spacing w:line="480" w:lineRule="auto"/>
      </w:pPr>
      <w:r>
        <w:t xml:space="preserve">A tension deserves direct attention, because a careless reader might see one. The architectural literature says autonomy in space operations is effectively inevitable at scale</w:t>
      </w:r>
      <w:r>
        <w:t xml:space="preserve"> </w:t>
      </w:r>
      <w:hyperlink w:anchor="ref-2">
        <w:r>
          <w:rPr>
            <w:rStyle w:val="Hyperlink"/>
          </w:rPr>
          <w:t xml:space="preserve">[2]</w:t>
        </w:r>
      </w:hyperlink>
      <w:r>
        <w:t xml:space="preserve"> </w:t>
      </w:r>
      <w:hyperlink w:anchor="ref-4">
        <w:r>
          <w:rPr>
            <w:rStyle w:val="Hyperlink"/>
          </w:rPr>
          <w:t xml:space="preserve">[4]</w:t>
        </w:r>
      </w:hyperlink>
      <w:r>
        <w:t xml:space="preserve">, while this dissertation reports that the topic is not yet organized in the published record. Are these in conflict? They are not, and the reconciliation is instructive. Inevitability and legibility are different properties on different clocks. Programs adopt agentic operations because the operational tempo demands it, and they adopt it whether or not the scholarly and audit record has caught up. The lag this dissertation measures is precisely the gap between the fast clock of operational adoption and the slow clock of documentary consolidation. A young metadata footprint alongside inevitable adoption is not a contradiction; it is the very phenomenon the introduction named, observed from the measurement side.</w:t>
      </w:r>
    </w:p>
    <w:p>
      <w:pPr>
        <w:pStyle w:val="BodyText"/>
        <w:spacing w:line="480" w:lineRule="auto"/>
        <w:ind w:firstLine="720"/>
      </w:pPr>
      <w:r>
        <w:t xml:space="preserve">This reconciliation carries the governance payload. If adoption were tracking documentation closely, an oversight body could wait for the record to mature and then codify against a settled literature. Because adoption runs ahead of documentation, waiting is not neutral: every month of lag is a month in which agentic operations centers accumulate authority that no consolidated body of practice or audit has yet described</w:t>
      </w:r>
      <w:r>
        <w:t xml:space="preserve"> </w:t>
      </w:r>
      <w:hyperlink w:anchor="ref-3">
        <w:r>
          <w:rPr>
            <w:rStyle w:val="Hyperlink"/>
          </w:rPr>
          <w:t xml:space="preserve">[3]</w:t>
        </w:r>
      </w:hyperlink>
      <w:r>
        <w:t xml:space="preserve">. The finding therefore argues against both premature codification and passive waiting, and in favor of a third posture: instrumentation. An oversight regime that required operators to log their trust-calibration decisions and their agent-authority boundaries would generate, internally, the structured record that the public literature has not yet produced</w:t>
      </w:r>
      <w:r>
        <w:t xml:space="preserve"> </w:t>
      </w:r>
      <w:hyperlink w:anchor="ref-6">
        <w:r>
          <w:rPr>
            <w:rStyle w:val="Hyperlink"/>
          </w:rPr>
          <w:t xml:space="preserve">[6]</w:t>
        </w:r>
      </w:hyperlink>
      <w:r>
        <w:t xml:space="preserve">. The negative result in the corpus becomes, read this way, a positive argument for building the evidence rather than expecting it to arrive on its own.</w:t>
      </w:r>
    </w:p>
    <w:bookmarkEnd w:id="125"/>
    <w:bookmarkStart w:id="126" w:name="Xe995952686f0c54f43b80a95cda2a803bd469a9"/>
    <w:p>
      <w:pPr>
        <w:pStyle w:val="Heading2"/>
        <w:spacing w:line="480" w:lineRule="auto"/>
      </w:pPr>
      <w:r>
        <w:t xml:space="preserve">The accountability geometry the data cannot see but the theory implies</w:t>
      </w:r>
    </w:p>
    <w:p>
      <w:pPr>
        <w:pStyle w:val="FirstParagraph"/>
        <w:spacing w:line="480" w:lineRule="auto"/>
      </w:pPr>
      <w:r>
        <w:t xml:space="preserve">The screen measures metadata, and metadata cannot show where decision authority sits inside an operations center. Yet the literature the screen indexes points consistently at a specific accountability geometry, and it is worth drawing out because it defines the substantive question a stronger design would target. Agents diffuse decisions across software; the reinforcement-learning tasking work shows a learned policy making allocation choices no human explicitly authored</w:t>
      </w:r>
      <w:r>
        <w:t xml:space="preserve"> </w:t>
      </w:r>
      <w:hyperlink w:anchor="ref-7">
        <w:r>
          <w:rPr>
            <w:rStyle w:val="Hyperlink"/>
          </w:rPr>
          <w:t xml:space="preserve">[7]</w:t>
        </w:r>
      </w:hyperlink>
      <w:r>
        <w:t xml:space="preserve">. Partnerships diffuse decisions across organizations; the partnering literature argues distributed authority outperforms centralized command</w:t>
      </w:r>
      <w:r>
        <w:t xml:space="preserve"> </w:t>
      </w:r>
      <w:hyperlink w:anchor="ref-6">
        <w:r>
          <w:rPr>
            <w:rStyle w:val="Hyperlink"/>
          </w:rPr>
          <w:t xml:space="preserve">[6]</w:t>
        </w:r>
      </w:hyperlink>
      <w:r>
        <w:t xml:space="preserve">. Fusion of network and security functions diffuses decisions across formerly separate teams</w:t>
      </w:r>
      <w:r>
        <w:t xml:space="preserve"> </w:t>
      </w:r>
      <w:hyperlink w:anchor="ref-2">
        <w:r>
          <w:rPr>
            <w:rStyle w:val="Hyperlink"/>
          </w:rPr>
          <w:t xml:space="preserve">[2]</w:t>
        </w:r>
      </w:hyperlink>
      <w:r>
        <w:t xml:space="preserve">. Each diffusion erodes the single accountable operator that oversight regimes presume, and the multi-agent synthesis makes the erosion its central open problem</w:t>
      </w:r>
      <w:r>
        <w:t xml:space="preserve"> </w:t>
      </w:r>
      <w:hyperlink w:anchor="ref-9">
        <w:r>
          <w:rPr>
            <w:rStyle w:val="Hyperlink"/>
          </w:rPr>
          <w:t xml:space="preserve">[9]</w:t>
        </w:r>
      </w:hyperlink>
      <w:r>
        <w:t xml:space="preserve">.</w:t>
      </w:r>
    </w:p>
    <w:p>
      <w:pPr>
        <w:pStyle w:val="BodyText"/>
        <w:spacing w:line="480" w:lineRule="auto"/>
        <w:ind w:firstLine="720"/>
      </w:pPr>
      <w:r>
        <w:t xml:space="preserve">The dissertation cannot measure this geometry, and it does not claim to. What it can do is establish that the topic which raises the geometry is real, retrievable, and young, which is the precondition for a study that would measure it directly. A future design that coded operations-center documentation for where authority is assigned, and joined that coding to incident and audit records, could test whether the diffusion the theory predicts actually degrades accountability in practice</w:t>
      </w:r>
      <w:r>
        <w:t xml:space="preserve"> </w:t>
      </w:r>
      <w:hyperlink w:anchor="ref-8">
        <w:r>
          <w:rPr>
            <w:rStyle w:val="Hyperlink"/>
          </w:rPr>
          <w:t xml:space="preserve">[8]</w:t>
        </w:r>
      </w:hyperlink>
      <w:r>
        <w:t xml:space="preserve">. The present work marks that question as the destination and its own null as the departure point. Naming the geometry the data cannot see is not a confession of weakness; it is the specification of the next study, written precisely because the current one was disciplined enough to know its own edge.</w:t>
      </w:r>
    </w:p>
    <w:bookmarkEnd w:id="126"/>
    <w:bookmarkStart w:id="127" w:name="X58af0e4658aa7b8f4980df764d57ca44043eff3"/>
    <w:p>
      <w:pPr>
        <w:pStyle w:val="Heading2"/>
        <w:spacing w:line="480" w:lineRule="auto"/>
      </w:pPr>
      <w:r>
        <w:t xml:space="preserve">What a reader should not take from this chapter</w:t>
      </w:r>
    </w:p>
    <w:p>
      <w:pPr>
        <w:pStyle w:val="FirstParagraph"/>
        <w:spacing w:line="480" w:lineRule="auto"/>
      </w:pPr>
      <w:r>
        <w:t xml:space="preserve">A discussion chapter should also foreclose the misreadings it can anticipate. A reader should not take the nulls as evidence that agentic operations are unimportant; importance and documentary organization are different, and the architectural literature settles importance independently</w:t>
      </w:r>
      <w:r>
        <w:t xml:space="preserve"> </w:t>
      </w:r>
      <w:hyperlink w:anchor="ref-4">
        <w:r>
          <w:rPr>
            <w:rStyle w:val="Hyperlink"/>
          </w:rPr>
          <w:t xml:space="preserve">[4]</w:t>
        </w:r>
      </w:hyperlink>
      <w:r>
        <w:t xml:space="preserve">. A reader should not take the negative age tilt as proof that recent work draws more attention, because the elasticity is imprecise and the citation variable is floored</w:t>
      </w:r>
      <w:r>
        <w:t xml:space="preserve"> </w:t>
      </w:r>
      <w:hyperlink w:anchor="ref-5">
        <w:r>
          <w:rPr>
            <w:rStyle w:val="Hyperlink"/>
          </w:rPr>
          <w:t xml:space="preserve">[5]</w:t>
        </w:r>
      </w:hyperlink>
      <w:r>
        <w:t xml:space="preserve">. A reader should not take the reproducibility of the design as a claim to representativeness; the corpus is retrieved, and a wider retrieval could overturn the nulls</w:t>
      </w:r>
      <w:r>
        <w:t xml:space="preserve"> </w:t>
      </w:r>
      <w:hyperlink w:anchor="ref-6">
        <w:r>
          <w:rPr>
            <w:rStyle w:val="Hyperlink"/>
          </w:rPr>
          <w:t xml:space="preserve">[6]</w:t>
        </w:r>
      </w:hyperlink>
      <w:r>
        <w:t xml:space="preserve">. And a reader should not take the modesty of the result as a defect of ambition. The ambition was to test one falsifiable claim honestly, and the honest outcome was a well-characterized null whose causes are named and whose successor study is specified. Holding the interpretation to exactly that scope is the discipline the whole design exists to enforce</w:t>
      </w:r>
      <w:r>
        <w:t xml:space="preserve"> </w:t>
      </w:r>
      <w:hyperlink w:anchor="ref-1">
        <w:r>
          <w:rPr>
            <w:rStyle w:val="Hyperlink"/>
          </w:rPr>
          <w:t xml:space="preserve">[1]</w:t>
        </w:r>
      </w:hyperlink>
      <w:r>
        <w:t xml:space="preserve"> </w:t>
      </w:r>
      <w:hyperlink w:anchor="ref-9">
        <w:r>
          <w:rPr>
            <w:rStyle w:val="Hyperlink"/>
          </w:rPr>
          <w:t xml:space="preserve">[9]</w:t>
        </w:r>
      </w:hyperlink>
      <w:r>
        <w:t xml:space="preserve">.</w:t>
      </w:r>
    </w:p>
    <w:bookmarkEnd w:id="127"/>
    <w:bookmarkStart w:id="128" w:name="X63416e7d4863c36a5bce8d5aa34d8b87cdaa084"/>
    <w:p>
      <w:pPr>
        <w:pStyle w:val="Heading2"/>
        <w:spacing w:line="480" w:lineRule="auto"/>
      </w:pPr>
      <w:r>
        <w:t xml:space="preserve">Implications for the design of oversight instruments</w:t>
      </w:r>
    </w:p>
    <w:p>
      <w:pPr>
        <w:pStyle w:val="FirstParagraph"/>
        <w:spacing w:line="480" w:lineRule="auto"/>
      </w:pPr>
      <w:r>
        <w:t xml:space="preserve">If the finding is that agentic operations are real, adopted, and documentarily immature, then the shape of the oversight instrument matters as much as its timing, and the discussion should draw out what shape the finding recommends. A fixed compliance checklist, written now against a settled standard, would be poorly matched to a practice still in the calibration phase the trust literature describes, because the checklist would freeze a snapshot of a moving relationship</w:t>
      </w:r>
      <w:r>
        <w:t xml:space="preserve"> </w:t>
      </w:r>
      <w:hyperlink w:anchor="ref-3">
        <w:r>
          <w:rPr>
            <w:rStyle w:val="Hyperlink"/>
          </w:rPr>
          <w:t xml:space="preserve">[3]</w:t>
        </w:r>
      </w:hyperlink>
      <w:r>
        <w:t xml:space="preserve">. A better-matched instrument would be process-based rather than state-based: rather than certifying that an operations center is in an approved configuration, it would require the center to maintain an auditable record of how its reliance on the agent is calibrated, revised, and bounded over time. Such an instrument governs the moving object by inspecting the process that moves it, which is the only stable thing to inspect when the state itself will not hold still.</w:t>
      </w:r>
    </w:p>
    <w:p>
      <w:pPr>
        <w:pStyle w:val="BodyText"/>
        <w:spacing w:line="480" w:lineRule="auto"/>
        <w:ind w:firstLine="720"/>
      </w:pPr>
      <w:r>
        <w:t xml:space="preserve">This recommendation follows from the finding rather than from preference. The metadata screen could not find accumulated structure because the practice’s active half, the calibration inside operations centers, does not publish and therefore leaves no documentary trace for a screen to read</w:t>
      </w:r>
      <w:r>
        <w:t xml:space="preserve"> </w:t>
      </w:r>
      <w:hyperlink w:anchor="ref-7">
        <w:r>
          <w:rPr>
            <w:rStyle w:val="Hyperlink"/>
          </w:rPr>
          <w:t xml:space="preserve">[7]</w:t>
        </w:r>
      </w:hyperlink>
      <w:r>
        <w:t xml:space="preserve">. An oversight instrument that required operators to log that active half would convert the invisible calibration into a recorded, auditable object. The very thing the screen could not see because it is undocumented would become documented by the act of oversight itself. That is a concrete, actionable implication: the gap this dissertation measures is not only a gap in the literature but a gap the right instrument could close, by generating the evidence that adoption has so far outrun</w:t>
      </w:r>
      <w:r>
        <w:t xml:space="preserve"> </w:t>
      </w:r>
      <w:hyperlink w:anchor="ref-2">
        <w:r>
          <w:rPr>
            <w:rStyle w:val="Hyperlink"/>
          </w:rPr>
          <w:t xml:space="preserve">[2]</w:t>
        </w:r>
      </w:hyperlink>
      <w:r>
        <w:t xml:space="preserve"> </w:t>
      </w:r>
      <w:hyperlink w:anchor="ref-6">
        <w:r>
          <w:rPr>
            <w:rStyle w:val="Hyperlink"/>
          </w:rPr>
          <w:t xml:space="preserve">[6]</w:t>
        </w:r>
      </w:hyperlink>
      <w:r>
        <w:t xml:space="preserve">. An audit body reading this work would take from it not a rule to impose but a form of record to require.</w:t>
      </w:r>
    </w:p>
    <w:bookmarkEnd w:id="128"/>
    <w:bookmarkStart w:id="129" w:name="X418b4727083dfbb77859fce858cc7e8fb245d97"/>
    <w:p>
      <w:pPr>
        <w:pStyle w:val="Heading2"/>
        <w:spacing w:line="480" w:lineRule="auto"/>
      </w:pPr>
      <w:r>
        <w:t xml:space="preserve">The dissertation within the broader research pipeline</w:t>
      </w:r>
    </w:p>
    <w:p>
      <w:pPr>
        <w:pStyle w:val="FirstParagraph"/>
        <w:spacing w:line="480" w:lineRule="auto"/>
      </w:pPr>
      <w:r>
        <w:t xml:space="preserve">The result also carries a lesson for the research pipeline this dissertation belongs to, which routinely confronts emerging topics with thin early evidence. The temptation across such a pipeline is to treat every emerging topic as confirmable, to find some significant coefficient and narrate a finding. This project demonstrates the alternative discipline: a topic can be measured, returned as a well-characterized null, and reported as decision-relevant precisely because the null is honest and its causes are named</w:t>
      </w:r>
      <w:r>
        <w:t xml:space="preserve"> </w:t>
      </w:r>
      <w:hyperlink w:anchor="ref-5">
        <w:r>
          <w:rPr>
            <w:rStyle w:val="Hyperlink"/>
          </w:rPr>
          <w:t xml:space="preserve">[5]</w:t>
        </w:r>
      </w:hyperlink>
      <w:r>
        <w:t xml:space="preserve">. A pipeline that internalized this discipline would produce fewer false positives and more trustworthy baselines, and its cumulative output would be more credible to the audit audiences it serves. The negative result here is thus not only a finding about agentic operations; it is a small proof that a null, carefully produced, is a legitimate and useful doctoral contribution rather than a failed search for significance</w:t>
      </w:r>
      <w:r>
        <w:t xml:space="preserve"> </w:t>
      </w:r>
      <w:hyperlink w:anchor="ref-8">
        <w:r>
          <w:rPr>
            <w:rStyle w:val="Hyperlink"/>
          </w:rPr>
          <w:t xml:space="preserve">[8]</w:t>
        </w:r>
      </w:hyperlink>
      <w:r>
        <w:t xml:space="preserve"> </w:t>
      </w:r>
      <w:hyperlink w:anchor="ref-9">
        <w:r>
          <w:rPr>
            <w:rStyle w:val="Hyperlink"/>
          </w:rPr>
          <w:t xml:space="preserve">[9]</w:t>
        </w:r>
      </w:hyperlink>
      <w:r>
        <w:t xml:space="preserve">. That proof travels beyond the single case, and it is part of what the dissertation offers back to the enterprise that produced it.</w:t>
      </w:r>
    </w:p>
    <w:bookmarkEnd w:id="129"/>
    <w:bookmarkStart w:id="130" w:name="X2a1c1aac64be5a06ebbcb362605a71f4e7b4e90"/>
    <w:p>
      <w:pPr>
        <w:pStyle w:val="Heading2"/>
        <w:spacing w:line="480" w:lineRule="auto"/>
      </w:pPr>
      <w:r>
        <w:t xml:space="preserve">The limits of analogy to other emerging technologies</w:t>
      </w:r>
    </w:p>
    <w:p>
      <w:pPr>
        <w:pStyle w:val="FirstParagraph"/>
        <w:spacing w:line="480" w:lineRule="auto"/>
      </w:pPr>
      <w:r>
        <w:t xml:space="preserve">A final caution guards against a tempting but unsafe generalization. It would be easy to reason by analogy from other emerging technologies whose governance famously lagged their adoption, and to import whatever lessons those cases seemed to teach. The analogy is unsafe for a specific reason the findings make visible. Agentic space operations differ from most emerging-technology cases in the geometry of their accountability: authority is diffused across machines, across fused network and security functions, and across partnered organizations at once</w:t>
      </w:r>
      <w:r>
        <w:t xml:space="preserve"> </w:t>
      </w:r>
      <w:hyperlink w:anchor="ref-6">
        <w:r>
          <w:rPr>
            <w:rStyle w:val="Hyperlink"/>
          </w:rPr>
          <w:t xml:space="preserve">[6]</w:t>
        </w:r>
      </w:hyperlink>
      <w:r>
        <w:t xml:space="preserve"> </w:t>
      </w:r>
      <w:hyperlink w:anchor="ref-9">
        <w:r>
          <w:rPr>
            <w:rStyle w:val="Hyperlink"/>
          </w:rPr>
          <w:t xml:space="preserve">[9]</w:t>
        </w:r>
      </w:hyperlink>
      <w:r>
        <w:t xml:space="preserve">. Governance analogies drawn from technologies with a single accountable operator will mislead, because the structural problem here is precisely the absence of that single operator. The dissertation’s evidence cannot resolve the accountability geometry, but it can warn that the geometry is unusual enough to make casual analogy hazardous</w:t>
      </w:r>
      <w:r>
        <w:t xml:space="preserve"> </w:t>
      </w:r>
      <w:hyperlink w:anchor="ref-3">
        <w:r>
          <w:rPr>
            <w:rStyle w:val="Hyperlink"/>
          </w:rPr>
          <w:t xml:space="preserve">[3]</w:t>
        </w:r>
      </w:hyperlink>
      <w:r>
        <w:t xml:space="preserve">.</w:t>
      </w:r>
    </w:p>
    <w:p>
      <w:pPr>
        <w:pStyle w:val="BodyText"/>
        <w:spacing w:line="480" w:lineRule="auto"/>
        <w:ind w:firstLine="720"/>
      </w:pPr>
      <w:r>
        <w:t xml:space="preserve">This caution is itself a governance implication. An oversight body reaching for a template from a better-studied domain should first check whether that domain shared the diffused-authority structure, and if it did not, the template will encode assumptions that do not hold. The safer path is the one the findings support: treat agentic space operations as their own case, measure them on their own evidence, and build instruments matched to their specific accountability geometry rather than inherited from a superficially similar technology</w:t>
      </w:r>
      <w:r>
        <w:t xml:space="preserve"> </w:t>
      </w:r>
      <w:hyperlink w:anchor="ref-2">
        <w:r>
          <w:rPr>
            <w:rStyle w:val="Hyperlink"/>
          </w:rPr>
          <w:t xml:space="preserve">[2]</w:t>
        </w:r>
      </w:hyperlink>
      <w:r>
        <w:t xml:space="preserve">. The dissertation contributes to that safer path by establishing, reproducibly, that the case is real and distinctive, and by refusing to let the convenience of analogy substitute for measurement the domain has not yet supplied</w:t>
      </w:r>
      <w:r>
        <w:t xml:space="preserve"> </w:t>
      </w:r>
      <w:hyperlink w:anchor="ref-7">
        <w:r>
          <w:rPr>
            <w:rStyle w:val="Hyperlink"/>
          </w:rPr>
          <w:t xml:space="preserve">[7]</w:t>
        </w:r>
      </w:hyperlink>
      <w:r>
        <w:t xml:space="preserve">.</w:t>
      </w:r>
    </w:p>
    <w:bookmarkEnd w:id="130"/>
    <w:bookmarkEnd w:id="131"/>
    <w:bookmarkStart w:id="173"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convert a broad intuition about space governance into a single falsifiable test, and to report the result of that test without exceeding it. The intuition was that agentic NOC and SOC operations for space missions are outrunning the oversight posture captured in GAO-25-108138. The test asked whether that emergence is yet visible in the structure of a retrieved corpus, along recency, citation attention, and venue family. The answer, reported in full in Chapter 6, is that it is not yet resolvable by metadata screening, though the faint directional hints point toward a young and recency-weighted topic. This closing chapter states the contribution, draws the governance and program relevance, and specifies the study the evidence justifies next.</w:t>
      </w:r>
    </w:p>
    <w:bookmarkStart w:id="132" w:name="the-contribution"/>
    <w:p>
      <w:pPr>
        <w:pStyle w:val="Heading2"/>
        <w:spacing w:line="480" w:lineRule="auto"/>
      </w:pPr>
      <w:r>
        <w:t xml:space="preserve">The contribution</w:t>
      </w:r>
    </w:p>
    <w:p>
      <w:pPr>
        <w:pStyle w:val="FirstParagraph"/>
        <w:spacing w:line="480" w:lineRule="auto"/>
      </w:pPr>
      <w:r>
        <w:t xml:space="preserve">The contribution is one bounded, reproducible finding and the method that produced it. Substantively, the dissertation establishes that the candidate topic, as captured in thirty retrieved records spanning 2016 to 2025, does not exhibit statistically resolved cross-sectional or temporal structure. The ordinary least squares screen could not reject its joint null, with F p = 0.467, and its recency coefficient of 0.166 was correctly signed but imprecise at p = 0.238. The learning-curve screen could not reject its null either, returning an age elasticity of -0.282 at p = 0.215 and a progress ratio of 0.822, a weak decline rather than an accumulation. These are not interchangeable results; one describes structure across records and the other structure over time, and their agreement on the null is what makes the combined finding coherent rather than accidental</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p>
      <w:pPr>
        <w:pStyle w:val="BodyText"/>
        <w:spacing w:line="480" w:lineRule="auto"/>
        <w:ind w:firstLine="720"/>
      </w:pPr>
      <w:r>
        <w:t xml:space="preserve">Methodologically, the contribution is a demonstration that a space-domain governance claim can be turned into deterministic variables, standard estimators, and an inspectable audit trail, such that any reader can regenerate every number from the source corpus forward. That matters because the domain is full of claims that begin with partial records and never expose their inference. The dissertation shows the alternative: a fixed corpus, deterministic construction, exact reporting, and an interpretation bound to precision. The falsifiability was genuine, the null was real, and the null was reported as a finding rather than dressed up or discarded</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32"/>
    <w:bookmarkStart w:id="133" w:name="governance-and-program-relevance"/>
    <w:p>
      <w:pPr>
        <w:pStyle w:val="Heading2"/>
        <w:spacing w:line="480" w:lineRule="auto"/>
      </w:pPr>
      <w:r>
        <w:t xml:space="preserve">Governance and program relevance</w:t>
      </w:r>
    </w:p>
    <w:p>
      <w:pPr>
        <w:pStyle w:val="FirstParagraph"/>
        <w:spacing w:line="480" w:lineRule="auto"/>
      </w:pPr>
      <w:r>
        <w:t xml:space="preserve">The relevance to GAO-25-108138 runs through the timing signal the results carry. An oversight body reasoning about agentic operations faces a choice between codifying now and waiting for the practice to settle. The findings speak to that choice. A topic whose published record has not yet accumulated the structure that metadata screening can detect is, on the most defensible reading, still in the calibration phase where operator trust is being revised continuously and no shared standard has settled</w:t>
      </w:r>
      <w:r>
        <w:t xml:space="preserve"> </w:t>
      </w:r>
      <w:hyperlink w:anchor="ref-3">
        <w:r>
          <w:rPr>
            <w:rStyle w:val="Hyperlink"/>
          </w:rPr>
          <w:t xml:space="preserve">[3]</w:t>
        </w:r>
      </w:hyperlink>
      <w:r>
        <w:t xml:space="preserve">. Codifying a rule against that moving target risks freezing an immature pattern before its failure modes are understood. The dissertation does not tell the oversight body what rule to write. It tells the oversight body that the evidence base is early, and that early is a reason for provisional, revisable instruments rather than fixed ones.</w:t>
      </w:r>
    </w:p>
    <w:p>
      <w:pPr>
        <w:pStyle w:val="BodyText"/>
        <w:spacing w:line="480" w:lineRule="auto"/>
        <w:ind w:firstLine="720"/>
      </w:pPr>
      <w:r>
        <w:t xml:space="preserve">There is a program-management corollary. The architectural literature is unambiguous that autonomy in space operations is not optional at scale: just-in-time optical relay demands machine-speed control</w:t>
      </w:r>
      <w:r>
        <w:t xml:space="preserve"> </w:t>
      </w:r>
      <w:hyperlink w:anchor="ref-2">
        <w:r>
          <w:rPr>
            <w:rStyle w:val="Hyperlink"/>
          </w:rPr>
          <w:t xml:space="preserve">[2]</w:t>
        </w:r>
      </w:hyperlink>
      <w:r>
        <w:t xml:space="preserve">, and proliferated sensor networks pass a size threshold beyond which human management stops being feasible</w:t>
      </w:r>
      <w:r>
        <w:t xml:space="preserve"> </w:t>
      </w:r>
      <w:hyperlink w:anchor="ref-4">
        <w:r>
          <w:rPr>
            <w:rStyle w:val="Hyperlink"/>
          </w:rPr>
          <w:t xml:space="preserve">[4]</w:t>
        </w:r>
      </w:hyperlink>
      <w:r>
        <w:t xml:space="preserve">. Programs are building toward agentic operation whether or not the governance record has caught up. The gap this dissertation measures is therefore not a reason to slow the engineering; it is a reason to instrument the engineering, so that the calibration curve the trust literature describes becomes visible to auditors rather than remaining locked inside each operator’s private experience</w:t>
      </w:r>
      <w:r>
        <w:t xml:space="preserve"> </w:t>
      </w:r>
      <w:hyperlink w:anchor="ref-6">
        <w:r>
          <w:rPr>
            <w:rStyle w:val="Hyperlink"/>
          </w:rPr>
          <w:t xml:space="preserve">[6]</w:t>
        </w:r>
      </w:hyperlink>
      <w:r>
        <w:t xml:space="preserve">. A program that logged its trust calibration would convert the very signal this screen could not find in the published record into an internal, auditable one.</w:t>
      </w:r>
    </w:p>
    <w:p>
      <w:pPr>
        <w:pStyle w:val="BodyText"/>
        <w:spacing w:line="480" w:lineRule="auto"/>
        <w:ind w:firstLine="720"/>
      </w:pPr>
      <w:r>
        <w:t xml:space="preserve">The distributed-accountability problem sharpens the corollary. When agents diffuse decisions across machines and partnerships diffuse them across organizations, the single accountable operator that oversight regimes presume dissolves</w:t>
      </w:r>
      <w:r>
        <w:t xml:space="preserve"> </w:t>
      </w:r>
      <w:hyperlink w:anchor="ref-9">
        <w:r>
          <w:rPr>
            <w:rStyle w:val="Hyperlink"/>
          </w:rPr>
          <w:t xml:space="preserve">[9]</w:t>
        </w:r>
      </w:hyperlink>
      <w:r>
        <w:t xml:space="preserve">. A design-stage finding cannot resolve that, but it can name it precisely and date it early, which is what allows a governance conversation to be empirically anchored rather than driven by whichever technical demonstration is most recent</w:t>
      </w:r>
      <w:r>
        <w:t xml:space="preserve"> </w:t>
      </w:r>
      <w:hyperlink w:anchor="ref-1">
        <w:r>
          <w:rPr>
            <w:rStyle w:val="Hyperlink"/>
          </w:rPr>
          <w:t xml:space="preserve">[1]</w:t>
        </w:r>
      </w:hyperlink>
      <w:r>
        <w:t xml:space="preserve">.</w:t>
      </w:r>
    </w:p>
    <w:bookmarkEnd w:id="133"/>
    <w:bookmarkStart w:id="134" w:name="future-work"/>
    <w:p>
      <w:pPr>
        <w:pStyle w:val="Heading2"/>
        <w:spacing w:line="480" w:lineRule="auto"/>
      </w:pPr>
      <w:r>
        <w:t xml:space="preserve">Future work</w:t>
      </w:r>
    </w:p>
    <w:p>
      <w:pPr>
        <w:pStyle w:val="FirstParagraph"/>
        <w:spacing w:line="480" w:lineRule="auto"/>
      </w:pPr>
      <w:r>
        <w:t xml:space="preserve">The evidence points to a clear next study, and it points there because of exactly where the present design ran out. The nulls here are partly substantive and partly measurement-driven, and the way to separate the two is to replace metadata proxies with direct document coding. Three moves follow.</w:t>
      </w:r>
    </w:p>
    <w:p>
      <w:pPr>
        <w:pStyle w:val="BodyText"/>
        <w:spacing w:line="480" w:lineRule="auto"/>
        <w:ind w:firstLine="720"/>
      </w:pPr>
      <w:r>
        <w:t xml:space="preserve">The first is to widen the corpus. The preserved source column makes the current universe inspectable, and a broader, differently seeded retrieval would test whether the nulls are properties of the topic or artifacts of this retrieval</w:t>
      </w:r>
      <w:r>
        <w:t xml:space="preserve"> </w:t>
      </w:r>
      <w:hyperlink w:anchor="ref-6">
        <w:r>
          <w:rPr>
            <w:rStyle w:val="Hyperlink"/>
          </w:rPr>
          <w:t xml:space="preserve">[6]</w:t>
        </w:r>
      </w:hyperlink>
      <w:r>
        <w:t xml:space="preserve">. A larger N would also lift the statistical power that a thirty-record screen inherently lacks, so that a faint recency sign like the 0.166 observed here could be resolved rather than merely noted.</w:t>
      </w:r>
    </w:p>
    <w:p>
      <w:pPr>
        <w:pStyle w:val="BodyText"/>
        <w:spacing w:line="480" w:lineRule="auto"/>
        <w:ind w:firstLine="720"/>
      </w:pPr>
      <w:r>
        <w:t xml:space="preserve">The second is to fix the outcome measurement. The topic-signal score, built by term matching, carries the adjacency noise that biases the estimates toward the null. Hand-coding each document for whether it genuinely concerns agentic NOC and SOC operation would remove that noise and give the cross-sectional model an outcome worth resolving</w:t>
      </w:r>
      <w:r>
        <w:t xml:space="preserve"> </w:t>
      </w:r>
      <w:hyperlink w:anchor="ref-5">
        <w:r>
          <w:rPr>
            <w:rStyle w:val="Hyperlink"/>
          </w:rPr>
          <w:t xml:space="preserve">[5]</w:t>
        </w:r>
      </w:hyperlink>
      <w:r>
        <w:t xml:space="preserve">. In parallel, replacing the local lower-bound citation field with a full citation source would rescue the attention variable from the floored measurement that produced its near-perfect flat coefficient</w:t>
      </w:r>
      <w:r>
        <w:t xml:space="preserve"> </w:t>
      </w:r>
      <w:hyperlink w:anchor="ref-4">
        <w:r>
          <w:rPr>
            <w:rStyle w:val="Hyperlink"/>
          </w:rPr>
          <w:t xml:space="preserve">[4]</w:t>
        </w:r>
      </w:hyperlink>
      <w:r>
        <w:t xml:space="preserve">.</w:t>
      </w:r>
    </w:p>
    <w:p>
      <w:pPr>
        <w:pStyle w:val="BodyText"/>
        <w:spacing w:line="480" w:lineRule="auto"/>
        <w:ind w:firstLine="720"/>
      </w:pPr>
      <w:r>
        <w:t xml:space="preserve">The third is to add the outcome the present design cannot reach. Metadata structure is a precursor question; the governance question is whether agentic operation affects mission safety and oversight adequacy. Reaching it requires operator-level, mission-level, or regulatory data joined to the corpus, and a design capable of causal rather than associational claims</w:t>
      </w:r>
      <w:r>
        <w:t xml:space="preserve"> </w:t>
      </w:r>
      <w:hyperlink w:anchor="ref-7">
        <w:r>
          <w:rPr>
            <w:rStyle w:val="Hyperlink"/>
          </w:rPr>
          <w:t xml:space="preserve">[7]</w:t>
        </w:r>
      </w:hyperlink>
      <w:r>
        <w:t xml:space="preserve">. That is a substantial undertaking, and the present dissertation earns its place precisely by establishing the baseline from which it can begin.</w:t>
      </w:r>
    </w:p>
    <w:bookmarkEnd w:id="134"/>
    <w:bookmarkStart w:id="135" w:name="closing"/>
    <w:p>
      <w:pPr>
        <w:pStyle w:val="Heading2"/>
        <w:spacing w:line="480" w:lineRule="auto"/>
      </w:pPr>
      <w:r>
        <w:t xml:space="preserve">Closing</w:t>
      </w:r>
    </w:p>
    <w:p>
      <w:pPr>
        <w:pStyle w:val="FirstParagraph"/>
        <w:spacing w:line="480" w:lineRule="auto"/>
      </w:pPr>
      <w:r>
        <w:t xml:space="preserve">The final claim is measured, because the design was built to keep it measured. This dissertation does not prove that agentic NOC and SOC operations are outrunning their governance. It proves something smaller and more durable: that the claim can be tested, that the retrieved evidence does not yet carry the structure the claim would predict, and that the honest reporting of that null is itself relevant to how GAO-25-108138 and the programs it oversees should proceed. An intuition has been replaced with an auditable empirical pathway, and the pathway is laid out clearly enough that the next researcher can walk it further</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135"/>
    <w:bookmarkStart w:id="136" w:name="X780c30547b7043b191711c248796fa6414de00b"/>
    <w:p>
      <w:pPr>
        <w:pStyle w:val="Heading2"/>
        <w:spacing w:line="480" w:lineRule="auto"/>
      </w:pPr>
      <w:r>
        <w:t xml:space="preserve">A staged program of institutional learning</w:t>
      </w:r>
    </w:p>
    <w:p>
      <w:pPr>
        <w:pStyle w:val="FirstParagraph"/>
        <w:spacing w:line="480" w:lineRule="auto"/>
      </w:pPr>
      <w:r>
        <w:t xml:space="preserve">The single next study is the immediate horizon, but the dissertation’s method suggests a longer staged program, and sketching it clarifies where this work sits in a larger arc. The first stage, the one completed here, uses public records and deterministic metadata to establish whether a governance claim is even measurable and along which dimensions. Its output is a baseline and a well-characterized null. The second stage replaces proxies with direct document coding and a widened corpus, resolving whether the faint recency lean survives more careful measurement and greater power</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third stage joins the coded corpus to operator-level, mission-level, or regulatory data, moving from association toward the causal and evaluative questions that the governance decision actually turns on</w:t>
      </w:r>
      <w:r>
        <w:t xml:space="preserve"> </w:t>
      </w:r>
      <w:hyperlink w:anchor="ref-7">
        <w:r>
          <w:rPr>
            <w:rStyle w:val="Hyperlink"/>
          </w:rPr>
          <w:t xml:space="preserve">[7]</w:t>
        </w:r>
      </w:hyperlink>
      <w:r>
        <w:t xml:space="preserve">. The fourth stage tests whether whatever association survives holds under stronger identification, matched comparison, or longitudinal design.</w:t>
      </w:r>
    </w:p>
    <w:p>
      <w:pPr>
        <w:pStyle w:val="BodyText"/>
        <w:spacing w:line="480" w:lineRule="auto"/>
        <w:ind w:firstLine="720"/>
      </w:pPr>
      <w:r>
        <w:t xml:space="preserve">Each stage answers a question the previous one could only pose, and each is honest about handing the harder question forward. This staging is not unique to the present topic; it is a template for how a governance evidence base can be built from partial records without either waiting for perfect data or overstating weak evidence</w:t>
      </w:r>
      <w:r>
        <w:t xml:space="preserve"> </w:t>
      </w:r>
      <w:hyperlink w:anchor="ref-3">
        <w:r>
          <w:rPr>
            <w:rStyle w:val="Hyperlink"/>
          </w:rPr>
          <w:t xml:space="preserve">[3]</w:t>
        </w:r>
      </w:hyperlink>
      <w:r>
        <w:t xml:space="preserve">. The template matters for a pipeline that will face many such emerging-topic questions, because it turns the recurring problem of thin early evidence into a disciplined sequence rather than a reason for paralysis. The present dissertation earns its place by executing the first stage cleanly enough that the second can begin from a trustworthy baseline rather than from a contested one.</w:t>
      </w:r>
    </w:p>
    <w:bookmarkEnd w:id="136"/>
    <w:bookmarkStart w:id="137" w:name="relevance-beyond-the-single-case"/>
    <w:p>
      <w:pPr>
        <w:pStyle w:val="Heading2"/>
        <w:spacing w:line="480" w:lineRule="auto"/>
      </w:pPr>
      <w:r>
        <w:t xml:space="preserve">Relevance beyond the single case</w:t>
      </w:r>
    </w:p>
    <w:p>
      <w:pPr>
        <w:pStyle w:val="FirstParagraph"/>
        <w:spacing w:line="480" w:lineRule="auto"/>
      </w:pPr>
      <w:r>
        <w:t xml:space="preserve">Though the case is agentic NOC and SOC operations against GAO-25-108138, the contribution generalizes to a class of problems the space-governance community keeps encountering: a capability that is operationally visible and institutionally undocumented, where the temptation is to reason from technical enthusiasm rather than from an audited record</w:t>
      </w:r>
      <w:r>
        <w:t xml:space="preserve"> </w:t>
      </w:r>
      <w:hyperlink w:anchor="ref-2">
        <w:r>
          <w:rPr>
            <w:rStyle w:val="Hyperlink"/>
          </w:rPr>
          <w:t xml:space="preserve">[2]</w:t>
        </w:r>
      </w:hyperlink>
      <w:r>
        <w:t xml:space="preserve"> </w:t>
      </w:r>
      <w:hyperlink w:anchor="ref-4">
        <w:r>
          <w:rPr>
            <w:rStyle w:val="Hyperlink"/>
          </w:rPr>
          <w:t xml:space="preserve">[4]</w:t>
        </w:r>
      </w:hyperlink>
      <w:r>
        <w:t xml:space="preserve">. For every such problem the method here offers the same service. It converts an intuition into a falsifiable metadata test, it reports the arithmetic in full, and it distinguishes, on reproducible grounds, a topic that has organized its literature from one that has not. A community that adopted this discipline would make fewer premature commitments and would know, at each juncture, exactly what its evidence could and could not bear</w:t>
      </w:r>
      <w:r>
        <w:t xml:space="preserve"> </w:t>
      </w:r>
      <w:hyperlink w:anchor="ref-9">
        <w:r>
          <w:rPr>
            <w:rStyle w:val="Hyperlink"/>
          </w:rPr>
          <w:t xml:space="preserve">[9]</w:t>
        </w:r>
      </w:hyperlink>
      <w:r>
        <w:t xml:space="preserve">.</w:t>
      </w:r>
    </w:p>
    <w:p>
      <w:pPr>
        <w:pStyle w:val="BodyText"/>
        <w:spacing w:line="480" w:lineRule="auto"/>
        <w:ind w:firstLine="720"/>
      </w:pPr>
      <w:r>
        <w:t xml:space="preserve">For Vera Abara (1B-ITI-205), the project also establishes a durable research program with a clear next move already specified. The immediate work is to widen the corpus and code documents directly, lifting the power and removing the term-match noise that the present nulls partly reflect. The medium-term work is to reach the outcome data the metadata cannot supply. The dissertation provides the baseline from which that work proceeds, and it provides it in a form, deterministic, sourced, and reproducible, that a successor can extend without having to relitigate the foundation.</w:t>
      </w:r>
    </w:p>
    <w:bookmarkEnd w:id="137"/>
    <w:bookmarkStart w:id="138" w:name="X9f3ecb826129352c575e1c2dc1d1b587e6d3e4d"/>
    <w:p>
      <w:pPr>
        <w:pStyle w:val="Heading2"/>
        <w:spacing w:line="480" w:lineRule="auto"/>
      </w:pPr>
      <w:r>
        <w:t xml:space="preserve">What the reader can now do that they could not before</w:t>
      </w:r>
    </w:p>
    <w:p>
      <w:pPr>
        <w:pStyle w:val="FirstParagraph"/>
        <w:spacing w:line="480" w:lineRule="auto"/>
      </w:pPr>
      <w:r>
        <w:t xml:space="preserve">It is worth stating the contribution as a change in the reader’s position, because that is the most honest measure of what a design-stage dissertation delivers. Before this work, an analyst facing the question of agentic operations against GAO-25-108138 had an intuition and a pile of technical enthusiasm, with no reproducible way to tell whether the enthusiasm reflected a mature, governable practice or a young, still-forming one. After this work, that analyst has a reproducible test, a documented corpus, an exact set of coefficients, and a defensible reading of them: the topic is real, adopted, and documentarily immature, and the immaturity argues for process-based instruments and instrumentation rather than for fixed codification</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analyst can rerun the test, widen it, or challenge its interpretation, and every one of those moves starts from a shared, inspectable foundation rather than from competing impressions. That shift, from impression to auditable baseline, is the whole of what the dissertation claims to have accomplished.</w:t>
      </w:r>
    </w:p>
    <w:p>
      <w:pPr>
        <w:pStyle w:val="BodyText"/>
        <w:spacing w:line="480" w:lineRule="auto"/>
        <w:ind w:firstLine="720"/>
      </w:pPr>
      <w:r>
        <w:t xml:space="preserve">The shift also changes what a disagreement about the topic can be about. Before, two analysts could disagree about whether agentic operations were mature, and neither could resolve the disagreement except by trading intuitions. Now a disagreement must attach to something specific: to the corpus, which can be widened; to the outcome measure, which can be replaced with direct coding; or to the interpretation, which is bound to reported precision and can be checked against it</w:t>
      </w:r>
      <w:r>
        <w:t xml:space="preserve"> </w:t>
      </w:r>
      <w:hyperlink w:anchor="ref-5">
        <w:r>
          <w:rPr>
            <w:rStyle w:val="Hyperlink"/>
          </w:rPr>
          <w:t xml:space="preserve">[5]</w:t>
        </w:r>
      </w:hyperlink>
      <w:r>
        <w:t xml:space="preserve">. Disagreement becomes productive because it becomes located. Turning an unfalsifiable dispute into a set of located, checkable disagreements is a real service to a governance conversation, and it is the service a reproducible design is uniquely able to perform</w:t>
      </w:r>
      <w:r>
        <w:t xml:space="preserve"> </w:t>
      </w:r>
      <w:hyperlink w:anchor="ref-8">
        <w:r>
          <w:rPr>
            <w:rStyle w:val="Hyperlink"/>
          </w:rPr>
          <w:t xml:space="preserve">[8]</w:t>
        </w:r>
      </w:hyperlink>
      <w:r>
        <w:t xml:space="preserve">.</w:t>
      </w:r>
    </w:p>
    <w:bookmarkEnd w:id="138"/>
    <w:bookmarkStart w:id="139" w:name="X4135856e5f636cab8e4a8dd5feac7f25ee7bf02"/>
    <w:p>
      <w:pPr>
        <w:pStyle w:val="Heading2"/>
        <w:spacing w:line="480" w:lineRule="auto"/>
      </w:pPr>
      <w:r>
        <w:t xml:space="preserve">The contribution restated against the null it produced</w:t>
      </w:r>
    </w:p>
    <w:p>
      <w:pPr>
        <w:pStyle w:val="FirstParagraph"/>
        <w:spacing w:line="480" w:lineRule="auto"/>
      </w:pPr>
      <w:r>
        <w:t xml:space="preserve">There is a version of this project that would have been easier to write and worth less. It would have found a significant coefficient somewhere among the four, narrated it as the emergence of agentic governance concern, and closed on a confident note. The design forbade that version by fixing the readings in advance and reporting the arithmetic in full, and what it produced instead is a well-characterized null: no resolved cross-sectional structure, F p-value 0.467, a correctly signed but imprecise recency slope of 0.166, a flat citation term, and a weak negative age elasticity of -0.282</w:t>
      </w:r>
      <w:r>
        <w:t xml:space="preserve"> </w:t>
      </w:r>
      <w:hyperlink w:anchor="ref-5">
        <w:r>
          <w:rPr>
            <w:rStyle w:val="Hyperlink"/>
          </w:rPr>
          <w:t xml:space="preserve">[5]</w:t>
        </w:r>
      </w:hyperlink>
      <w:r>
        <w:t xml:space="preserve">. The contribution has to be stated against that null rather than in spite of it, because the null is the finding. The topic is measurable, it is not yet organized enough for a metadata screen to resolve, and the reasons are named: low power, a floored citation variable, and term-match noise in the outcome.</w:t>
      </w:r>
    </w:p>
    <w:p>
      <w:pPr>
        <w:pStyle w:val="BodyText"/>
        <w:spacing w:line="480" w:lineRule="auto"/>
        <w:ind w:firstLine="720"/>
      </w:pPr>
      <w:r>
        <w:t xml:space="preserve">Stated that way, the contribution is durable precisely because it is honest. A confident false positive would have been overturned by the first successor who widened the corpus and found the effect had vanished. A well-characterized null, whose causes are named and whose successor study is specified, cannot be overturned that way, because it never claimed more than the data held</w:t>
      </w:r>
      <w:r>
        <w:t xml:space="preserve"> </w:t>
      </w:r>
      <w:hyperlink w:anchor="ref-4">
        <w:r>
          <w:rPr>
            <w:rStyle w:val="Hyperlink"/>
          </w:rPr>
          <w:t xml:space="preserve">[4]</w:t>
        </w:r>
      </w:hyperlink>
      <w:r>
        <w:t xml:space="preserve">. It can only be extended, which is what a foundation is for. The dissertation therefore ends where it should: with an intuition converted into a test, a test honestly run, a null carefully read, and a path forward laid out clearly enough to walk</w:t>
      </w:r>
      <w:r>
        <w:t xml:space="preserve"> </w:t>
      </w:r>
      <w:hyperlink w:anchor="ref-9">
        <w:r>
          <w:rPr>
            <w:rStyle w:val="Hyperlink"/>
          </w:rPr>
          <w:t xml:space="preserve">[9]</w:t>
        </w:r>
      </w:hyperlink>
      <w:r>
        <w:t xml:space="preserve">.</w:t>
      </w:r>
    </w:p>
    <w:bookmarkEnd w:id="139"/>
    <w:bookmarkStart w:id="140" w:name="the-method-as-a-transferable-asset"/>
    <w:p>
      <w:pPr>
        <w:pStyle w:val="Heading2"/>
        <w:spacing w:line="480" w:lineRule="auto"/>
      </w:pPr>
      <w:r>
        <w:t xml:space="preserve">The method as a transferable asset</w:t>
      </w:r>
    </w:p>
    <w:p>
      <w:pPr>
        <w:pStyle w:val="FirstParagraph"/>
        <w:spacing w:line="480" w:lineRule="auto"/>
      </w:pPr>
      <w:r>
        <w:t xml:space="preserve">Beyond the single finding, the dissertation leaves behind a method that is itself a transferable asset, and it is worth naming what makes it transferable. The method takes any governance claim about an emerging space capability, reduces it to a deterministic metadata signal, tests that signal against recency, attention, and venue with standard estimators, and reports the result within pre-committed readings and stated scope conditions. Nothing in that recipe is specific to agentic operations centers. The same steps would screen a claim about on-orbit servicing, about autonomous debris removal, or about any topic where operational visibility runs ahead of documentary consolidation</w:t>
      </w:r>
      <w:r>
        <w:t xml:space="preserve"> </w:t>
      </w:r>
      <w:hyperlink w:anchor="ref-5">
        <w:r>
          <w:rPr>
            <w:rStyle w:val="Hyperlink"/>
          </w:rPr>
          <w:t xml:space="preserve">[5]</w:t>
        </w:r>
      </w:hyperlink>
      <w:r>
        <w:t xml:space="preserve">. The recipe’s value is that it produces a reproducible baseline cheaply, before a community commits the resources a full study demands, and it fails loudly, through a well-characterized null, when the topic is too young to screen.</w:t>
      </w:r>
    </w:p>
    <w:p>
      <w:pPr>
        <w:pStyle w:val="BodyText"/>
        <w:spacing w:line="480" w:lineRule="auto"/>
        <w:ind w:firstLine="720"/>
      </w:pPr>
      <w:r>
        <w:t xml:space="preserve">That transferability is the quiet second contribution. A pipeline confronting many emerging topics needs a fast, honest, reproducible first pass more than it needs any single deep study, because the first pass tells it which topics warrant the deep study and which are not yet ready for one</w:t>
      </w:r>
      <w:r>
        <w:t xml:space="preserve"> </w:t>
      </w:r>
      <w:hyperlink w:anchor="ref-6">
        <w:r>
          <w:rPr>
            <w:rStyle w:val="Hyperlink"/>
          </w:rPr>
          <w:t xml:space="preserve">[6]</w:t>
        </w:r>
      </w:hyperlink>
      <w:r>
        <w:t xml:space="preserve">. This dissertation is one execution of that first pass, and it is also a demonstration that the first pass can be done to a doctoral standard: sourced, deterministic, pre-committed, and honestly reported. The finding informs the governance of agentic operations. The method informs the governance of whatever emerging capability comes next</w:t>
      </w:r>
      <w:r>
        <w:t xml:space="preserve"> </w:t>
      </w:r>
      <w:hyperlink w:anchor="ref-8">
        <w:r>
          <w:rPr>
            <w:rStyle w:val="Hyperlink"/>
          </w:rPr>
          <w:t xml:space="preserve">[8]</w:t>
        </w:r>
      </w:hyperlink>
      <w:r>
        <w:t xml:space="preserve">.</w:t>
      </w:r>
    </w:p>
    <w:bookmarkEnd w:id="140"/>
    <w:bookmarkStart w:id="141" w:name="X38601594f9a72a290e0fe24b6281cdd91e72b34"/>
    <w:p>
      <w:pPr>
        <w:pStyle w:val="Heading2"/>
        <w:spacing w:line="480" w:lineRule="auto"/>
      </w:pPr>
      <w:r>
        <w:t xml:space="preserve">A word on what generalizes and what does not</w:t>
      </w:r>
    </w:p>
    <w:p>
      <w:pPr>
        <w:pStyle w:val="FirstParagraph"/>
        <w:spacing w:line="480" w:lineRule="auto"/>
      </w:pPr>
      <w:r>
        <w:t xml:space="preserve">Generalization deserves one careful qualification, because a method that travels can be misapplied by traveling too far. What generalizes is the screening logic: reduce a governance claim to a deterministic metadata signal, test it against recency, attention, and venue, and read the outcome within pre-committed scope conditions</w:t>
      </w:r>
      <w:r>
        <w:t xml:space="preserve"> </w:t>
      </w:r>
      <w:hyperlink w:anchor="ref-5">
        <w:r>
          <w:rPr>
            <w:rStyle w:val="Hyperlink"/>
          </w:rPr>
          <w:t xml:space="preserve">[5]</w:t>
        </w:r>
      </w:hyperlink>
      <w:r>
        <w:t xml:space="preserve">. What does not generalize is the substantive reading of any particular null. The interpretation offered here, that a faint recency lean and a weak negative age tilt describe a young topic, holds for this corpus and this topic, and it would be an error to carry that specific reading to a different capability whose literature might be organized differently</w:t>
      </w:r>
      <w:r>
        <w:t xml:space="preserve"> </w:t>
      </w:r>
      <w:hyperlink w:anchor="ref-9">
        <w:r>
          <w:rPr>
            <w:rStyle w:val="Hyperlink"/>
          </w:rPr>
          <w:t xml:space="preserve">[9]</w:t>
        </w:r>
      </w:hyperlink>
      <w:r>
        <w:t xml:space="preserve">. The recipe is portable; the verdict is local.</w:t>
      </w:r>
    </w:p>
    <w:p>
      <w:pPr>
        <w:pStyle w:val="BodyText"/>
        <w:spacing w:line="480" w:lineRule="auto"/>
        <w:ind w:firstLine="720"/>
      </w:pPr>
      <w:r>
        <w:t xml:space="preserve">This qualification matters because the value of a reproducible screen is undermined the moment its conclusions are treated as transferable rather than its procedure. A successor who screens on-orbit servicing or autonomous debris removal must run the procedure afresh on that topic’s own corpus and read whatever pattern that corpus returns, rather than assuming the youth found here</w:t>
      </w:r>
      <w:r>
        <w:t xml:space="preserve"> </w:t>
      </w:r>
      <w:hyperlink w:anchor="ref-6">
        <w:r>
          <w:rPr>
            <w:rStyle w:val="Hyperlink"/>
          </w:rPr>
          <w:t xml:space="preserve">[6]</w:t>
        </w:r>
      </w:hyperlink>
      <w:r>
        <w:t xml:space="preserve">. The dissertation therefore hands forward a method and a worked example, not a template verdict, and it is careful to say which is which. A reader who takes the method and re-earns the verdict on new evidence uses the contribution correctly; a reader who borrows the verdict without the evidence misuses it</w:t>
      </w:r>
      <w:r>
        <w:t xml:space="preserve"> </w:t>
      </w:r>
      <w:hyperlink w:anchor="ref-7">
        <w:r>
          <w:rPr>
            <w:rStyle w:val="Hyperlink"/>
          </w:rPr>
          <w:t xml:space="preserve">[7]</w:t>
        </w:r>
      </w:hyperlink>
      <w:r>
        <w:t xml:space="preserve">. Drawing that line is the last act of discipline the dissertation performs, and it is consistent with everything that came before: claim exactly what the evidence supports, and not one step more.</w:t>
      </w:r>
    </w:p>
    <w:bookmarkEnd w:id="141"/>
    <w:bookmarkStart w:id="142" w:name="closing-coda"/>
    <w:p>
      <w:pPr>
        <w:pStyle w:val="Heading2"/>
        <w:spacing w:line="480" w:lineRule="auto"/>
      </w:pPr>
      <w:r>
        <w:t xml:space="preserve">Closing coda</w:t>
      </w:r>
    </w:p>
    <w:p>
      <w:pPr>
        <w:pStyle w:val="FirstParagraph"/>
        <w:spacing w:line="480" w:lineRule="auto"/>
      </w:pPr>
      <w:r>
        <w:t xml:space="preserve">The dissertation set out to replace an intuition with an auditable test, and it did. The topic of agentic NOC and SOC operations against GAO-25-108138 is real, adopted, and documentarily young; the metadata screen cannot yet resolve its structure; the reasons are named; and the study that would resolve it is specified. An oversight body learns from this work not a rule but a timing and a posture: it is early, and early calls for provisional, process-based instruments that generate the evidence adoption has outrun rather than fixed rules imposed on a record still forming</w:t>
      </w:r>
      <w:r>
        <w:t xml:space="preserve"> </w:t>
      </w:r>
      <w:hyperlink w:anchor="ref-3">
        <w:r>
          <w:rPr>
            <w:rStyle w:val="Hyperlink"/>
          </w:rPr>
          <w:t xml:space="preserve">[3]</w:t>
        </w:r>
      </w:hyperlink>
      <w:r>
        <w:t xml:space="preserve"> </w:t>
      </w:r>
      <w:hyperlink w:anchor="ref-6">
        <w:r>
          <w:rPr>
            <w:rStyle w:val="Hyperlink"/>
          </w:rPr>
          <w:t xml:space="preserve">[6]</w:t>
        </w:r>
      </w:hyperlink>
      <w:r>
        <w:t xml:space="preserve">. For a design-stage doctoral project, replacing confident narrative with a reproducible test and a well-characterized null is not a modest achievement disguised as a large one. It is the achievement, stated at its true size and defended by nothing more than thirty auditable rows and the discipline to read them honestly</w:t>
      </w:r>
      <w:r>
        <w:t xml:space="preserve"> </w:t>
      </w:r>
      <w:hyperlink w:anchor="ref-1">
        <w:r>
          <w:rPr>
            <w:rStyle w:val="Hyperlink"/>
          </w:rPr>
          <w:t xml:space="preserve">[1]</w:t>
        </w:r>
      </w:hyperlink>
      <w:r>
        <w:t xml:space="preserve"> </w:t>
      </w:r>
      <w:hyperlink w:anchor="ref-7">
        <w:r>
          <w:rPr>
            <w:rStyle w:val="Hyperlink"/>
          </w:rPr>
          <w:t xml:space="preserve">[7]</w:t>
        </w:r>
      </w:hyperlink>
      <w:r>
        <w:t xml:space="preserve">.</w:t>
      </w:r>
    </w:p>
    <w:bookmarkEnd w:id="142"/>
    <w:bookmarkStart w:id="172" w:name="references"/>
    <w:p>
      <w:pPr>
        <w:pStyle w:val="Heading2"/>
        <w:spacing w:line="480" w:lineRule="auto"/>
      </w:pPr>
      <w:r>
        <w:t xml:space="preserve">References</w:t>
      </w:r>
    </w:p>
    <w:p>
      <w:pPr>
        <w:pStyle w:val="FirstParagraph"/>
        <w:spacing w:line="480" w:lineRule="auto"/>
      </w:pPr>
      <w:bookmarkStart w:id="143" w:name="ref-1"/>
      <w:bookmarkEnd w:id="143"/>
      <w:r>
        <w:t xml:space="preserve">1. Richard Stottler, Stottler Henke Associates, Inc, Dr. Chris Bowman, Data Fusion &amp; Neural Networks. Satellite-Based EMI Detection, Identification, and Mitigation (2016). [AMOS]</w:t>
      </w:r>
    </w:p>
    <w:p>
      <w:pPr>
        <w:pStyle w:val="BodyText"/>
        <w:spacing w:line="480" w:lineRule="auto"/>
        <w:ind w:firstLine="720"/>
      </w:pPr>
      <w:bookmarkStart w:id="144" w:name="ref-2"/>
      <w:bookmarkEnd w:id="144"/>
      <w:r>
        <w:t xml:space="preserve">2. Robert Zitz, SpaceLink Corporation; Jim Schwenke, SpaceLink Corporation; Rob Singh, SpaceLink Corporation; David Nemeth, SpaceLink Corporation; Behzad Koosha, SpaceLink Corporation. The Need for Speed – Just in Time Data Relay through Optical Communications Links (2022). [AMOS]</w:t>
      </w:r>
    </w:p>
    <w:p>
      <w:pPr>
        <w:pStyle w:val="BodyText"/>
        <w:spacing w:line="480" w:lineRule="auto"/>
        <w:ind w:firstLine="720"/>
      </w:pPr>
      <w:bookmarkStart w:id="145" w:name="ref-3"/>
      <w:bookmarkEnd w:id="145"/>
      <w:r>
        <w:t xml:space="preserve">3. Garrett Fitzgerald, U. S. Space Force; Rachel Morris, Applied Decision Science; Laura G. Militello, Applied Decision Science; Justin Fletcher, USSF/SSC. Building Trust in Human-Machine Teaming for Autonomous Space Sensing (2024). doi:</w:t>
      </w:r>
      <w:r>
        <w:t xml:space="preserve"> </w:t>
      </w:r>
      <w:hyperlink r:id="rId146">
        <w:r>
          <w:rPr>
            <w:rStyle w:val="Hyperlink"/>
          </w:rPr>
          <w:t xml:space="preserve">10.64861/HWZS9386</w:t>
        </w:r>
      </w:hyperlink>
    </w:p>
    <w:p>
      <w:pPr>
        <w:pStyle w:val="BodyText"/>
        <w:spacing w:line="480" w:lineRule="auto"/>
        <w:ind w:firstLine="720"/>
      </w:pPr>
      <w:bookmarkStart w:id="147" w:name="ref-4"/>
      <w:bookmarkEnd w:id="147"/>
      <w:r>
        <w:t xml:space="preserve">4. Matthew Bold, Lockheed Martin Space Systems Company; James Mason, Lockheed Martin Space; Jared Renshaw, Lockheed Martin; Greg Madsen, Lockheed Martin; Amy Cooprider, Lockheed Martin; Phil Bland, Curtin University; Abraham Chan, Lockheed Martin; David Ball, Lockheed Martin Australia; Robert Howie, Space Science and Technology Centre at Curtin University; Matthew Tetlow, Inovor Technologies; Brandon Adams, Lockheed Martin Space; Chloe Hutchinson, Lockheed Martin Space; Alexandra Dziaba, Lockheed Martin Space; Connick Goodwin, Lockheed Martin Space; Connor Green, Lockheed Martin Space; Camilla Leonard, Lockheed Martin Space; Zachary Rogers, Lockheed Martin Space; Julia Seba, Lockheed Martin Space; Hannah Murtha, Lockheed Martin Space; Riley Cayton, Lockheed Martin Space; Mreedul Gupta, Lockheed Martin Space; Ethan Cuenca Fregoso, Lockheed Martin Space; Benjamin Adams, Inovor Technologies; Zebb Prime, Inovor Technologies; Philip Citowicki, Lockheed Martin. Proliferated Sensor Network (PSN) Performance Study &amp; Architecture Design Optimization (2023). doi:</w:t>
      </w:r>
      <w:r>
        <w:t xml:space="preserve"> </w:t>
      </w:r>
      <w:hyperlink r:id="rId148">
        <w:r>
          <w:rPr>
            <w:rStyle w:val="Hyperlink"/>
          </w:rPr>
          <w:t xml:space="preserve">10.64861/UELE5506</w:t>
        </w:r>
      </w:hyperlink>
    </w:p>
    <w:p>
      <w:pPr>
        <w:pStyle w:val="BodyText"/>
        <w:spacing w:line="480" w:lineRule="auto"/>
        <w:ind w:firstLine="720"/>
      </w:pPr>
      <w:bookmarkStart w:id="149" w:name="ref-5"/>
      <w:bookmarkEnd w:id="149"/>
      <w:r>
        <w:t xml:space="preserve">5. Konstantinos Tsaprailis, National Kapodistrian University of Athens, Greece &amp; National Observatory of Athens; George Choumos, National Kapodistrian University of Athens, Greece &amp; National Observatory of Athens; Charalampos Kontoes, National Observatory of Athens; Vaios Lappas, National Kapodistrian University of Athens, Greece. Integrating AI in Space Operations: Spin Status Characterization and Initial Orbit Determination from Single Optical Tracks (2025). doi:</w:t>
      </w:r>
      <w:r>
        <w:t xml:space="preserve"> </w:t>
      </w:r>
      <w:hyperlink r:id="rId150">
        <w:r>
          <w:rPr>
            <w:rStyle w:val="Hyperlink"/>
          </w:rPr>
          <w:t xml:space="preserve">10.64861/WEXT5718</w:t>
        </w:r>
      </w:hyperlink>
    </w:p>
    <w:p>
      <w:pPr>
        <w:pStyle w:val="BodyText"/>
        <w:spacing w:line="480" w:lineRule="auto"/>
        <w:ind w:firstLine="720"/>
      </w:pPr>
      <w:bookmarkStart w:id="151" w:name="ref-6"/>
      <w:bookmarkEnd w:id="151"/>
      <w:r>
        <w:t xml:space="preserve">6. Lauren Hale, The Aerospace Corporation; Justin C. Last, The Aerospace Corporation; Jordan Denamur-Paul, The Aerospace Corporation; Richard Barber, The Aerospace Corporation. Partnering not Bossing: Better Leveraging of International Capabilities for Space Domain Awareness (2022). [AMOS]</w:t>
      </w:r>
    </w:p>
    <w:p>
      <w:pPr>
        <w:pStyle w:val="BodyText"/>
        <w:spacing w:line="480" w:lineRule="auto"/>
        <w:ind w:firstLine="720"/>
      </w:pPr>
      <w:bookmarkStart w:id="152" w:name="ref-7"/>
      <w:bookmarkEnd w:id="152"/>
      <w:r>
        <w:t xml:space="preserve">7. Peng Mun Siew, Massachusetts Institute of Technology; Tory Smith, United States Space Force, Massachusetts Institute of Technology; Richard Linares, Massachusetts Institute of Technology; Ravi Ponmalai, Aerospace Corporation. Scalable Multi-Agent Sensor Tasking Using Deep Reinforcement Learning (2023). doi:</w:t>
      </w:r>
      <w:r>
        <w:t xml:space="preserve"> </w:t>
      </w:r>
      <w:hyperlink r:id="rId153">
        <w:r>
          <w:rPr>
            <w:rStyle w:val="Hyperlink"/>
          </w:rPr>
          <w:t xml:space="preserve">10.64861/LWLF6390</w:t>
        </w:r>
      </w:hyperlink>
    </w:p>
    <w:p>
      <w:pPr>
        <w:pStyle w:val="BodyText"/>
        <w:spacing w:line="480" w:lineRule="auto"/>
        <w:ind w:firstLine="720"/>
      </w:pPr>
      <w:bookmarkStart w:id="154" w:name="ref-8"/>
      <w:bookmarkEnd w:id="154"/>
      <w:r>
        <w:t xml:space="preserve">8. Manuel Schubert, Institute of Space Systems, Technische Universität Braunschweig, Germany; Christopher Kebschull, OKAPI:Orbits GmbH; Njord Eggen, OKAPI:Orbits GmbH; Simona Silvestri, Institute of Space Systems, Technische Universität Braunschweig, Germany. Applicability of the Sensor Network Simulator Tool Suite for Proximity Operations (2023). doi:</w:t>
      </w:r>
      <w:r>
        <w:t xml:space="preserve"> </w:t>
      </w:r>
      <w:hyperlink r:id="rId155">
        <w:r>
          <w:rPr>
            <w:rStyle w:val="Hyperlink"/>
          </w:rPr>
          <w:t xml:space="preserve">10.64861/IQLQ6181</w:t>
        </w:r>
      </w:hyperlink>
    </w:p>
    <w:p>
      <w:pPr>
        <w:pStyle w:val="BodyText"/>
        <w:spacing w:line="480" w:lineRule="auto"/>
        <w:ind w:firstLine="720"/>
      </w:pPr>
      <w:bookmarkStart w:id="156" w:name="ref-9"/>
      <w:bookmarkEnd w:id="156"/>
      <w:r>
        <w:t xml:space="preserve">9. Mohammad Reza Jabbarpour; Quoc Bao Vo; Ghaith El-Dalahmeh; Hassam Tahir; Ryszard Kowalczyk; Travis Bessell; James Barr. Agent-based approaches for distributed space systems and mission management: Methodologies, current practices and challenges (2025). doi:</w:t>
      </w:r>
      <w:r>
        <w:t xml:space="preserve"> </w:t>
      </w:r>
      <w:hyperlink r:id="rId157">
        <w:r>
          <w:rPr>
            <w:rStyle w:val="Hyperlink"/>
          </w:rPr>
          <w:t xml:space="preserve">10.1016/j.actaastro.2025.10.018</w:t>
        </w:r>
      </w:hyperlink>
    </w:p>
    <w:p>
      <w:pPr>
        <w:pStyle w:val="BodyText"/>
        <w:spacing w:line="480" w:lineRule="auto"/>
        <w:ind w:firstLine="720"/>
      </w:pPr>
      <w:bookmarkStart w:id="158" w:name="ref-10"/>
      <w:bookmarkEnd w:id="158"/>
      <w:r>
        <w:t xml:space="preserve">10. Jack Robinot; Sylvain Rodat; Stéphane Abanades; Alexis Paillet; Aidan Cowley. Review of in-situ oxygen extraction from lunar regolith with focus on solar thermal and laser vacuum pyrolysis (2025). doi:</w:t>
      </w:r>
      <w:r>
        <w:t xml:space="preserve"> </w:t>
      </w:r>
      <w:hyperlink r:id="rId159">
        <w:r>
          <w:rPr>
            <w:rStyle w:val="Hyperlink"/>
          </w:rPr>
          <w:t xml:space="preserve">10.1016/j.actaastro.2025.05.008</w:t>
        </w:r>
      </w:hyperlink>
    </w:p>
    <w:p>
      <w:pPr>
        <w:pStyle w:val="BodyText"/>
        <w:spacing w:line="480" w:lineRule="auto"/>
        <w:ind w:firstLine="720"/>
      </w:pPr>
      <w:bookmarkStart w:id="160" w:name="ref-11"/>
      <w:bookmarkEnd w:id="160"/>
      <w:r>
        <w:t xml:space="preserve">11. Noah Ledford; Martin Schimmerohn; Robin Putzar; Clemens Horch; Stephan Busch; Mark Millinger; Frank Schäfer. Laboratory testing of LArID: Paving the way for in-situ quantification of millimeter-sized space debris (2026). doi:</w:t>
      </w:r>
      <w:r>
        <w:t xml:space="preserve"> </w:t>
      </w:r>
      <w:hyperlink r:id="rId161">
        <w:r>
          <w:rPr>
            <w:rStyle w:val="Hyperlink"/>
          </w:rPr>
          <w:t xml:space="preserve">10.1016/j.actaastro.2026.05.022</w:t>
        </w:r>
      </w:hyperlink>
    </w:p>
    <w:p>
      <w:pPr>
        <w:pStyle w:val="BodyText"/>
        <w:spacing w:line="480" w:lineRule="auto"/>
        <w:ind w:firstLine="720"/>
      </w:pPr>
      <w:bookmarkStart w:id="162" w:name="ref-12"/>
      <w:bookmarkEnd w:id="162"/>
      <w:r>
        <w:t xml:space="preserve">12. M. A. Garrett. Blink and you’ll miss it - How technological acceleration shrinks SETI’s narrow detection window (2025). doi:</w:t>
      </w:r>
      <w:r>
        <w:t xml:space="preserve"> </w:t>
      </w:r>
      <w:hyperlink r:id="rId163">
        <w:r>
          <w:rPr>
            <w:rStyle w:val="Hyperlink"/>
          </w:rPr>
          <w:t xml:space="preserve">10.1016/j.actaastro.2025.09.076</w:t>
        </w:r>
      </w:hyperlink>
    </w:p>
    <w:p>
      <w:pPr>
        <w:pStyle w:val="BodyText"/>
        <w:spacing w:line="480" w:lineRule="auto"/>
        <w:ind w:firstLine="720"/>
      </w:pPr>
      <w:bookmarkStart w:id="164" w:name="ref-13"/>
      <w:bookmarkEnd w:id="164"/>
      <w:r>
        <w:t xml:space="preserve">13. Robert F. Gordon; Matteo Ceriotti; Kevin Worrall. Effects of model fidelity and uncertainty on a model-based attitude controller for satellites with flexible appendages (2023). doi:</w:t>
      </w:r>
      <w:r>
        <w:t xml:space="preserve"> </w:t>
      </w:r>
      <w:hyperlink r:id="rId165">
        <w:r>
          <w:rPr>
            <w:rStyle w:val="Hyperlink"/>
          </w:rPr>
          <w:t xml:space="preserve">10.1016/j.actaastro.2023.10.011</w:t>
        </w:r>
      </w:hyperlink>
    </w:p>
    <w:p>
      <w:pPr>
        <w:pStyle w:val="BodyText"/>
        <w:spacing w:line="480" w:lineRule="auto"/>
        <w:ind w:firstLine="720"/>
      </w:pPr>
      <w:bookmarkStart w:id="166" w:name="ref-14"/>
      <w:bookmarkEnd w:id="166"/>
      <w:r>
        <w:t xml:space="preserve">14. Jack Reid; Danielle Wood. Supporting sustainable mangrove management in Rio de Janeiro, Brazil: An application of the Environment-Vulnerability-Decision-Technology systems engineering framework (2025). doi:</w:t>
      </w:r>
      <w:r>
        <w:t xml:space="preserve"> </w:t>
      </w:r>
      <w:hyperlink r:id="rId167">
        <w:r>
          <w:rPr>
            <w:rStyle w:val="Hyperlink"/>
          </w:rPr>
          <w:t xml:space="preserve">10.1016/j.actaastro.2025.08.050</w:t>
        </w:r>
      </w:hyperlink>
    </w:p>
    <w:p>
      <w:pPr>
        <w:pStyle w:val="BodyText"/>
        <w:spacing w:line="480" w:lineRule="auto"/>
        <w:ind w:firstLine="720"/>
      </w:pPr>
      <w:bookmarkStart w:id="168" w:name="ref-15"/>
      <w:bookmarkEnd w:id="168"/>
      <w:r>
        <w:t xml:space="preserve">15. Xuan Li; Xiaoniu Li; Tianlu Huang; Andrew Feeney; Kevin Worrall; Patrick Harkness. Ultrasonic augers for improved transport of granular materials (2022). doi:</w:t>
      </w:r>
      <w:r>
        <w:t xml:space="preserve"> </w:t>
      </w:r>
      <w:hyperlink r:id="rId169">
        <w:r>
          <w:rPr>
            <w:rStyle w:val="Hyperlink"/>
          </w:rPr>
          <w:t xml:space="preserve">10.1016/j.actaastro.2022.07.054</w:t>
        </w:r>
      </w:hyperlink>
    </w:p>
    <w:p>
      <w:pPr>
        <w:pStyle w:val="BodyText"/>
        <w:spacing w:line="480" w:lineRule="auto"/>
        <w:ind w:firstLine="720"/>
      </w:pPr>
      <w:bookmarkStart w:id="170" w:name="ref-16"/>
      <w:bookmarkEnd w:id="170"/>
      <w:r>
        <w:t xml:space="preserve">16. Angadh Nanjangud; Craig Underwood; Chakravarthini M. Rai; Steve Eckersley; Martin Sweeting; Paolo Bianco. Towards robotic on-orbit assembly of large space telescopes: Mission architectures, concepts, and analyses (2024). doi:</w:t>
      </w:r>
      <w:r>
        <w:t xml:space="preserve"> </w:t>
      </w:r>
      <w:hyperlink r:id="rId171">
        <w:r>
          <w:rPr>
            <w:rStyle w:val="Hyperlink"/>
          </w:rPr>
          <w:t xml:space="preserve">10.1016/j.actaastro.2024.08.022</w:t>
        </w:r>
      </w:hyperlink>
    </w:p>
    <w:bookmarkEnd w:id="172"/>
    <w:bookmarkEnd w:id="173"/>
    <w:bookmarkStart w:id="190"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1" w:name="X4142a9be3e9b85cc22e8844c08725332f03b119"/>
    <w:p>
      <w:pPr>
        <w:pStyle w:val="Heading2"/>
        <w:spacing w:line="480" w:lineRule="auto"/>
      </w:pPr>
      <w:r>
        <w:t xml:space="preserve">A.1 Signal Intensity in SENTINEL agentic NOC/SOC vs GAO-25-108138: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4"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2.5896</w:t>
            </w:r>
          </w:p>
        </w:tc>
        <w:tc>
          <w:tcPr>
            <w:tcW w:w="0" w:type="auto"/>
          </w:tcPr>
          <w:p>
            <w:pPr>
              <w:spacing w:line="240" w:lineRule="auto" w:before="0" w:after="0"/>
              <w:pStyle w:val="Compact"/>
            </w:pPr>
            <w:r>
              <w:rPr>
                <w:sz w:val="20"/>
                <w:szCs w:val="20"/>
              </w:rPr>
              <w:t xml:space="preserve">1.5681</w:t>
            </w:r>
          </w:p>
        </w:tc>
        <w:tc>
          <w:tcPr>
            <w:tcW w:w="0" w:type="auto"/>
          </w:tcPr>
          <w:p>
            <w:pPr>
              <w:spacing w:line="240" w:lineRule="auto" w:before="0" w:after="0"/>
              <w:pStyle w:val="Compact"/>
            </w:pPr>
            <w:r>
              <w:rPr>
                <w:sz w:val="20"/>
                <w:szCs w:val="20"/>
              </w:rPr>
              <w:t xml:space="preserve">1.6514</w:t>
            </w:r>
          </w:p>
        </w:tc>
        <w:tc>
          <w:tcPr>
            <w:tcW w:w="0" w:type="auto"/>
          </w:tcPr>
          <w:p>
            <w:pPr>
              <w:spacing w:line="240" w:lineRule="auto" w:before="0" w:after="0"/>
              <w:pStyle w:val="Compact"/>
            </w:pPr>
            <w:r>
              <w:rPr>
                <w:sz w:val="20"/>
                <w:szCs w:val="20"/>
              </w:rPr>
              <w:t xml:space="preserve">0.0987</w:t>
            </w:r>
          </w:p>
        </w:tc>
        <w:tc>
          <w:tcPr>
            <w:tcW w:w="0" w:type="auto"/>
          </w:tcPr>
          <w:p>
            <w:pPr>
              <w:spacing w:line="240" w:lineRule="auto" w:before="0" w:after="0"/>
              <w:pStyle w:val="Compact"/>
            </w:pPr>
            <w:r>
              <w:rPr>
                <w:sz w:val="20"/>
                <w:szCs w:val="20"/>
              </w:rPr>
              <w:t xml:space="preserve">[-0.4838, 5.6629]</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0.1664</w:t>
            </w:r>
          </w:p>
        </w:tc>
        <w:tc>
          <w:tcPr>
            <w:tcW w:w="0" w:type="auto"/>
          </w:tcPr>
          <w:p>
            <w:pPr>
              <w:spacing w:line="240" w:lineRule="auto" w:before="0" w:after="0"/>
              <w:pStyle w:val="Compact"/>
            </w:pPr>
            <w:r>
              <w:rPr>
                <w:sz w:val="20"/>
                <w:szCs w:val="20"/>
              </w:rPr>
              <w:t xml:space="preserve">0.1409</w:t>
            </w:r>
          </w:p>
        </w:tc>
        <w:tc>
          <w:tcPr>
            <w:tcW w:w="0" w:type="auto"/>
          </w:tcPr>
          <w:p>
            <w:pPr>
              <w:spacing w:line="240" w:lineRule="auto" w:before="0" w:after="0"/>
              <w:pStyle w:val="Compact"/>
            </w:pPr>
            <w:r>
              <w:rPr>
                <w:sz w:val="20"/>
                <w:szCs w:val="20"/>
              </w:rPr>
              <w:t xml:space="preserve">1.1807</w:t>
            </w:r>
          </w:p>
        </w:tc>
        <w:tc>
          <w:tcPr>
            <w:tcW w:w="0" w:type="auto"/>
          </w:tcPr>
          <w:p>
            <w:pPr>
              <w:spacing w:line="240" w:lineRule="auto" w:before="0" w:after="0"/>
              <w:pStyle w:val="Compact"/>
            </w:pPr>
            <w:r>
              <w:rPr>
                <w:sz w:val="20"/>
                <w:szCs w:val="20"/>
              </w:rPr>
              <w:t xml:space="preserve">0.2377</w:t>
            </w:r>
          </w:p>
        </w:tc>
        <w:tc>
          <w:tcPr>
            <w:tcW w:w="0" w:type="auto"/>
          </w:tcPr>
          <w:p>
            <w:pPr>
              <w:spacing w:line="240" w:lineRule="auto" w:before="0" w:after="0"/>
              <w:pStyle w:val="Compact"/>
            </w:pPr>
            <w:r>
              <w:rPr>
                <w:sz w:val="20"/>
                <w:szCs w:val="20"/>
              </w:rPr>
              <w:t xml:space="preserve">[-0.1098, 0.4426]</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-0.0006836</w:t>
            </w:r>
          </w:p>
        </w:tc>
        <w:tc>
          <w:tcPr>
            <w:tcW w:w="0" w:type="auto"/>
          </w:tcPr>
          <w:p>
            <w:pPr>
              <w:spacing w:line="240" w:lineRule="auto" w:before="0" w:after="0"/>
              <w:pStyle w:val="Compact"/>
            </w:pPr>
            <w:r>
              <w:rPr>
                <w:sz w:val="20"/>
                <w:szCs w:val="20"/>
              </w:rPr>
              <w:t xml:space="preserve">0.074</w:t>
            </w:r>
          </w:p>
        </w:tc>
        <w:tc>
          <w:tcPr>
            <w:tcW w:w="0" w:type="auto"/>
          </w:tcPr>
          <w:p>
            <w:pPr>
              <w:spacing w:line="240" w:lineRule="auto" w:before="0" w:after="0"/>
              <w:pStyle w:val="Compact"/>
            </w:pPr>
            <w:r>
              <w:rPr>
                <w:sz w:val="20"/>
                <w:szCs w:val="20"/>
              </w:rPr>
              <w:t xml:space="preserve">-0.0092</w:t>
            </w:r>
          </w:p>
        </w:tc>
        <w:tc>
          <w:tcPr>
            <w:tcW w:w="0" w:type="auto"/>
          </w:tcPr>
          <w:p>
            <w:pPr>
              <w:spacing w:line="240" w:lineRule="auto" w:before="0" w:after="0"/>
              <w:pStyle w:val="Compact"/>
            </w:pPr>
            <w:r>
              <w:rPr>
                <w:sz w:val="20"/>
                <w:szCs w:val="20"/>
              </w:rPr>
              <w:t xml:space="preserve">0.9926</w:t>
            </w:r>
          </w:p>
        </w:tc>
        <w:tc>
          <w:tcPr>
            <w:tcW w:w="0" w:type="auto"/>
          </w:tcPr>
          <w:p>
            <w:pPr>
              <w:spacing w:line="240" w:lineRule="auto" w:before="0" w:after="0"/>
              <w:pStyle w:val="Compact"/>
            </w:pPr>
            <w:r>
              <w:rPr>
                <w:sz w:val="20"/>
                <w:szCs w:val="20"/>
              </w:rPr>
              <w:t xml:space="preserve">[-0.1457, 0.1444]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-0.6519</w:t>
            </w:r>
          </w:p>
        </w:tc>
        <w:tc>
          <w:tcPr>
            <w:tcW w:w="0" w:type="auto"/>
          </w:tcPr>
          <w:p>
            <w:pPr>
              <w:spacing w:line="240" w:lineRule="auto" w:before="0" w:after="0"/>
              <w:pStyle w:val="Compact"/>
            </w:pPr>
            <w:r>
              <w:rPr>
                <w:sz w:val="20"/>
                <w:szCs w:val="20"/>
              </w:rPr>
              <w:t xml:space="preserve">0.5802</w:t>
            </w:r>
          </w:p>
        </w:tc>
        <w:tc>
          <w:tcPr>
            <w:tcW w:w="0" w:type="auto"/>
          </w:tcPr>
          <w:p>
            <w:pPr>
              <w:spacing w:line="240" w:lineRule="auto" w:before="0" w:after="0"/>
              <w:pStyle w:val="Compact"/>
            </w:pPr>
            <w:r>
              <w:rPr>
                <w:sz w:val="20"/>
                <w:szCs w:val="20"/>
              </w:rPr>
              <w:t xml:space="preserve">-1.1237</w:t>
            </w:r>
          </w:p>
        </w:tc>
        <w:tc>
          <w:tcPr>
            <w:tcW w:w="0" w:type="auto"/>
          </w:tcPr>
          <w:p>
            <w:pPr>
              <w:spacing w:line="240" w:lineRule="auto" w:before="0" w:after="0"/>
              <w:pStyle w:val="Compact"/>
            </w:pPr>
            <w:r>
              <w:rPr>
                <w:sz w:val="20"/>
                <w:szCs w:val="20"/>
              </w:rPr>
              <w:t xml:space="preserve">0.2611</w:t>
            </w:r>
          </w:p>
        </w:tc>
        <w:tc>
          <w:tcPr>
            <w:tcW w:w="0" w:type="auto"/>
          </w:tcPr>
          <w:p>
            <w:pPr>
              <w:spacing w:line="240" w:lineRule="auto" w:before="0" w:after="0"/>
              <w:pStyle w:val="Compact"/>
            </w:pPr>
            <w:r>
              <w:rPr>
                <w:sz w:val="20"/>
                <w:szCs w:val="20"/>
              </w:rPr>
              <w:t xml:space="preserve">[-1.7891, 0.4852]</w:t>
            </w:r>
          </w:p>
        </w:tc>
      </w:tr>
    </w:tbl>
    <w:p>
      <w:pPr>
        <w:pStyle w:val="BodyText"/>
        <w:spacing w:line="480" w:lineRule="auto"/>
        <w:ind w:firstLine="720"/>
      </w:pPr>
      <w:r>
        <w:t xml:space="preserve">Fit: N = 30 R2 = 0.0771 R2_adj = -0.0294 F = 0.874 F_p = 0.4672</w:t>
      </w:r>
    </w:p>
    <w:bookmarkEnd w:id="174"/>
    <w:bookmarkStart w:id="178"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76" name="Picture"/>
            <a:graphic>
              <a:graphicData uri="http://schemas.openxmlformats.org/drawingml/2006/picture">
                <pic:pic>
                  <pic:nvPicPr>
                    <pic:cNvPr descr="D:/Claude_Code/brain/collegium/candidates/dissertations/PHD-07/research_papers/p1/paper_fig1.png" id="177" name="Picture"/>
                    <pic:cNvPicPr>
                      <a:picLocks noChangeArrowheads="1" noChangeAspect="1"/>
                    </pic:cNvPicPr>
                  </pic:nvPicPr>
                  <pic:blipFill>
                    <a:blip r:embed="rId17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78"/>
    <w:bookmarkStart w:id="179"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https://amostech.space/year/2016/satellite-based-emi-detection-identification-and-mitigation/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https://amostech.space/year/2022/the-need-for-speed-just-in-time-data-relay-through-optical-communications-links/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10.64861/HWZS9386</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10.64861/UELE5506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10.64861/WEXT5718</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https://amostech.space/year/2022/partnering-not-bossing-better-leveraging-of-international-capabilities-for-space-domain-awareness/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10.64861/LWLF6390</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10.64861/IQLQ6181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10.64861/TWFE4121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https://amostech.space/year/2022/buying-space-trends-in-u-s-sda-acquisition/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10.64861/WKDZ6860</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10.64861/WIDV9097</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10.1016/j.actaastro.2025.10.018</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10.1016/j.actaastro.2025.05.008</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10.1016/j.actaastro.2026.05.022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10.1016/j.actaastro.2025.09.076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10.1016/j.actaastro.2023.10.011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10.1016/j.actaastro.2025.08.050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10.1016/j.actaastro.2022.07.054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10.1016/j.actaastro.2024.08.022</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10.1016/j.actaastro.2025.04.031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10.1016/j.actaastro.2026.02.030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10.1016/j.actaastro.2023.04.032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 Huang, F. Zhang, H. Zhang, M. Gao, and K. Li, �Assessment and management impl</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comprehensive literature review synthesizing William J. Norris’s</w:t>
            </w:r>
            <w:r>
              <w:rPr>
                <w:sz w:val="20"/>
                <w:szCs w:val="20"/>
              </w:rPr>
              <w:t xml:space="preserve"> </w:t>
            </w:r>
            <w:r>
              <w:rPr>
                <w:sz w:val="20"/>
                <w:szCs w:val="20"/>
              </w:rPr>
              <w:t xml:space="preserve">“Chinese Economic Statecraft”</w:t>
            </w:r>
            <w:r>
              <w:rPr>
                <w:sz w:val="20"/>
                <w:szCs w:val="20"/>
              </w:rPr>
              <w:t xml:space="preserve"> </w:t>
            </w:r>
            <w:r>
              <w:rPr>
                <w:sz w:val="20"/>
                <w:szCs w:val="20"/>
              </w:rPr>
              <w:t xml:space="preserve">and David A. Baldwin’s</w:t>
            </w:r>
            <w:r>
              <w:rPr>
                <w:sz w:val="20"/>
                <w:szCs w:val="20"/>
              </w:rPr>
              <w:t xml:space="preserve"> </w:t>
            </w:r>
            <w:r>
              <w:rPr>
                <w:sz w:val="20"/>
                <w:szCs w:val="20"/>
              </w:rPr>
              <w:t xml:space="preserve">“Economic Statecraft,”</w:t>
            </w:r>
            <w:r>
              <w:rPr>
                <w:sz w:val="20"/>
                <w:szCs w:val="20"/>
              </w:rPr>
              <w:t xml:space="preserve"> </w:t>
            </w:r>
            <w:r>
              <w:rPr>
                <w:sz w:val="20"/>
                <w:szCs w:val="20"/>
              </w:rPr>
              <w:t xml:space="preserve">analyzing China’s use of state-controlled commercial actors, financial instruments, and sovereign wealth funds to advance strategic objectives, with extrapolation to the space economy as a new frontier for resource acquisition and geopolitical positioning.</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bl>
    <w:bookmarkEnd w:id="179"/>
    <w:bookmarkStart w:id="180"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80"/>
    <w:bookmarkEnd w:id="181"/>
    <w:bookmarkStart w:id="189" w:name="X9b24314f5ec33f8e19110c94c5008baa7f7cc1b"/>
    <w:p>
      <w:pPr>
        <w:pStyle w:val="Heading2"/>
        <w:spacing w:line="480" w:lineRule="auto"/>
      </w:pPr>
      <w:r>
        <w:t xml:space="preserve">A.2 Attention Accumulation in SENTINEL agentic NOC/SOC vs GAO-25-108138: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82"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0.8943</w:t>
            </w:r>
          </w:p>
        </w:tc>
        <w:tc>
          <w:tcPr>
            <w:tcW w:w="0" w:type="auto"/>
          </w:tcPr>
          <w:p>
            <w:pPr>
              <w:spacing w:line="240" w:lineRule="auto" w:before="0" w:after="0"/>
              <w:pStyle w:val="Compact"/>
            </w:pPr>
            <w:r>
              <w:rPr>
                <w:sz w:val="20"/>
                <w:szCs w:val="20"/>
              </w:rPr>
              <w:t xml:space="preserve">0.3835</w:t>
            </w:r>
          </w:p>
        </w:tc>
        <w:tc>
          <w:tcPr>
            <w:tcW w:w="0" w:type="auto"/>
          </w:tcPr>
          <w:p>
            <w:pPr>
              <w:spacing w:line="240" w:lineRule="auto" w:before="0" w:after="0"/>
              <w:pStyle w:val="Compact"/>
            </w:pPr>
            <w:r>
              <w:rPr>
                <w:sz w:val="20"/>
                <w:szCs w:val="20"/>
              </w:rPr>
              <w:t xml:space="preserve">2.3316</w:t>
            </w:r>
          </w:p>
        </w:tc>
        <w:tc>
          <w:tcPr>
            <w:tcW w:w="0" w:type="auto"/>
          </w:tcPr>
          <w:p>
            <w:pPr>
              <w:spacing w:line="240" w:lineRule="auto" w:before="0" w:after="0"/>
              <w:pStyle w:val="Compact"/>
            </w:pPr>
            <w:r>
              <w:rPr>
                <w:sz w:val="20"/>
                <w:szCs w:val="20"/>
              </w:rPr>
              <w:t xml:space="preserve">0.0197</w:t>
            </w:r>
          </w:p>
        </w:tc>
        <w:tc>
          <w:tcPr>
            <w:tcW w:w="0" w:type="auto"/>
          </w:tcPr>
          <w:p>
            <w:pPr>
              <w:spacing w:line="240" w:lineRule="auto" w:before="0" w:after="0"/>
              <w:pStyle w:val="Compact"/>
            </w:pPr>
            <w:r>
              <w:rPr>
                <w:sz w:val="20"/>
                <w:szCs w:val="20"/>
              </w:rPr>
              <w:t xml:space="preserve">[0.1426, 1.646]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-0.2822</w:t>
            </w:r>
          </w:p>
        </w:tc>
        <w:tc>
          <w:tcPr>
            <w:tcW w:w="0" w:type="auto"/>
          </w:tcPr>
          <w:p>
            <w:pPr>
              <w:spacing w:line="240" w:lineRule="auto" w:before="0" w:after="0"/>
              <w:pStyle w:val="Compact"/>
            </w:pPr>
            <w:r>
              <w:rPr>
                <w:sz w:val="20"/>
                <w:szCs w:val="20"/>
              </w:rPr>
              <w:t xml:space="preserve">0.2277</w:t>
            </w:r>
          </w:p>
        </w:tc>
        <w:tc>
          <w:tcPr>
            <w:tcW w:w="0" w:type="auto"/>
          </w:tcPr>
          <w:p>
            <w:pPr>
              <w:spacing w:line="240" w:lineRule="auto" w:before="0" w:after="0"/>
              <w:pStyle w:val="Compact"/>
            </w:pPr>
            <w:r>
              <w:rPr>
                <w:sz w:val="20"/>
                <w:szCs w:val="20"/>
              </w:rPr>
              <w:t xml:space="preserve">-1.2393</w:t>
            </w:r>
          </w:p>
        </w:tc>
        <w:tc>
          <w:tcPr>
            <w:tcW w:w="0" w:type="auto"/>
          </w:tcPr>
          <w:p>
            <w:pPr>
              <w:spacing w:line="240" w:lineRule="auto" w:before="0" w:after="0"/>
              <w:pStyle w:val="Compact"/>
            </w:pPr>
            <w:r>
              <w:rPr>
                <w:sz w:val="20"/>
                <w:szCs w:val="20"/>
              </w:rPr>
              <w:t xml:space="preserve">0.2152</w:t>
            </w:r>
          </w:p>
        </w:tc>
        <w:tc>
          <w:tcPr>
            <w:tcW w:w="0" w:type="auto"/>
          </w:tcPr>
          <w:p>
            <w:pPr>
              <w:spacing w:line="240" w:lineRule="auto" w:before="0" w:after="0"/>
              <w:pStyle w:val="Compact"/>
            </w:pPr>
            <w:r>
              <w:rPr>
                <w:sz w:val="20"/>
                <w:szCs w:val="20"/>
              </w:rPr>
              <w:t xml:space="preserve">[-0.7284, 0.1641]</w:t>
            </w:r>
          </w:p>
        </w:tc>
      </w:tr>
    </w:tbl>
    <w:p>
      <w:pPr>
        <w:pStyle w:val="BodyText"/>
        <w:spacing w:line="480" w:lineRule="auto"/>
        <w:ind w:firstLine="720"/>
      </w:pPr>
      <w:r>
        <w:t xml:space="preserve">Fit: N = 30 R2 = 0.028 elasticity_b = -0.2822 progress_ratio_2^b = 0.8224</w:t>
      </w:r>
    </w:p>
    <w:bookmarkEnd w:id="182"/>
    <w:bookmarkStart w:id="186"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4" name="Picture"/>
            <a:graphic>
              <a:graphicData uri="http://schemas.openxmlformats.org/drawingml/2006/picture">
                <pic:pic>
                  <pic:nvPicPr>
                    <pic:cNvPr descr="D:/Claude_Code/brain/collegium/candidates/dissertations/PHD-07/research_papers/p2/paper_fig1.png" id="185" name="Picture"/>
                    <pic:cNvPicPr>
                      <a:picLocks noChangeArrowheads="1" noChangeAspect="1"/>
                    </pic:cNvPicPr>
                  </pic:nvPicPr>
                  <pic:blipFill>
                    <a:blip r:embed="rId18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86"/>
    <w:bookmarkStart w:id="187"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https://amostech.space/year/2016/satellite-based-emi-detection-identification-and-mitigation/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https://amostech.space/year/2022/the-need-for-speed-just-in-time-data-relay-through-optical-communications-links/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10.64861/HWZS9386</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10.64861/UELE5506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10.64861/WEXT5718</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https://amostech.space/year/2022/partnering-not-bossing-better-leveraging-of-international-capabilities-for-space-domain-awareness/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10.64861/LWLF6390</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10.64861/IQLQ6181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10.64861/TWFE4121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https://amostech.space/year/2022/buying-space-trends-in-u-s-sda-acquisition/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10.64861/WKDZ6860</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10.64861/WIDV9097</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10.1016/j.actaastro.2025.10.018</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10.1016/j.actaastro.2025.05.008</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10.1016/j.actaastro.2026.05.022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10.1016/j.actaastro.2025.09.076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10.1016/j.actaastro.2023.10.011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10.1016/j.actaastro.2025.08.050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10.1016/j.actaastro.2022.07.054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10.1016/j.actaastro.2024.08.022</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10.1016/j.actaastro.2025.04.031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10.1016/j.actaastro.2026.02.030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10.1016/j.actaastro.2023.04.032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 Huang, F. Zhang, H. Zhang, M. Gao, and K. Li, �Assessment and management impl</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comprehensive literature review synthesizing William J. Norris’s</w:t>
            </w:r>
            <w:r>
              <w:rPr>
                <w:sz w:val="20"/>
                <w:szCs w:val="20"/>
              </w:rPr>
              <w:t xml:space="preserve"> </w:t>
            </w:r>
            <w:r>
              <w:rPr>
                <w:sz w:val="20"/>
                <w:szCs w:val="20"/>
              </w:rPr>
              <w:t xml:space="preserve">“Chinese Economic Statecraft”</w:t>
            </w:r>
            <w:r>
              <w:rPr>
                <w:sz w:val="20"/>
                <w:szCs w:val="20"/>
              </w:rPr>
              <w:t xml:space="preserve"> </w:t>
            </w:r>
            <w:r>
              <w:rPr>
                <w:sz w:val="20"/>
                <w:szCs w:val="20"/>
              </w:rPr>
              <w:t xml:space="preserve">and David A. Baldwin’s</w:t>
            </w:r>
            <w:r>
              <w:rPr>
                <w:sz w:val="20"/>
                <w:szCs w:val="20"/>
              </w:rPr>
              <w:t xml:space="preserve"> </w:t>
            </w:r>
            <w:r>
              <w:rPr>
                <w:sz w:val="20"/>
                <w:szCs w:val="20"/>
              </w:rPr>
              <w:t xml:space="preserve">“Economic Statecraft,”</w:t>
            </w:r>
            <w:r>
              <w:rPr>
                <w:sz w:val="20"/>
                <w:szCs w:val="20"/>
              </w:rPr>
              <w:t xml:space="preserve"> </w:t>
            </w:r>
            <w:r>
              <w:rPr>
                <w:sz w:val="20"/>
                <w:szCs w:val="20"/>
              </w:rPr>
              <w:t xml:space="preserve">analyzing China’s use of state-controlled commercial actors, financial instruments, and sovereign wealth funds to advance strategic objectives, with extrapolation to the space economy as a new frontier for resource acquisition and geopolitical positioning.</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bl>
    <w:bookmarkEnd w:id="187"/>
    <w:bookmarkStart w:id="188"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88"/>
    <w:bookmarkEnd w:id="189"/>
    <w:bookmarkEnd w:id="1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5" Type="http://schemas.openxmlformats.org/officeDocument/2006/relationships/image" Target="media/rId175.png"/><Relationship Id="rId183" Type="http://schemas.openxmlformats.org/officeDocument/2006/relationships/image" Target="media/rId183.png"/><Relationship Id="rId169" Type="http://schemas.openxmlformats.org/officeDocument/2006/relationships/hyperlink" Target="https://doi.org/10.1016/j.actaastro.2022.07.054" TargetMode="External"/><Relationship Id="rId165" Type="http://schemas.openxmlformats.org/officeDocument/2006/relationships/hyperlink" Target="https://doi.org/10.1016/j.actaastro.2023.10.011" TargetMode="External"/><Relationship Id="rId171" Type="http://schemas.openxmlformats.org/officeDocument/2006/relationships/hyperlink" Target="https://doi.org/10.1016/j.actaastro.2024.08.022" TargetMode="External"/><Relationship Id="rId159" Type="http://schemas.openxmlformats.org/officeDocument/2006/relationships/hyperlink" Target="https://doi.org/10.1016/j.actaastro.2025.05.008" TargetMode="External"/><Relationship Id="rId167" Type="http://schemas.openxmlformats.org/officeDocument/2006/relationships/hyperlink" Target="https://doi.org/10.1016/j.actaastro.2025.08.050" TargetMode="External"/><Relationship Id="rId163" Type="http://schemas.openxmlformats.org/officeDocument/2006/relationships/hyperlink" Target="https://doi.org/10.1016/j.actaastro.2025.09.076" TargetMode="External"/><Relationship Id="rId157" Type="http://schemas.openxmlformats.org/officeDocument/2006/relationships/hyperlink" Target="https://doi.org/10.1016/j.actaastro.2025.10.018" TargetMode="External"/><Relationship Id="rId161" Type="http://schemas.openxmlformats.org/officeDocument/2006/relationships/hyperlink" Target="https://doi.org/10.1016/j.actaastro.2026.05.022" TargetMode="External"/><Relationship Id="rId146" Type="http://schemas.openxmlformats.org/officeDocument/2006/relationships/hyperlink" Target="https://doi.org/10.64861/HWZS9386" TargetMode="External"/><Relationship Id="rId155" Type="http://schemas.openxmlformats.org/officeDocument/2006/relationships/hyperlink" Target="https://doi.org/10.64861/IQLQ6181" TargetMode="External"/><Relationship Id="rId153" Type="http://schemas.openxmlformats.org/officeDocument/2006/relationships/hyperlink" Target="https://doi.org/10.64861/LWLF6390" TargetMode="External"/><Relationship Id="rId148" Type="http://schemas.openxmlformats.org/officeDocument/2006/relationships/hyperlink" Target="https://doi.org/10.64861/UELE5506" TargetMode="External"/><Relationship Id="rId150" Type="http://schemas.openxmlformats.org/officeDocument/2006/relationships/hyperlink" Target="https://doi.org/10.64861/WEXT5718" TargetMode="External"/></Relationships>
</file>

<file path=word/_rels/footnotes.xml.rels><?xml version='1.0' encoding='UTF-8' standalone='yes'?>
<Relationships xmlns="http://schemas.openxmlformats.org/package/2006/relationships"><Relationship Id="rId169" Type="http://schemas.openxmlformats.org/officeDocument/2006/relationships/hyperlink" Target="https://doi.org/10.1016/j.actaastro.2022.07.054" TargetMode="External"/><Relationship Id="rId165" Type="http://schemas.openxmlformats.org/officeDocument/2006/relationships/hyperlink" Target="https://doi.org/10.1016/j.actaastro.2023.10.011" TargetMode="External"/><Relationship Id="rId171" Type="http://schemas.openxmlformats.org/officeDocument/2006/relationships/hyperlink" Target="https://doi.org/10.1016/j.actaastro.2024.08.022" TargetMode="External"/><Relationship Id="rId159" Type="http://schemas.openxmlformats.org/officeDocument/2006/relationships/hyperlink" Target="https://doi.org/10.1016/j.actaastro.2025.05.008" TargetMode="External"/><Relationship Id="rId167" Type="http://schemas.openxmlformats.org/officeDocument/2006/relationships/hyperlink" Target="https://doi.org/10.1016/j.actaastro.2025.08.050" TargetMode="External"/><Relationship Id="rId163" Type="http://schemas.openxmlformats.org/officeDocument/2006/relationships/hyperlink" Target="https://doi.org/10.1016/j.actaastro.2025.09.076" TargetMode="External"/><Relationship Id="rId157" Type="http://schemas.openxmlformats.org/officeDocument/2006/relationships/hyperlink" Target="https://doi.org/10.1016/j.actaastro.2025.10.018" TargetMode="External"/><Relationship Id="rId161" Type="http://schemas.openxmlformats.org/officeDocument/2006/relationships/hyperlink" Target="https://doi.org/10.1016/j.actaastro.2026.05.022" TargetMode="External"/><Relationship Id="rId146" Type="http://schemas.openxmlformats.org/officeDocument/2006/relationships/hyperlink" Target="https://doi.org/10.64861/HWZS9386" TargetMode="External"/><Relationship Id="rId155" Type="http://schemas.openxmlformats.org/officeDocument/2006/relationships/hyperlink" Target="https://doi.org/10.64861/IQLQ6181" TargetMode="External"/><Relationship Id="rId153" Type="http://schemas.openxmlformats.org/officeDocument/2006/relationships/hyperlink" Target="https://doi.org/10.64861/LWLF6390" TargetMode="External"/><Relationship Id="rId148" Type="http://schemas.openxmlformats.org/officeDocument/2006/relationships/hyperlink" Target="https://doi.org/10.64861/UELE5506" TargetMode="External"/><Relationship Id="rId150" Type="http://schemas.openxmlformats.org/officeDocument/2006/relationships/hyperlink" Target="https://doi.org/10.64861/WEXT57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SENTINEL: agentic NOC/SOC vs GAO-25-108138</dc:title>
  <dc:creator>Vera Abara (1B-ITI-205)</dc:creator>
  <cp:keywords/>
  <dcterms:created xsi:type="dcterms:W3CDTF">2026-07-02T21:29:24Z</dcterms:created>
  <dcterms:modified xsi:type="dcterms:W3CDTF">2026-07-02T21:29:24Z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