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da22b5d2e1c7b016f60961e0c49e94de3871512"/>
    <w:p>
      <w:pPr>
        <w:pStyle w:val="Heading1"/>
      </w:pPr>
      <w:r>
        <w:t xml:space="preserve">Attention Accumulation in Debris CONOPs incentive-compatible cooperative remediation: A Learning-Curve Analysis of Citation Growth by Article Age</w:t>
      </w:r>
    </w:p>
    <w:bookmarkStart w:id="61" w:name="introduction"/>
    <w:p>
      <w:pPr>
        <w:pStyle w:val="Heading2"/>
      </w:pPr>
      <w:r>
        <w:t xml:space="preserve">1. Introduction</w:t>
      </w:r>
    </w:p>
    <w:p>
      <w:pPr>
        <w:pStyle w:val="FirstParagraph"/>
      </w:pPr>
      <w:r>
        <w:t xml:space="preserve">This empirical paper supports Marina Adeyemi (1B-SDA-189) and the dissertation project</w:t>
      </w:r>
      <w:r>
        <w:t xml:space="preserve"> </w:t>
      </w:r>
      <w:r>
        <w:rPr>
          <w:i/>
          <w:iCs/>
        </w:rPr>
        <w:t xml:space="preserve">Debris CONOPs: incentive-compatible cooperative remediation</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R2=0.17593145489555184, elasticity_b=-1.2189338505131952, progress_ratio_2^b=0.42960007475692913. The exact term summary is: const coef=3.0912587835129157 p=3.6131579191776304e-07; _ln_x coef=-1.2189338505131952 p=0.0007688071465113465.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Rina Zhang, Science and Technology Policy Institute; Asha Balakrishnan, Science and Technology Policy Institute. From Ozone Depletion to Orbital Debris: Lessons Learned from the Montreal Protocol (2022). [AMOS]</w:t>
      </w:r>
      <w:r>
        <w:t xml:space="preserve"> </w:t>
      </w:r>
      <w:bookmarkStart w:id="68" w:name="ref-2"/>
      <w:bookmarkEnd w:id="68"/>
      <w:r>
        <w:t xml:space="preserve">2. Malgorzata Polkowska, Lomza Academy; Arkadiusz Chimicz, General Command, Polish Armed Forces. Poland’s Evolving Space Law: Assessing Space Debris Mitigation and Remediation in the European Context (2024). doi:</w:t>
      </w:r>
      <w:r>
        <w:t xml:space="preserve"> </w:t>
      </w:r>
      <w:hyperlink r:id="rId69">
        <w:r>
          <w:rPr>
            <w:rStyle w:val="Hyperlink"/>
          </w:rPr>
          <w:t xml:space="preserve">10.64861/LFFV2455</w:t>
        </w:r>
      </w:hyperlink>
      <w:r>
        <w:t xml:space="preserve"> </w:t>
      </w:r>
      <w:bookmarkStart w:id="70" w:name="ref-3"/>
      <w:bookmarkEnd w:id="70"/>
      <w:r>
        <w:t xml:space="preserve">3. Frederick Tarantino, SAF/SQS. Memo on Space Debris Summit and Active Debris Removal (2022). [AMOS]</w:t>
      </w:r>
      <w:r>
        <w:t xml:space="preserve"> </w:t>
      </w:r>
      <w:bookmarkStart w:id="71" w:name="ref-4"/>
      <w:bookmarkEnd w:id="71"/>
      <w:r>
        <w:t xml:space="preserve">4. Andrew Abraham, Lockheed Martin; Oliver Schultz, Lockheed Martin Space. Cooperative Tracking Aid for Space Domain Awareness (2023). doi:</w:t>
      </w:r>
      <w:r>
        <w:t xml:space="preserve"> </w:t>
      </w:r>
      <w:hyperlink r:id="rId72">
        <w:r>
          <w:rPr>
            <w:rStyle w:val="Hyperlink"/>
          </w:rPr>
          <w:t xml:space="preserve">10.64861/DNKW1345</w:t>
        </w:r>
      </w:hyperlink>
      <w:r>
        <w:t xml:space="preserve"> </w:t>
      </w:r>
      <w:bookmarkStart w:id="73" w:name="ref-5"/>
      <w:bookmarkEnd w:id="73"/>
      <w:r>
        <w:t xml:space="preserve">5. Chris Tuttle, Clearspace Today, Inc.; Darren McKnight, LeoLabs; Tim Maclay, ClearSpace. Refining Active Debris Removal Strategies (2023). doi:</w:t>
      </w:r>
      <w:r>
        <w:t xml:space="preserve"> </w:t>
      </w:r>
      <w:hyperlink r:id="rId74">
        <w:r>
          <w:rPr>
            <w:rStyle w:val="Hyperlink"/>
          </w:rPr>
          <w:t xml:space="preserve">10.64861/LBPZ7861</w:t>
        </w:r>
      </w:hyperlink>
      <w:r>
        <w:t xml:space="preserve"> </w:t>
      </w:r>
      <w:bookmarkStart w:id="75" w:name="ref-6"/>
      <w:bookmarkEnd w:id="75"/>
      <w:r>
        <w:t xml:space="preserve">6. Michael Copeland, Australian National University; Francis Bennet, Australian National University; Francois Rigaut, Australian National University; Visa Korkiakoski, Australian National University; I. Price, Australian National University; Celine d’Orgeville, Australian National University; Craig Smith, EOS Space Systems. Satellite and Debris Characterisation through Adaptive Optics Corrected Imaging (2018). [AMOS]</w:t>
      </w:r>
      <w:r>
        <w:t xml:space="preserve"> </w:t>
      </w:r>
      <w:bookmarkStart w:id="76" w:name="ref-7"/>
      <w:bookmarkEnd w:id="76"/>
      <w:r>
        <w:t xml:space="preserve">7. F. Bennet, Research School of Astronomy and Astrophysics – Australian National University and Space Environment Research Centre (SERC) Limited, M. Petkovic, Research School of Astronomy and Astrophysics – Australian National University and Space Environment Research Centre (SERC) Limited, B. Sheard, Space Environment Research Centre (SERC) Limited and EOS Space Systems, Ben Greene, Space Environment Research Centre (SERC) Limited and EOS Space Systems. High-Altitude Airborne Platform Characterisation of Adaptive Optic Corrected Ground Based Laser (2017). [AMOS]</w:t>
      </w:r>
      <w:r>
        <w:t xml:space="preserve"> </w:t>
      </w:r>
      <w:bookmarkStart w:id="77" w:name="ref-8"/>
      <w:bookmarkEnd w:id="77"/>
      <w:r>
        <w:t xml:space="preserve">8. Jaedong Seong, Korea Aerospace Research Institute (KARI); Okchul Jung, Korea Aerospace Research Institute (KARI); Dae Won Chung, Korea Aerospace Research Institute (KARI). KARI Recent Activities on SSA &amp; STM (2019).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3.0913</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5.0883</w:t>
            </w:r>
          </w:p>
        </w:tc>
        <w:tc>
          <w:tcPr>
            <w:tcW w:w="0" w:type="auto"/>
          </w:tcPr>
          <w:p>
            <w:pPr>
              <w:spacing w:line="240" w:lineRule="auto" w:before="0" w:after="0"/>
              <w:pStyle w:val="Compact"/>
            </w:pPr>
            <w:r>
              <w:rPr>
                <w:sz w:val="20"/>
                <w:szCs w:val="20"/>
              </w:rPr>
              <w:t xml:space="preserve">3.613e-07</w:t>
            </w:r>
          </w:p>
        </w:tc>
        <w:tc>
          <w:tcPr>
            <w:tcW w:w="0" w:type="auto"/>
          </w:tcPr>
          <w:p>
            <w:pPr>
              <w:spacing w:line="240" w:lineRule="auto" w:before="0" w:after="0"/>
              <w:pStyle w:val="Compact"/>
            </w:pPr>
            <w:r>
              <w:rPr>
                <w:sz w:val="20"/>
                <w:szCs w:val="20"/>
              </w:rPr>
              <w:t xml:space="preserve">[1.9005, 4.282]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-1.2189</w:t>
            </w:r>
          </w:p>
        </w:tc>
        <w:tc>
          <w:tcPr>
            <w:tcW w:w="0" w:type="auto"/>
          </w:tcPr>
          <w:p>
            <w:pPr>
              <w:spacing w:line="240" w:lineRule="auto" w:before="0" w:after="0"/>
              <w:pStyle w:val="Compact"/>
            </w:pPr>
            <w:r>
              <w:rPr>
                <w:sz w:val="20"/>
                <w:szCs w:val="20"/>
              </w:rPr>
              <w:t xml:space="preserve">0.3624</w:t>
            </w:r>
          </w:p>
        </w:tc>
        <w:tc>
          <w:tcPr>
            <w:tcW w:w="0" w:type="auto"/>
          </w:tcPr>
          <w:p>
            <w:pPr>
              <w:spacing w:line="240" w:lineRule="auto" w:before="0" w:after="0"/>
              <w:pStyle w:val="Compact"/>
            </w:pPr>
            <w:r>
              <w:rPr>
                <w:sz w:val="20"/>
                <w:szCs w:val="20"/>
              </w:rPr>
              <w:t xml:space="preserve">-3.3638</w:t>
            </w:r>
          </w:p>
        </w:tc>
        <w:tc>
          <w:tcPr>
            <w:tcW w:w="0" w:type="auto"/>
          </w:tcPr>
          <w:p>
            <w:pPr>
              <w:spacing w:line="240" w:lineRule="auto" w:before="0" w:after="0"/>
              <w:pStyle w:val="Compact"/>
            </w:pPr>
            <w:r>
              <w:rPr>
                <w:sz w:val="20"/>
                <w:szCs w:val="20"/>
              </w:rPr>
              <w:t xml:space="preserve">0.0007688</w:t>
            </w:r>
          </w:p>
        </w:tc>
        <w:tc>
          <w:tcPr>
            <w:tcW w:w="0" w:type="auto"/>
          </w:tcPr>
          <w:p>
            <w:pPr>
              <w:spacing w:line="240" w:lineRule="auto" w:before="0" w:after="0"/>
              <w:pStyle w:val="Compact"/>
            </w:pPr>
            <w:r>
              <w:rPr>
                <w:sz w:val="20"/>
                <w:szCs w:val="20"/>
              </w:rPr>
              <w:t xml:space="preserve">[-1.9292, -0.5087]</w:t>
            </w:r>
          </w:p>
        </w:tc>
      </w:tr>
    </w:tbl>
    <w:p>
      <w:pPr>
        <w:pStyle w:val="BodyText"/>
      </w:pPr>
      <w:r>
        <w:t xml:space="preserve">Fit: N = 30 R2 = 0.1759 elasticity_b = -1.2189 progress_ratio_2^b = 0.4296</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PHD-06\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10.64861/DNKW1345</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https://amostech.space/year/2018/satellite-and-debris-characterisation-through-adaptive-optics-corrected-imaging/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https://amostech.space/year/2017/high-altitude-airborne-platform-characterisation-of-adaptive-optic-corrected-ground-based-laser/</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https://amostech.space/year/2019/space-environment-management-a-common-sense-framework-for-controlling-orbital-debris-risk/</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https://amostech.space/year/2016/comparison-of-envisataes-attitude-simulation-and-real-optical-and-slr-observations-in-order-to-refine-the-satellite-attitude-model/</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10.1016/j.actaastro.2021.01.021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10.1016/j.actaastro.2018.01.028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10.1016/j.actaastro.2022.05.045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10.1016/j.actaastro.2021.08.051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10.1016/j.actaastro.2023.10.044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10.1016/j.jsse.2020.07.016</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Economics of Orbital Debris Generation, Accumulation, Mitigation, Remediation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3.0913</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5.0883</w:t>
            </w:r>
          </w:p>
        </w:tc>
        <w:tc>
          <w:tcPr>
            <w:tcW w:w="0" w:type="auto"/>
          </w:tcPr>
          <w:p>
            <w:pPr>
              <w:spacing w:line="240" w:lineRule="auto" w:before="0" w:after="0"/>
              <w:pStyle w:val="Compact"/>
            </w:pPr>
            <w:r>
              <w:rPr>
                <w:sz w:val="20"/>
                <w:szCs w:val="20"/>
              </w:rPr>
              <w:t xml:space="preserve">3.613e-07</w:t>
            </w:r>
          </w:p>
        </w:tc>
        <w:tc>
          <w:tcPr>
            <w:tcW w:w="0" w:type="auto"/>
          </w:tcPr>
          <w:p>
            <w:pPr>
              <w:spacing w:line="240" w:lineRule="auto" w:before="0" w:after="0"/>
              <w:pStyle w:val="Compact"/>
            </w:pPr>
            <w:r>
              <w:rPr>
                <w:sz w:val="20"/>
                <w:szCs w:val="20"/>
              </w:rPr>
              <w:t xml:space="preserve">[1.9005, 4.282]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-1.2189</w:t>
            </w:r>
          </w:p>
        </w:tc>
        <w:tc>
          <w:tcPr>
            <w:tcW w:w="0" w:type="auto"/>
          </w:tcPr>
          <w:p>
            <w:pPr>
              <w:spacing w:line="240" w:lineRule="auto" w:before="0" w:after="0"/>
              <w:pStyle w:val="Compact"/>
            </w:pPr>
            <w:r>
              <w:rPr>
                <w:sz w:val="20"/>
                <w:szCs w:val="20"/>
              </w:rPr>
              <w:t xml:space="preserve">0.3624</w:t>
            </w:r>
          </w:p>
        </w:tc>
        <w:tc>
          <w:tcPr>
            <w:tcW w:w="0" w:type="auto"/>
          </w:tcPr>
          <w:p>
            <w:pPr>
              <w:spacing w:line="240" w:lineRule="auto" w:before="0" w:after="0"/>
              <w:pStyle w:val="Compact"/>
            </w:pPr>
            <w:r>
              <w:rPr>
                <w:sz w:val="20"/>
                <w:szCs w:val="20"/>
              </w:rPr>
              <w:t xml:space="preserve">-3.3638</w:t>
            </w:r>
          </w:p>
        </w:tc>
        <w:tc>
          <w:tcPr>
            <w:tcW w:w="0" w:type="auto"/>
          </w:tcPr>
          <w:p>
            <w:pPr>
              <w:spacing w:line="240" w:lineRule="auto" w:before="0" w:after="0"/>
              <w:pStyle w:val="Compact"/>
            </w:pPr>
            <w:r>
              <w:rPr>
                <w:sz w:val="20"/>
                <w:szCs w:val="20"/>
              </w:rPr>
              <w:t xml:space="preserve">0.0007688</w:t>
            </w:r>
          </w:p>
        </w:tc>
        <w:tc>
          <w:tcPr>
            <w:tcW w:w="0" w:type="auto"/>
          </w:tcPr>
          <w:p>
            <w:pPr>
              <w:spacing w:line="240" w:lineRule="auto" w:before="0" w:after="0"/>
              <w:pStyle w:val="Compact"/>
            </w:pPr>
            <w:r>
              <w:rPr>
                <w:sz w:val="20"/>
                <w:szCs w:val="20"/>
              </w:rPr>
              <w:t xml:space="preserve">[-1.9292, -0.5087]</w:t>
            </w:r>
          </w:p>
        </w:tc>
      </w:tr>
    </w:tbl>
    <w:p>
      <w:pPr>
        <w:pStyle w:val="BodyText"/>
      </w:pPr>
      <w:r>
        <w:t xml:space="preserve">Fit: N = 30 R2 = 0.1759 elasticity_b = -1.2189 progress_ratio_2^b = 0.4296</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2" Target="https://doi.org/10.64861/DNKW1345" TargetMode="External" /><Relationship Type="http://schemas.openxmlformats.org/officeDocument/2006/relationships/hyperlink" Id="rId74" Target="https://doi.org/10.64861/LBPZ7861" TargetMode="External" /><Relationship Type="http://schemas.openxmlformats.org/officeDocument/2006/relationships/hyperlink" Id="rId69" Target="https://doi.org/10.64861/LFFV2455"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DNKW1345" TargetMode="External" /><Relationship Type="http://schemas.openxmlformats.org/officeDocument/2006/relationships/hyperlink" Id="rId74" Target="https://doi.org/10.64861/LBPZ7861" TargetMode="External" /><Relationship Type="http://schemas.openxmlformats.org/officeDocument/2006/relationships/hyperlink" Id="rId69" Target="https://doi.org/10.64861/LFFV245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2026-06-29T09:35:03Z</dcterms:created>
  <dcterms:modified xsi:type="dcterms:W3CDTF">2026-06-29T09:35:03Z</dcterms:modified>
</cp:coreProperties>
</file>

<file path=docProps/custom.xml><?xml version="1.0" encoding="utf-8"?>
<Properties xmlns="http://schemas.openxmlformats.org/officeDocument/2006/custom-properties" xmlns:vt="http://schemas.openxmlformats.org/officeDocument/2006/docPropsVTypes"/>
</file>