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DEBRIS CONOPS: INCENTIVE-COMPATIBLE COOPERATIVE REMEDIATION</w:t>
      </w:r>
    </w:p>
    <w:p>
      <w:pPr>
        <w:jc w:val="center"/>
      </w:pPr>
    </w:p>
    <w:p>
      <w:pPr>
        <w:jc w:val="center"/>
      </w:pPr>
      <w:r>
        <w:rPr>
          <w:rFonts w:ascii="Times New Roman" w:hAnsi="Times New Roman"/>
          <w:sz w:val="24"/>
        </w:rPr>
        <w:t>by</w:t>
      </w:r>
    </w:p>
    <w:p>
      <w:pPr>
        <w:jc w:val="center"/>
      </w:pPr>
      <w:r>
        <w:rPr>
          <w:rFonts w:ascii="Times New Roman" w:hAnsi="Times New Roman"/>
          <w:b/>
          <w:sz w:val="28"/>
        </w:rPr>
        <w:t>Marina Adeyemi</w:t>
      </w:r>
    </w:p>
    <w:p>
      <w:pPr>
        <w:jc w:val="center"/>
      </w:pPr>
      <w:r>
        <w:rPr>
          <w:rFonts w:ascii="Times New Roman" w:hAnsi="Times New Roman"/>
          <w:sz w:val="24"/>
        </w:rPr>
        <w:t>1B-SDA-189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introduction"/>
    <w:p>
      <w:pPr>
        <w:pStyle w:val="Heading1"/>
        <w:spacing w:line="480" w:lineRule="auto"/>
      </w:pPr>
      <w:r>
        <w:t xml:space="preserve">Introduction</w:t>
      </w:r>
    </w:p>
    <w:p>
      <w:pPr>
        <w:pStyle w:val="FirstParagraph"/>
        <w:spacing w:line="480" w:lineRule="auto"/>
      </w:pPr>
      <w:r>
        <w:t xml:space="preserve">Debris in orbit poses a question of governance long before it poses one of engineering. Machines that can catalog derelict objects, read their tumble, and close on them for capture are arriving fast</w:t>
      </w:r>
      <w:r>
        <w:t xml:space="preserve"> </w:t>
      </w:r>
      <w:hyperlink w:anchor="ref-4">
        <w:r>
          <w:rPr>
            <w:rStyle w:val="Hyperlink"/>
          </w:rPr>
          <w:t xml:space="preserve">[4]</w:t>
        </w:r>
      </w:hyperlink>
      <w:r>
        <w:t xml:space="preserve"> </w:t>
      </w:r>
      <w:hyperlink w:anchor="ref-6">
        <w:r>
          <w:rPr>
            <w:rStyle w:val="Hyperlink"/>
          </w:rPr>
          <w:t xml:space="preserve">[6]</w:t>
        </w:r>
      </w:hyperlink>
      <w:r>
        <w:t xml:space="preserve">. What has not arrived is any settled answer to the operating question underneath remediation: which party does the work, which party pays, on what timetable, and by whose authority. That unanswered question drives this dissertation. Designing the capture vehicle is someone else’s task, and so is drafting the treaty; my target is the question that comes before either. Once a cooperative remediation concept starts to gather institutional weight, does that weight register anywhere in the paper record, and can obtainable evidence confirm the trace rather than intuition asserting it?</w:t>
      </w:r>
    </w:p>
    <w:p>
      <w:pPr>
        <w:pStyle w:val="BodyText"/>
        <w:spacing w:line="480" w:lineRule="auto"/>
        <w:ind w:firstLine="720"/>
      </w:pPr>
      <w:r>
        <w:t xml:space="preserve">At the center of the study is a debris concept of operations organized around incentive-compatible cooperative remediation. Two commitments live inside that phrase. Cooperation means that operators, agencies, and states divide the labor of clearing the most dangerous derelicts among themselves rather than leaving each to act alone or to skip the work entirely. Incentive-compatibility means the rules have to turn participation into every actor’s own best move, not a levy squeezed out by conscience. Governance proposals for debris tend to run aground on that second commitment. Any regime that asks actors to pay for a public good they could sit back and enjoy for free is a regime that comes apart</w:t>
      </w:r>
      <w:r>
        <w:t xml:space="preserve"> </w:t>
      </w:r>
      <w:hyperlink w:anchor="ref-1">
        <w:r>
          <w:rPr>
            <w:rStyle w:val="Hyperlink"/>
          </w:rPr>
          <w:t xml:space="preserve">[1]</w:t>
        </w:r>
      </w:hyperlink>
      <w:r>
        <w:t xml:space="preserve"> </w:t>
      </w:r>
      <w:hyperlink w:anchor="ref-15">
        <w:r>
          <w:rPr>
            <w:rStyle w:val="Hyperlink"/>
          </w:rPr>
          <w:t xml:space="preserve">[15]</w:t>
        </w:r>
      </w:hyperlink>
      <w:r>
        <w:t xml:space="preserve">. Read the recent work and you find incentive design, rather than technical feasibility, named as the constraint that actually binds remediation once it scales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Start with what is not in doubt. The physical case for remediation is settled; the institutional case is where the trouble lives.</w:t>
      </w:r>
    </w:p>
    <w:p>
      <w:pPr>
        <w:pStyle w:val="BodyText"/>
        <w:spacing w:line="480" w:lineRule="auto"/>
        <w:ind w:firstLine="720"/>
      </w:pPr>
      <w:r>
        <w:t xml:space="preserve">Weigh the physical stakes first, though they are well documented and I will not rehearse the arithmetic. Collision risk in low Earth orbit is dominated by a handful of massive derelicts, and clearing even a few of them would cut the long-run flux out of all proportion to their number</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On that point the science has closed the file, and the closing has held for long enough now that no serious analyst spends effort reopening it; nobody disputes it. Where the argument stays open is institutional. Clearing those objects means some party has to fund, authorize, and fly the removal, yet the payoff spreads to every operator sharing the affected shells, free riders included. What that describes is a commons, with all the familiar machinery, which is why the debris literature keeps circling back to the Montreal Protocol and to the governance of fisheries</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saving grace for a study like this one is that institutions write things down. A norm circulates well before it sets into a rule, showing up in proceedings, in journal pages, in agency memos, in the white papers of the policy shops. How much notice a topic draws, where that notice lands, and how quickly its founding documents pull in citations are quantities you can actually see. Should cooperative remediation be hardening from an academic hope into an institutional fact, the shift ought to surface, in the recency of the records and the venues they choose and the citations they draw, in how the surrounding literature is shaped over the years a norm takes to set. Where no such shift surfaces, talk of an emerging regime runs on story, not evidence</w:t>
      </w:r>
      <w:r>
        <w:t xml:space="preserve"> </w:t>
      </w:r>
      <w:hyperlink w:anchor="ref-11">
        <w:r>
          <w:rPr>
            <w:rStyle w:val="Hyperlink"/>
          </w:rPr>
          <w:t xml:space="preserve">[11]</w:t>
        </w:r>
      </w:hyperlink>
      <w:r>
        <w:t xml:space="preserve">.</w:t>
      </w:r>
    </w:p>
    <w:bookmarkEnd w:id="61"/>
    <w:bookmarkStart w:id="62" w:name="the-stakes-for-the-reader"/>
    <w:p>
      <w:pPr>
        <w:pStyle w:val="Heading2"/>
        <w:spacing w:line="480" w:lineRule="auto"/>
      </w:pPr>
      <w:r>
        <w:t xml:space="preserve">The stakes for the reader</w:t>
      </w:r>
    </w:p>
    <w:p>
      <w:pPr>
        <w:pStyle w:val="FirstParagraph"/>
        <w:spacing w:line="480" w:lineRule="auto"/>
      </w:pPr>
      <w:r>
        <w:t xml:space="preserve">Part of what a dissertation in this pipeline is measured against is whether it lays down a trail an examiner can walk, from the sources chosen through to the claims drawn. For the debris problem that standard is no side condition; it goes to the heart of the matter. Confident announcements of consensus that come apart the moment anyone presses them are the recurring affliction of debris governance. Urgency draws universal assent, and still no binding duty to remediate is on any books</w:t>
      </w:r>
      <w:r>
        <w:t xml:space="preserve"> </w:t>
      </w:r>
      <w:hyperlink w:anchor="ref-2">
        <w:r>
          <w:rPr>
            <w:rStyle w:val="Hyperlink"/>
          </w:rPr>
          <w:t xml:space="preserve">[2]</w:t>
        </w:r>
      </w:hyperlink>
      <w:r>
        <w:t xml:space="preserve"> </w:t>
      </w:r>
      <w:hyperlink w:anchor="ref-3">
        <w:r>
          <w:rPr>
            <w:rStyle w:val="Hyperlink"/>
          </w:rPr>
          <w:t xml:space="preserve">[3]</w:t>
        </w:r>
      </w:hyperlink>
      <w:r>
        <w:t xml:space="preserve">. Once advocacy runs ahead of proof, the field can no longer separate a real institutional turn from a hopeful one. So a method that drags every interpretive claim back to something on the record is not fussiness dressed as rigor; it treats the exact weakness the field keeps falling into.</w:t>
      </w:r>
    </w:p>
    <w:p>
      <w:pPr>
        <w:pStyle w:val="BodyText"/>
        <w:spacing w:line="480" w:lineRule="auto"/>
        <w:ind w:firstLine="720"/>
      </w:pPr>
      <w:r>
        <w:t xml:space="preserve">Down at ground level the stakes are tangible. Agencies and commercial operators are being told to sink resources into remediation architectures because a cooperative regime is supposedly taking shape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Where that reading holds, spending early is the wise move; where it is a hope wearing the costume of a trend, spending early wagers on a regime that might never lock in. Separating the two calls for a way of reading the record that resists simply echoing the reader’s prior conviction, and building that way of reading is the work of this dissertation.</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One claim is put forward here, and it is put to the test. It says the visibility of cooperative debris remediation across the retrieved corpus is not scattered at random against that corpus’s structural features. As rival hypotheses:</w:t>
      </w:r>
    </w:p>
    <w:p>
      <w:pPr>
        <w:pStyle w:val="BodyText"/>
        <w:spacing w:line="480" w:lineRule="auto"/>
        <w:ind w:firstLine="720"/>
      </w:pPr>
      <w:r>
        <w:t xml:space="preserve">H0: the topic-signal intensity of a source record is unrelated to its publication recency, its citation attention, and its venue family.</w:t>
      </w:r>
    </w:p>
    <w:p>
      <w:pPr>
        <w:pStyle w:val="BodyText"/>
        <w:spacing w:line="480" w:lineRule="auto"/>
        <w:ind w:firstLine="720"/>
      </w:pPr>
      <w:r>
        <w:t xml:space="preserve">H1: the topic-signal intensity is systematically related to at least one of those structural features.</w:t>
      </w:r>
    </w:p>
    <w:p>
      <w:pPr>
        <w:pStyle w:val="BodyText"/>
        <w:spacing w:line="480" w:lineRule="auto"/>
        <w:ind w:firstLine="720"/>
      </w:pPr>
      <w:r>
        <w:t xml:space="preserve">Nothing about the claim is grand, and that restraint is chosen. No regime is asserted to exist, none is promised to succeed, and no incentive design is crowned optimal. The assertion is one you can check: attention to this topic, spread across time, citations, and venues, is patterned rather than random, and a transparent estimator run against a documented dataset can pull that pattern back out. Where the estimator hands back associations too weak and too jittery to trust, the null lives on, and the candid verdict is that today’s paper record cannot yet carry strong claims about a regime taking form. Such a verdict counts as a result, not a defeat. Any design capable only of vindicating its hypothesis was never a test.</w:t>
      </w:r>
    </w:p>
    <w:p>
      <w:pPr>
        <w:pStyle w:val="BodyText"/>
        <w:spacing w:line="480" w:lineRule="auto"/>
        <w:ind w:firstLine="720"/>
      </w:pPr>
      <w:r>
        <w:t xml:space="preserve">The test rides on two empirical models. First comes an ordinary least squares regression of a composite topic-signal score on recency, citation count, and venue family across thirty retrieved source records</w:t>
      </w:r>
      <w:r>
        <w:t xml:space="preserve"> </w:t>
      </w:r>
      <w:hyperlink w:anchor="ref-1">
        <w:r>
          <w:rPr>
            <w:rStyle w:val="Hyperlink"/>
          </w:rPr>
          <w:t xml:space="preserve">[1]</w:t>
        </w:r>
      </w:hyperlink>
      <w:r>
        <w:t xml:space="preserve"> </w:t>
      </w:r>
      <w:hyperlink w:anchor="ref-9">
        <w:r>
          <w:rPr>
            <w:rStyle w:val="Hyperlink"/>
          </w:rPr>
          <w:t xml:space="preserve">[9]</w:t>
        </w:r>
      </w:hyperlink>
      <w:r>
        <w:t xml:space="preserve">. Second comes a log-log learning-curve model relating citation accumulation to document age over that same set. The models probe different features of the corpus. One asks whether topic salience shows a pattern across the corpus frozen at a single instant; the other asks whether the attention a given document draws tracks its age by some lawful rule. Between them they put discipline around what would otherwise stay an unfalsifiable hunch about a field on the rise.</w:t>
      </w:r>
    </w:p>
    <w:bookmarkEnd w:id="63"/>
    <w:bookmarkStart w:id="64" w:name="what-this-dissertation-is-not"/>
    <w:p>
      <w:pPr>
        <w:pStyle w:val="Heading2"/>
        <w:spacing w:line="480" w:lineRule="auto"/>
      </w:pPr>
      <w:r>
        <w:t xml:space="preserve">What this dissertation is not</w:t>
      </w:r>
    </w:p>
    <w:p>
      <w:pPr>
        <w:pStyle w:val="FirstParagraph"/>
        <w:spacing w:line="480" w:lineRule="auto"/>
      </w:pPr>
      <w:r>
        <w:t xml:space="preserve">The limits earn a blunt statement, since a modest claim is easily mistaken for a slippery one. This is design-stage work. It probes the shape of a documentary corpus, and it makes no attempt on the causal bite of any policy. Whether a remediation regime forms, whether some incentive mechanism ever clears, whether any one derelict is finally hauled down, all lie past what it can say. What sits within reach is whether today’s paper evidence is shaped like an institutional focus beginning to cohere, and how much confidence such evidence licenses. Its citation figures come from a local index rather than any universal tally, and its venue coding is ordinal, resolution enough for a first cut and no finer</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These are genuine limits, and the discussion returns to each of them at length.</w:t>
      </w:r>
    </w:p>
    <w:p>
      <w:pPr>
        <w:pStyle w:val="BodyText"/>
        <w:spacing w:line="480" w:lineRule="auto"/>
        <w:ind w:firstLine="720"/>
      </w:pPr>
      <w:r>
        <w:t xml:space="preserve">A good deal of the worth here sits in what the exercise declines to do. It declines to promote a believable story into a finding with no test behind it, declines to read more into a noisy corpus than the noise permits, and declines to let attention pass for consensus or a citation stand in for authority. Those refusals count as much toward the contribution as any slope does. Debris research has turned out arresting optimization work on which objects to pull and in what order</w:t>
      </w:r>
      <w:r>
        <w:t xml:space="preserve"> </w:t>
      </w:r>
      <w:hyperlink w:anchor="ref-10">
        <w:r>
          <w:rPr>
            <w:rStyle w:val="Hyperlink"/>
          </w:rPr>
          <w:t xml:space="preserve">[10]</w:t>
        </w:r>
      </w:hyperlink>
      <w:r>
        <w:t xml:space="preserve">, refined criticality metrics for grading derelict mass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and at least one worked-out incentive mechanism for multi-party collaboration</w:t>
      </w:r>
      <w:r>
        <w:t xml:space="preserve"> </w:t>
      </w:r>
      <w:hyperlink w:anchor="ref-15">
        <w:r>
          <w:rPr>
            <w:rStyle w:val="Hyperlink"/>
          </w:rPr>
          <w:t xml:space="preserve">[15]</w:t>
        </w:r>
      </w:hyperlink>
      <w:r>
        <w:t xml:space="preserve">. Thinner on the shelf is disciplined proof that the institutional conversation is ripening rather than simply swelling in volume. What this study delivers is a small, testable piece of exactly that proof: not a verdict on whether the regime will arrive, but a measurement of whether the conversation that would have to precede it is starting to take a shape a reader can actually see and check. That is the whole of it.</w:t>
      </w:r>
    </w:p>
    <w:bookmarkEnd w:id="64"/>
    <w:bookmarkStart w:id="65" w:name="roadmap"/>
    <w:p>
      <w:pPr>
        <w:pStyle w:val="Heading2"/>
        <w:spacing w:line="480" w:lineRule="auto"/>
      </w:pPr>
      <w:r>
        <w:t xml:space="preserve">Roadmap</w:t>
      </w:r>
    </w:p>
    <w:p>
      <w:pPr>
        <w:pStyle w:val="FirstParagraph"/>
        <w:spacing w:line="480" w:lineRule="auto"/>
      </w:pPr>
      <w:r>
        <w:t xml:space="preserve">Seven chapters lie ahead. Chapter 2 places the project against earlier work on debris governance, incentive design, and the bibliometric reading of young fields, marking what is settled and where the opening sits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Chapter 3 builds the theory, tracing the mechanism by which an emerging institutional focus should press itself onto documentary structure and drawing out the predictions that follow. Chapter 4 lays out the methodology and the identification logic, saying why each estimator recovers what it claims and where it stops. Chapter 5 records the data down to the source collection, the build of every variable, the provenance of each record, and the sample size. Chapter 6 hands back both models’ output as the workbooks made it and reads the signs and sizes. Chapter 7 turns to meaning, itemizes the threats to validity, and says outright what the data withhold. Chapter 8 closes the argument, ties it to debris governance and to program choices, and sketches the next design the evidence has earned.</w:t>
      </w:r>
    </w:p>
    <w:p>
      <w:pPr>
        <w:pStyle w:val="BodyText"/>
        <w:spacing w:line="480" w:lineRule="auto"/>
        <w:ind w:firstLine="720"/>
      </w:pPr>
      <w:r>
        <w:t xml:space="preserve">A single discipline threads the whole of it. No interpretive sentence should stand unless it traces back to something observed or to a frank admission of doubt. Confidence is not what the debris field runs short of. What it runs short of is confidence that has been paid for against evidence. This dissertation pays for a little, with care, and leaves the receipts in view</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65"/>
    <w:bookmarkStart w:id="66" w:name="the-intellectual-origin-of-the-question"/>
    <w:p>
      <w:pPr>
        <w:pStyle w:val="Heading2"/>
        <w:spacing w:line="480" w:lineRule="auto"/>
      </w:pPr>
      <w:r>
        <w:t xml:space="preserve">The intellectual origin of the question</w:t>
      </w:r>
    </w:p>
    <w:p>
      <w:pPr>
        <w:pStyle w:val="FirstParagraph"/>
        <w:spacing w:line="480" w:lineRule="auto"/>
      </w:pPr>
      <w:r>
        <w:t xml:space="preserve">Nothing about the question was obvious at the outset. It came out of a standing irritation with the way the remediation conversation narrates its own advance. Open a review of the field and it will often start by pronouncing that momentum is gathering, that consensus is setting in, that the hour for cooperative action has come. Almost never does a measurement ride alongside those pronouncements. They read the mood of the field, offered by people placed well to feel it, and the reading may be sound. Yet a mood taken is not a finding made, and a field unable to keep the two apart will in time confuse its own excitement for proof</w:t>
      </w:r>
      <w:r>
        <w:t xml:space="preserve"> </w:t>
      </w:r>
      <w:hyperlink w:anchor="ref-11">
        <w:r>
          <w:rPr>
            <w:rStyle w:val="Hyperlink"/>
          </w:rPr>
          <w:t xml:space="preserve">[11]</w:t>
        </w:r>
      </w:hyperlink>
      <w:r>
        <w:t xml:space="preserve">. The discourse-network study of the debris regime was the first real effort to make the conversation itself the thing measured instead of the wallpaper behind it, and it laid bare a mappable arrangement of actors and frames in the socio-technical regime around debris</w:t>
      </w:r>
      <w:r>
        <w:t xml:space="preserve"> </w:t>
      </w:r>
      <w:hyperlink w:anchor="ref-11">
        <w:r>
          <w:rPr>
            <w:rStyle w:val="Hyperlink"/>
          </w:rPr>
          <w:t xml:space="preserve">[11]</w:t>
        </w:r>
      </w:hyperlink>
      <w:r>
        <w:t xml:space="preserve">. From that mapping this dissertation takes the following stride, testing whether the arrangement is patterned tightly enough for a transparent estimator to recover.</w:t>
      </w:r>
    </w:p>
    <w:p>
      <w:pPr>
        <w:pStyle w:val="BodyText"/>
        <w:spacing w:line="480" w:lineRule="auto"/>
        <w:ind w:firstLine="720"/>
      </w:pPr>
      <w:r>
        <w:t xml:space="preserve">A second root runs more practical. Program offices and standards bodies decide under partial information as their ordinary condition. Waiting on a settled evidence base before they commit to a sensor architecture or a removal demonstration is a luxury they lack, and rightly refuse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What they can insist on is that the evidence behind a commitment be legible, so that</w:t>
      </w:r>
      <w:r>
        <w:t xml:space="preserve"> </w:t>
      </w:r>
      <w:r>
        <w:t xml:space="preserve">“the field is maturing”</w:t>
      </w:r>
      <w:r>
        <w:t xml:space="preserve"> </w:t>
      </w:r>
      <w:r>
        <w:t xml:space="preserve">hooks onto something checkable rather than floating free as assertion. A small worked case of that legibility is what this study offers. Whether a program office should fund a removal vehicle stays outside its reach, but how to read the record for structure rather than borrow a review author’s confidence sits well inside it.</w:t>
      </w:r>
    </w:p>
    <w:bookmarkEnd w:id="66"/>
    <w:bookmarkStart w:id="67" w:name="X8ce50b141fc51200de58b07c0c2331059b0b391"/>
    <w:p>
      <w:pPr>
        <w:pStyle w:val="Heading2"/>
        <w:spacing w:line="480" w:lineRule="auto"/>
      </w:pPr>
      <w:r>
        <w:t xml:space="preserve">Why bibliometric structure is the right target</w:t>
      </w:r>
    </w:p>
    <w:p>
      <w:pPr>
        <w:pStyle w:val="FirstParagraph"/>
        <w:spacing w:line="480" w:lineRule="auto"/>
      </w:pPr>
      <w:r>
        <w:t xml:space="preserve">An obvious objection comes at once. If institutional behavior in orbit and in treaty rooms is the real quarry, why go anywhere near the literature? Because the literature is an emerging regime’s earliest observable, and often the only one on offer before the regime binds. Treaties and operator pledges lag; by the time they land, whether a regime was emerging has long since been settled. A documentary record leads instead, out in the open, thick enough to measure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Anyone hoping to learn whether cooperative remediation is turning into institutional fact ahead of the institutions themselves will find the first evidence in what gets written.</w:t>
      </w:r>
    </w:p>
    <w:p>
      <w:pPr>
        <w:pStyle w:val="BodyText"/>
        <w:spacing w:line="480" w:lineRule="auto"/>
        <w:ind w:firstLine="720"/>
      </w:pPr>
      <w:r>
        <w:t xml:space="preserve">None of this is new in the study of young fields, though within this pocket of space governance it is. Reading maturation off recency, citation, and venue as the marks of a field pulling together is routine elsewhere and neglected here</w:t>
      </w:r>
      <w:r>
        <w:t xml:space="preserve"> </w:t>
      </w:r>
      <w:hyperlink w:anchor="ref-11">
        <w:r>
          <w:rPr>
            <w:rStyle w:val="Hyperlink"/>
          </w:rPr>
          <w:t xml:space="preserve">[11]</w:t>
        </w:r>
      </w:hyperlink>
      <w:r>
        <w:t xml:space="preserve">. So part of the contribution is to carry that discipline into debris remediation and to render it falsifiable, handing the field an instrument for auditing its own momentum claims instead of merely voicing them.</w:t>
      </w:r>
    </w:p>
    <w:bookmarkEnd w:id="67"/>
    <w:bookmarkStart w:id="68" w:name="a-note-on-scope-and-honesty"/>
    <w:p>
      <w:pPr>
        <w:pStyle w:val="Heading2"/>
        <w:spacing w:line="480" w:lineRule="auto"/>
      </w:pPr>
      <w:r>
        <w:t xml:space="preserve">A note on scope and honesty</w:t>
      </w:r>
    </w:p>
    <w:p>
      <w:pPr>
        <w:pStyle w:val="FirstParagraph"/>
        <w:spacing w:line="480" w:lineRule="auto"/>
      </w:pPr>
      <w:r>
        <w:t xml:space="preserve">Let me be candid about the scale of what follows, since a reader braced for a sweeping result will come away let down, and that letdown would trace to my framing rather than to the study’s execution. A single hypothesis pair, thirty records, two plain estimators: that is the whole apparatus. Some structure will turn up, and no regime. The conclusions will wear their hedges, the coefficients will stay modest, and several of the sturdiest results will prove to be about the mechanics of publishing as much as about substance</w:t>
      </w:r>
      <w:r>
        <w:t xml:space="preserve"> </w:t>
      </w:r>
      <w:hyperlink w:anchor="ref-4">
        <w:r>
          <w:rPr>
            <w:rStyle w:val="Hyperlink"/>
          </w:rPr>
          <w:t xml:space="preserve">[4]</w:t>
        </w:r>
      </w:hyperlink>
      <w:r>
        <w:t xml:space="preserve"> </w:t>
      </w:r>
      <w:hyperlink w:anchor="ref-8">
        <w:r>
          <w:rPr>
            <w:rStyle w:val="Hyperlink"/>
          </w:rPr>
          <w:t xml:space="preserve">[8]</w:t>
        </w:r>
      </w:hyperlink>
      <w:r>
        <w:t xml:space="preserve">. If that reads as a thin return, set it beside the alternative the field mostly runs on: confident, unhedged, unmeasured pronouncements about a consensus nobody has tested and that testing might not survive. A small result, checkable and correctly hedged, outweighs a large one that is confident and unfalsifiable. That belief is the backbone of the dissertation, and every chapter after this is built to keep faith with it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68"/>
    <w:bookmarkStart w:id="69" w:name="X1aa98ca8ddecee6d9add395b491043b60a7f9bc"/>
    <w:p>
      <w:pPr>
        <w:pStyle w:val="Heading2"/>
        <w:spacing w:line="480" w:lineRule="auto"/>
      </w:pPr>
      <w:r>
        <w:t xml:space="preserve">The specific hazard the governance regime must address</w:t>
      </w:r>
    </w:p>
    <w:p>
      <w:pPr>
        <w:pStyle w:val="FirstParagraph"/>
        <w:spacing w:line="480" w:lineRule="auto"/>
      </w:pPr>
      <w:r>
        <w:t xml:space="preserve">Grounding the abstraction helps, so recall exactly what a cooperative remediation regime would have to govern, because the physical facts press on the institutional design in ways governance writing sometimes glides over. Across the tens of thousands of tracked objects, collision risk in low Earth orbit sits far from evenly spread. It bunches in a small stock of massive derelict bodies, spent stages and dead satellites, packed into particular altitude bands where their mass and their orbital lifetime together make them the leading engines of long-term flux</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Pull down even a few of these worst offenders and the expected count of catastrophic collisions over the decades ahead drops by a share out of all proportion to the effort, which is why the removal-optimization literature makes target selection the planning problem at its core</w:t>
      </w:r>
      <w:r>
        <w:t xml:space="preserve"> </w:t>
      </w:r>
      <w:hyperlink w:anchor="ref-10">
        <w:r>
          <w:rPr>
            <w:rStyle w:val="Hyperlink"/>
          </w:rPr>
          <w:t xml:space="preserve">[10]</w:t>
        </w:r>
      </w:hyperlink>
      <w:r>
        <w:t xml:space="preserve">.</w:t>
      </w:r>
    </w:p>
    <w:p>
      <w:pPr>
        <w:pStyle w:val="BodyText"/>
        <w:spacing w:line="480" w:lineRule="auto"/>
        <w:ind w:firstLine="720"/>
      </w:pPr>
      <w:r>
        <w:t xml:space="preserve">Cooperation is at once made necessary and made hard by that same concentration. Necessary, because no single actor caused, owns, or reaps sole benefit from clearing these shared hazards, and the objects most worth clearing were often lofted decades back by parties now vanished or no longer in control</w:t>
      </w:r>
      <w:r>
        <w:t xml:space="preserve"> </w:t>
      </w:r>
      <w:hyperlink w:anchor="ref-2">
        <w:r>
          <w:rPr>
            <w:rStyle w:val="Hyperlink"/>
          </w:rPr>
          <w:t xml:space="preserve">[2]</w:t>
        </w:r>
      </w:hyperlink>
      <w:r>
        <w:t xml:space="preserve">. Hard, because the benefit of removal is a pure public good: a cleaner shell rewards every operator in it, contributor or not. Fail to make contribution the rational choice and a regime gathers free riders where it wanted removals, which lands the whole thing back on incentive compatibility</w:t>
      </w:r>
      <w:r>
        <w:t xml:space="preserve"> </w:t>
      </w:r>
      <w:hyperlink w:anchor="ref-15">
        <w:r>
          <w:rPr>
            <w:rStyle w:val="Hyperlink"/>
          </w:rPr>
          <w:t xml:space="preserve">[15]</w:t>
        </w:r>
      </w:hyperlink>
      <w:r>
        <w:t xml:space="preserve">. In sum, the physical facts hand the institutional designer a known target set fused to a hostile incentive structure, and squaring that pair is what the topic under study is meant to do.</w:t>
      </w:r>
    </w:p>
    <w:bookmarkEnd w:id="69"/>
    <w:bookmarkStart w:id="70" w:name="why-measurement-precedes-prescription"/>
    <w:p>
      <w:pPr>
        <w:pStyle w:val="Heading2"/>
        <w:spacing w:line="480" w:lineRule="auto"/>
      </w:pPr>
      <w:r>
        <w:t xml:space="preserve">Why measurement precedes prescription</w:t>
      </w:r>
    </w:p>
    <w:p>
      <w:pPr>
        <w:pStyle w:val="FirstParagraph"/>
        <w:spacing w:line="480" w:lineRule="auto"/>
      </w:pPr>
      <w:r>
        <w:t xml:space="preserve">A reader alive to the urgency might press on why a dissertation would burn its effort measuring a literature’s shape instead of proposing a mechanism to crack the incentive problem head-on. It is a question of order. Mechanism proposals the field already holds; an incentive-based collaboration mechanism and a sustainability rating are both in hand, both serious, both recent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What eludes the field is any way to tell whether the institutional conditions those mechanisms take for granted are in fact forming, or whether the mechanisms are being built for a regime alive only in their designers’ hopes. Dropping a tenth mechanism into that fog would deepen the pile and settle nothing prior. Measuring whether the conversation is cohering settles the prior thing, and settles it with evidence the field can audit rather than one more sure-footed claim.</w:t>
      </w:r>
    </w:p>
    <w:p>
      <w:pPr>
        <w:pStyle w:val="BodyText"/>
        <w:spacing w:line="480" w:lineRule="auto"/>
        <w:ind w:firstLine="720"/>
      </w:pPr>
      <w:r>
        <w:t xml:space="preserve">That is the sense in which measurement runs ahead of prescription. Every prescription leans on a diagnosis, and the diagnosis of an emerging regime has been declared far oftener than it has been checked</w:t>
      </w:r>
      <w:r>
        <w:t xml:space="preserve"> </w:t>
      </w:r>
      <w:hyperlink w:anchor="ref-11">
        <w:r>
          <w:rPr>
            <w:rStyle w:val="Hyperlink"/>
          </w:rPr>
          <w:t xml:space="preserve">[11]</w:t>
        </w:r>
      </w:hyperlink>
      <w:r>
        <w:t xml:space="preserve">. This dissertation supplies one piece of the missing check. Prescribe a mechanism it will not, and it will not feign to. Its work is to establish, against a documented corpus, whether the documentary preconditions for the field’s confident diagnosis are actually visible, and to report the answer only as strongly as the evidence permits. Diagnosis ahead of prescription, measurement ahead of mechanism: that ordering is the methodological commitment that sets this dissertation apart from the advocacy filling its domain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70"/>
    <w:bookmarkEnd w:id="71"/>
    <w:bookmarkStart w:id="83" w:name="literature-review"/>
    <w:p>
      <w:pPr>
        <w:pStyle w:val="Heading1"/>
        <w:spacing w:line="480" w:lineRule="auto"/>
      </w:pPr>
      <w:r>
        <w:t xml:space="preserve">Literature Review</w:t>
      </w:r>
    </w:p>
    <w:p>
      <w:pPr>
        <w:pStyle w:val="FirstParagraph"/>
        <w:spacing w:line="480" w:lineRule="auto"/>
      </w:pPr>
      <w:r>
        <w:t xml:space="preserve">Four strands of writing bear on cooperative debris remediation, and they hold themselves largely apart. One runs technical and operational, asking how a derelict gets tracked, characterized, and pulled down. Another runs environmental and analytic, sorting which objects carry the most weight and by what margin. A third runs institutional and legal, weighing which rules, incentives, and forums might tie actors to the work of remediation. The fourth, and the leanest, runs bibliometric, asking how a young field can be read off the shape of its own writing. This dissertation lodges itself along the join between the institutional and bibliometric strands, drawing on the first two to pin down the terms it goes on to measure. Each strand gets its map in this chapter, and then the gap the dissertation is built to close gets its name.</w:t>
      </w:r>
    </w:p>
    <w:bookmarkStart w:id="72" w:name="the-technical-and-operational-strand"/>
    <w:p>
      <w:pPr>
        <w:pStyle w:val="Heading2"/>
        <w:spacing w:line="480" w:lineRule="auto"/>
      </w:pPr>
      <w:r>
        <w:t xml:space="preserve">The technical and operational strand</w:t>
      </w:r>
    </w:p>
    <w:p>
      <w:pPr>
        <w:pStyle w:val="FirstParagraph"/>
        <w:spacing w:line="480" w:lineRule="auto"/>
      </w:pPr>
      <w:r>
        <w:t xml:space="preserve">Feasibility questions have given way to planning questions in the operational work. The earliest of it asked only whether a derelict could be read well enough to be approached, and the answer came back yes: adaptive-optics imaging together with ground-based laser characterization showed that non-cooperative targets could be resolved and tracked to a fidelity useful for the work that a rendezvous would demand of any coalition trying to close on a body it did not build</w:t>
      </w:r>
      <w:r>
        <w:t xml:space="preserve"> </w:t>
      </w:r>
      <w:hyperlink w:anchor="ref-6">
        <w:r>
          <w:rPr>
            <w:rStyle w:val="Hyperlink"/>
          </w:rPr>
          <w:t xml:space="preserve">[6]</w:t>
        </w:r>
      </w:hyperlink>
      <w:r>
        <w:t xml:space="preserve"> </w:t>
      </w:r>
      <w:hyperlink w:anchor="ref-7">
        <w:r>
          <w:rPr>
            <w:rStyle w:val="Hyperlink"/>
          </w:rPr>
          <w:t xml:space="preserve">[7]</w:t>
        </w:r>
      </w:hyperlink>
      <w:r>
        <w:t xml:space="preserve">. From there, cooperative tracking aids and space-domain-awareness sensor programs tightened the custody of objects over their orbital lifetimes, without which no rendezvous with a tumbling derelict is even possible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That custody and characterization have slipped beyond any one agency or state is signaled by national efforts such as the Korea Aerospace Research Institute’s space-situational-awareness activity</w:t>
      </w:r>
      <w:r>
        <w:t xml:space="preserve"> </w:t>
      </w:r>
      <w:hyperlink w:anchor="ref-8">
        <w:r>
          <w:rPr>
            <w:rStyle w:val="Hyperlink"/>
          </w:rPr>
          <w:t xml:space="preserve">[8]</w:t>
        </w:r>
      </w:hyperlink>
      <w:r>
        <w:t xml:space="preserve">.</w:t>
      </w:r>
    </w:p>
    <w:p>
      <w:pPr>
        <w:pStyle w:val="BodyText"/>
        <w:spacing w:line="480" w:lineRule="auto"/>
        <w:ind w:firstLine="720"/>
      </w:pPr>
      <w:r>
        <w:t xml:space="preserve">Removal research itself has turned quantitative. Optimization of active-debris-removal mission planning now handles target selection as a formal problem, ordering removals to wring the most risk reduction from each unit of propellant and time</w:t>
      </w:r>
      <w:r>
        <w:t xml:space="preserve"> </w:t>
      </w:r>
      <w:hyperlink w:anchor="ref-10">
        <w:r>
          <w:rPr>
            <w:rStyle w:val="Hyperlink"/>
          </w:rPr>
          <w:t xml:space="preserve">[10]</w:t>
        </w:r>
      </w:hyperlink>
      <w:r>
        <w:t xml:space="preserve">. Working from the recognition that an object’s removal value hangs heavily on which object it is, ClearSpace and allied analysts have sharpened their removal strategies</w:t>
      </w:r>
      <w:r>
        <w:t xml:space="preserve"> </w:t>
      </w:r>
      <w:hyperlink w:anchor="ref-5">
        <w:r>
          <w:rPr>
            <w:rStyle w:val="Hyperlink"/>
          </w:rPr>
          <w:t xml:space="preserve">[5]</w:t>
        </w:r>
      </w:hyperlink>
      <w:r>
        <w:t xml:space="preserve">. That is the operational echo of the environmental strand: the engineering community has absorbed the lesson that debris is not fungible, and that a sane remediation program goes after the worst offenders before anything else.</w:t>
      </w:r>
    </w:p>
    <w:bookmarkEnd w:id="72"/>
    <w:bookmarkStart w:id="73" w:name="the-environmental-and-analytic-strand"/>
    <w:p>
      <w:pPr>
        <w:pStyle w:val="Heading2"/>
        <w:spacing w:line="480" w:lineRule="auto"/>
      </w:pPr>
      <w:r>
        <w:t xml:space="preserve">The environmental and analytic strand</w:t>
      </w:r>
    </w:p>
    <w:p>
      <w:pPr>
        <w:pStyle w:val="FirstParagraph"/>
        <w:spacing w:line="480" w:lineRule="auto"/>
      </w:pPr>
      <w:r>
        <w:t xml:space="preserve">Where does the ranking logic originate? In the analytic strand. Pardini and Anselmo’s work on environmental criticality showed that a small stock of massive objects in particular altitude bands powers the long-term collision cascade, and that debris flux can serve to grade the criticality of orbital regions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Building on that, McKnight and a broad international collaboration compiled a concrete, statistically grounded roster of the fifty most concerning derelict objects in low Earth orbit, turning a vague dread into a targetable inventory</w:t>
      </w:r>
      <w:r>
        <w:t xml:space="preserve"> </w:t>
      </w:r>
      <w:hyperlink w:anchor="ref-9">
        <w:r>
          <w:rPr>
            <w:rStyle w:val="Hyperlink"/>
          </w:rPr>
          <w:t xml:space="preserve">[9]</w:t>
        </w:r>
      </w:hyperlink>
      <w:r>
        <w:t xml:space="preserve">. That roster is what lets cooperative remediation be imagined at all. Spread the problem evenly over hundreds of thousands of fragments and no cooperative regime could touch it; hand a coalition a short list of high-value targets and dividing the job becomes plausible.</w:t>
      </w:r>
    </w:p>
    <w:p>
      <w:pPr>
        <w:pStyle w:val="BodyText"/>
        <w:spacing w:line="480" w:lineRule="auto"/>
        <w:ind w:firstLine="720"/>
      </w:pPr>
      <w:r>
        <w:t xml:space="preserve">For this dissertation the strand earns its place by fixing the object of governance. A cooperative remediation regime is nothing abstract; it is a rulebook for parceling out responsibility over a known, ranked stock of derelict masses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In fixing that object, the environmental literature shrinks the institutional question from</w:t>
      </w:r>
      <w:r>
        <w:t xml:space="preserve"> </w:t>
      </w:r>
      <w:r>
        <w:t xml:space="preserve">“how should we govern debris”</w:t>
      </w:r>
      <w:r>
        <w:t xml:space="preserve"> </w:t>
      </w:r>
      <w:r>
        <w:t xml:space="preserve">down to</w:t>
      </w:r>
      <w:r>
        <w:t xml:space="preserve"> </w:t>
      </w:r>
      <w:r>
        <w:t xml:space="preserve">“how should a coalition parcel out the removal of a specific, agreed inventory of dangerous objects.”</w:t>
      </w:r>
      <w:r>
        <w:t xml:space="preserve"> </w:t>
      </w:r>
      <w:r>
        <w:t xml:space="preserve">That shrinking is exactly what pushes incentive design to the center.</w:t>
      </w:r>
    </w:p>
    <w:bookmarkEnd w:id="73"/>
    <w:bookmarkStart w:id="74" w:name="the-institutional-and-incentive-strand"/>
    <w:p>
      <w:pPr>
        <w:pStyle w:val="Heading2"/>
        <w:spacing w:line="480" w:lineRule="auto"/>
      </w:pPr>
      <w:r>
        <w:t xml:space="preserve">The institutional and incentive strand</w:t>
      </w:r>
    </w:p>
    <w:p>
      <w:pPr>
        <w:pStyle w:val="FirstParagraph"/>
        <w:spacing w:line="480" w:lineRule="auto"/>
      </w:pPr>
      <w:r>
        <w:t xml:space="preserve">Institutional work is where the field’s real trouble sits. Time and again analysts pull the Montreal Protocol off the shelf as the model for a workable commons agreement, mining ozone-layer governance for lessons that might carry over to orbital debris</w:t>
      </w:r>
      <w:r>
        <w:t xml:space="preserve"> </w:t>
      </w:r>
      <w:hyperlink w:anchor="ref-1">
        <w:r>
          <w:rPr>
            <w:rStyle w:val="Hyperlink"/>
          </w:rPr>
          <w:t xml:space="preserve">[1]</w:t>
        </w:r>
      </w:hyperlink>
      <w:r>
        <w:t xml:space="preserve">. The analogy teaches, and it also falls short. Montreal came off partly because the offending chemicals had substitutes and because a small roster of producers could be gathered around a table, two conditions that made the burden of compliance both divisible and enforceable in a way debris remediation cannot easily match. Remediation has no such substitute. Its contributors are a far looser crowd. Legal scholarship following national implementations, such as the reading of Poland’s evolving space law and its debris mitigation and remediation provisions, records states starting to legislate mitigation while staying well short of any binding duty to remediate</w:t>
      </w:r>
      <w:r>
        <w:t xml:space="preserve"> </w:t>
      </w:r>
      <w:hyperlink w:anchor="ref-2">
        <w:r>
          <w:rPr>
            <w:rStyle w:val="Hyperlink"/>
          </w:rPr>
          <w:t xml:space="preserve">[2]</w:t>
        </w:r>
      </w:hyperlink>
      <w:r>
        <w:t xml:space="preserve">.</w:t>
      </w:r>
    </w:p>
    <w:p>
      <w:pPr>
        <w:pStyle w:val="BodyText"/>
        <w:spacing w:line="480" w:lineRule="auto"/>
        <w:ind w:firstLine="720"/>
      </w:pPr>
      <w:r>
        <w:t xml:space="preserve">Two bodies of work stand closest to this dissertation. David and colleagues advance an incentive-based mechanism to spur multi-stakeholder collaboration on space sustainability, the sharpest statement anywhere of the incentive-compatibility problem the dissertation’s own topic names</w:t>
      </w:r>
      <w:r>
        <w:t xml:space="preserve"> </w:t>
      </w:r>
      <w:hyperlink w:anchor="ref-15">
        <w:r>
          <w:rPr>
            <w:rStyle w:val="Hyperlink"/>
          </w:rPr>
          <w:t xml:space="preserve">[15]</w:t>
        </w:r>
      </w:hyperlink>
      <w:r>
        <w:t xml:space="preserve">. Rathnasabapathy and a wide consortium built the space sustainability rating, a composite indicator meant to reward operators for behaving sustainably, an effort to render good conduct visible and therefore payable</w:t>
      </w:r>
      <w:r>
        <w:t xml:space="preserve"> </w:t>
      </w:r>
      <w:hyperlink w:anchor="ref-16">
        <w:r>
          <w:rPr>
            <w:rStyle w:val="Hyperlink"/>
          </w:rPr>
          <w:t xml:space="preserve">[16]</w:t>
        </w:r>
      </w:hyperlink>
      <w:r>
        <w:t xml:space="preserve">. Yap and coauthors go a different way, deploying discourse network analysis to characterize the emerging socio-technical regime around space debris, which sits nearest of all to the bibliometric stance this dissertation takes up</w:t>
      </w:r>
      <w:r>
        <w:t xml:space="preserve"> </w:t>
      </w:r>
      <w:hyperlink w:anchor="ref-11">
        <w:r>
          <w:rPr>
            <w:rStyle w:val="Hyperlink"/>
          </w:rPr>
          <w:t xml:space="preserve">[11]</w:t>
        </w:r>
      </w:hyperlink>
      <w:r>
        <w:t xml:space="preserve">. Government and agency memoranda, the debris summit memo on active debris removal among them, log the institutional attention while leaving the obligation question open</w:t>
      </w:r>
      <w:r>
        <w:t xml:space="preserve"> </w:t>
      </w:r>
      <w:hyperlink w:anchor="ref-3">
        <w:r>
          <w:rPr>
            <w:rStyle w:val="Hyperlink"/>
          </w:rPr>
          <w:t xml:space="preserve">[3]</w:t>
        </w:r>
      </w:hyperlink>
      <w:r>
        <w:t xml:space="preserve">.</w:t>
      </w:r>
    </w:p>
    <w:bookmarkEnd w:id="74"/>
    <w:bookmarkStart w:id="75" w:name="the-bibliometric-strand-and-the-gap"/>
    <w:p>
      <w:pPr>
        <w:pStyle w:val="Heading2"/>
        <w:spacing w:line="480" w:lineRule="auto"/>
      </w:pPr>
      <w:r>
        <w:t xml:space="preserve">The bibliometric strand and the gap</w:t>
      </w:r>
    </w:p>
    <w:p>
      <w:pPr>
        <w:pStyle w:val="FirstParagraph"/>
        <w:spacing w:line="480" w:lineRule="auto"/>
      </w:pPr>
      <w:r>
        <w:t xml:space="preserve">What makes Yap’s discourse network analysis matter is precisely that it handles the debris conversation itself as data</w:t>
      </w:r>
      <w:r>
        <w:t xml:space="preserve"> </w:t>
      </w:r>
      <w:hyperlink w:anchor="ref-11">
        <w:r>
          <w:rPr>
            <w:rStyle w:val="Hyperlink"/>
          </w:rPr>
          <w:t xml:space="preserve">[11]</w:t>
        </w:r>
      </w:hyperlink>
      <w:r>
        <w:t xml:space="preserve">. Reading a field off the shape of its own discourse is the seed this dissertation grows out. Yap maps the network of actors and frames; this project puts a narrower, more falsifiable question, whether attention to cooperative remediation is structured against time, citation, and venue tightly enough for a transparent estimator to recover. Beyond that one study the bibliometric strand stays thin in the debris domain, which is why most talk of an</w:t>
      </w:r>
      <w:r>
        <w:t xml:space="preserve"> </w:t>
      </w:r>
      <w:r>
        <w:t xml:space="preserve">“emerging regime”</w:t>
      </w:r>
      <w:r>
        <w:t xml:space="preserve"> </w:t>
      </w:r>
      <w:r>
        <w:t xml:space="preserve">leans on qualitative reading with no estimator ever laid against the corpus.</w:t>
      </w:r>
    </w:p>
    <w:p>
      <w:pPr>
        <w:pStyle w:val="BodyText"/>
        <w:spacing w:line="480" w:lineRule="auto"/>
        <w:ind w:firstLine="720"/>
      </w:pPr>
      <w:r>
        <w:t xml:space="preserve">Put precisely, the gap is this. Concrete and rankable is what the technical and environmental strands have made the object of governance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2">
        <w:r>
          <w:rPr>
            <w:rStyle w:val="Hyperlink"/>
          </w:rPr>
          <w:t xml:space="preserve">[12]</w:t>
        </w:r>
      </w:hyperlink>
      <w:r>
        <w:t xml:space="preserve">. Incentive compatibility is what the institutional strand has fingered as the binding constraint, and mechanisms to meet it are what it has proposed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Untested by anyone is whether the documentary signature of this emerging institutional focus is structured or merely voluminous. Year on year a field can crank out more papers without those papers ever settling into a maturing evidence base. Telling growth from maturation demands reading the corpus in numbers, and that reading is what the dissertation’s two empirical models are for. One asks whether topic salience is patterned across records at a fixed moment. The other asks whether citation accumulation obeys a lawful function of document age. Neither has met this particular corpus before, and both are wanted to turn the field’s confident narrative of an emerging regime into something a reader can check.</w:t>
      </w:r>
    </w:p>
    <w:bookmarkEnd w:id="75"/>
    <w:bookmarkStart w:id="76" w:name="positioning"/>
    <w:p>
      <w:pPr>
        <w:pStyle w:val="Heading2"/>
        <w:spacing w:line="480" w:lineRule="auto"/>
      </w:pPr>
      <w:r>
        <w:t xml:space="preserve">Positioning</w:t>
      </w:r>
    </w:p>
    <w:p>
      <w:pPr>
        <w:pStyle w:val="FirstParagraph"/>
        <w:spacing w:line="480" w:lineRule="auto"/>
      </w:pPr>
      <w:r>
        <w:t xml:space="preserve">A word on what this dissertation is not trying to displace. It builds on the prior strands rather than against them.</w:t>
      </w:r>
    </w:p>
    <w:p>
      <w:pPr>
        <w:pStyle w:val="BodyText"/>
        <w:spacing w:line="480" w:lineRule="auto"/>
        <w:ind w:firstLine="720"/>
      </w:pPr>
      <w:r>
        <w:t xml:space="preserve">Competing with the removal-optimization work or the criticality metrics is not the point of this dissertation; it leans on them to warrant treating cooperative remediation as a coherent object at all</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Nor does it stand in for the incentive-mechanism proposals; it puts the prior question of whether the institutional attention those proposals assume is real and structured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it carries the discourse-analytic move of the bibliometric strand one step on, making it falsifiable by swapping a network map for a hypothesis test</w:t>
      </w:r>
      <w:r>
        <w:t xml:space="preserve"> </w:t>
      </w:r>
      <w:hyperlink w:anchor="ref-11">
        <w:r>
          <w:rPr>
            <w:rStyle w:val="Hyperlink"/>
          </w:rPr>
          <w:t xml:space="preserve">[11]</w:t>
        </w:r>
      </w:hyperlink>
      <w:r>
        <w:t xml:space="preserve">. Narrowness is designed in. What the study is, is the missing act of measurement standing between a field that talks a great deal about an emerging remediation regime and a field that has shown the regime to be more than talk.</w:t>
      </w:r>
    </w:p>
    <w:bookmarkEnd w:id="76"/>
    <w:bookmarkStart w:id="77" w:name="the-commons-problem-and-its-analogies"/>
    <w:p>
      <w:pPr>
        <w:pStyle w:val="Heading2"/>
        <w:spacing w:line="480" w:lineRule="auto"/>
      </w:pPr>
      <w:r>
        <w:t xml:space="preserve">The commons problem and its analogies</w:t>
      </w:r>
    </w:p>
    <w:p>
      <w:pPr>
        <w:pStyle w:val="FirstParagraph"/>
        <w:spacing w:line="480" w:lineRule="auto"/>
      </w:pPr>
      <w:r>
        <w:t xml:space="preserve">Over and over the institutional literature circles the structure of the commons, and it repays a moment to see why the analogies both light the way and lead astray. The Montreal Protocol comparison comes up most, and its pull is plain: an atmospheric commons was governed into health by a coordinated international agreement, and orbital space is likewise a shared resource decaying under uncoordinated use</w:t>
      </w:r>
      <w:r>
        <w:t xml:space="preserve"> </w:t>
      </w:r>
      <w:hyperlink w:anchor="ref-1">
        <w:r>
          <w:rPr>
            <w:rStyle w:val="Hyperlink"/>
          </w:rPr>
          <w:t xml:space="preserve">[1]</w:t>
        </w:r>
      </w:hyperlink>
      <w:r>
        <w:t xml:space="preserve">. Real lessons come out of it. Montreal held because it wrote in differentiated obligations, financial transfers to soften compliance, and a way of tightening commitments as time passed. Every one of those has a ready counterpart in a debris regime that would need to spread removal costs, lighten the load on smaller actors, and ratchet obligations as the shell degrades.</w:t>
      </w:r>
    </w:p>
    <w:p>
      <w:pPr>
        <w:pStyle w:val="BodyText"/>
        <w:spacing w:line="480" w:lineRule="auto"/>
        <w:ind w:firstLine="720"/>
      </w:pPr>
      <w:r>
        <w:t xml:space="preserve">The places where the analogy breaks count for as much as the places it holds, and the more careful institutional writers own that. Ozone-depleting substances had substitutes; derelicts have none, and remediation is pure cost against a diffuse benefit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Montreal’s producers were few and named; debris contributors are many, historical, and often defunct, which snarls the assignment of legal responsibility</w:t>
      </w:r>
      <w:r>
        <w:t xml:space="preserve"> </w:t>
      </w:r>
      <w:hyperlink w:anchor="ref-2">
        <w:r>
          <w:rPr>
            <w:rStyle w:val="Hyperlink"/>
          </w:rPr>
          <w:t xml:space="preserve">[2]</w:t>
        </w:r>
      </w:hyperlink>
      <w:r>
        <w:t xml:space="preserve">. The fisheries analogy that also recurs catches the free-rider structure cleanly yet meets the same wall: a fishery guards a renewable stock, while orbital shells accumulate a hazard that must be cleared, which flips the temporal logic of the incentive problem. So the commons framing rightly names debris remediation a coordination problem under free-riding, and yet no existing commons regime lays over it cleanly, which is why the incentive-design strand has had to raise most of its structure from bare ground</w:t>
      </w:r>
      <w:r>
        <w:t xml:space="preserve"> </w:t>
      </w:r>
      <w:hyperlink w:anchor="ref-15">
        <w:r>
          <w:rPr>
            <w:rStyle w:val="Hyperlink"/>
          </w:rPr>
          <w:t xml:space="preserve">[15]</w:t>
        </w:r>
      </w:hyperlink>
      <w:r>
        <w:t xml:space="preserve">.</w:t>
      </w:r>
    </w:p>
    <w:bookmarkEnd w:id="77"/>
    <w:bookmarkStart w:id="78" w:name="where-the-incentive-strand-stands"/>
    <w:p>
      <w:pPr>
        <w:pStyle w:val="Heading2"/>
        <w:spacing w:line="480" w:lineRule="auto"/>
      </w:pPr>
      <w:r>
        <w:t xml:space="preserve">Where the incentive strand stands</w:t>
      </w:r>
    </w:p>
    <w:p>
      <w:pPr>
        <w:pStyle w:val="FirstParagraph"/>
        <w:spacing w:line="480" w:lineRule="auto"/>
      </w:pPr>
      <w:r>
        <w:t xml:space="preserve">Young and, on its own account, unfinished is what the incentive-mechanism literature is. The multi-stakeholder incentive proposal states outright that it puts forward a mechanism to be tested, not a validated instrument, and it poses the incentive-compatibility problem in terms near the dissertation’s own topic: how participation in cooperative remediation becomes the self-interested choice for heterogeneous actors</w:t>
      </w:r>
      <w:r>
        <w:t xml:space="preserve"> </w:t>
      </w:r>
      <w:hyperlink w:anchor="ref-15">
        <w:r>
          <w:rPr>
            <w:rStyle w:val="Hyperlink"/>
          </w:rPr>
          <w:t xml:space="preserve">[15]</w:t>
        </w:r>
      </w:hyperlink>
      <w:r>
        <w:t xml:space="preserve">. The space sustainability rating runs a parallel route, assembling a composite indicator to make sustainable behavior visible and therefore payable, on the wager that reputation and market access can stand in for binding obligation</w:t>
      </w:r>
      <w:r>
        <w:t xml:space="preserve"> </w:t>
      </w:r>
      <w:hyperlink w:anchor="ref-16">
        <w:r>
          <w:rPr>
            <w:rStyle w:val="Hyperlink"/>
          </w:rPr>
          <w:t xml:space="preserve">[16]</w:t>
        </w:r>
      </w:hyperlink>
      <w:r>
        <w:t xml:space="preserve">. Both are serious. And both carry a feature this dissertation adopts as its launching point: their force rests on the premise that some institutional audience, made up of operators and agencies and states with the standing to act and the will to accept obligation, is already gathered and ready to respond to whatever incentive a well-built mechanism might offer. Nobody has measured that premise.</w:t>
      </w:r>
    </w:p>
    <w:p>
      <w:pPr>
        <w:pStyle w:val="BodyText"/>
        <w:spacing w:line="480" w:lineRule="auto"/>
        <w:ind w:firstLine="720"/>
      </w:pPr>
      <w:r>
        <w:t xml:space="preserve">A sobering counterweight comes from the legal strand. National space law is starting to write in debris mitigation, as the reading of Poland’s evolving framework in its European setting records, yet mitigation and remediation are separate duties, and binding remediation obligations stay largely off the national and international books</w:t>
      </w:r>
      <w:r>
        <w:t xml:space="preserve"> </w:t>
      </w:r>
      <w:hyperlink w:anchor="ref-2">
        <w:r>
          <w:rPr>
            <w:rStyle w:val="Hyperlink"/>
          </w:rPr>
          <w:t xml:space="preserve">[2]</w:t>
        </w:r>
      </w:hyperlink>
      <w:r>
        <w:t xml:space="preserve">. Agency-level attention is genuine, as the debris summit memorandum on active debris removal attests, and attention logged in a memo is still not obligation set into law</w:t>
      </w:r>
      <w:r>
        <w:t xml:space="preserve"> </w:t>
      </w:r>
      <w:hyperlink w:anchor="ref-3">
        <w:r>
          <w:rPr>
            <w:rStyle w:val="Hyperlink"/>
          </w:rPr>
          <w:t xml:space="preserve">[3]</w:t>
        </w:r>
      </w:hyperlink>
      <w:r>
        <w:t xml:space="preserve">. That distance between attention and obligation is the governance problem shrunk to miniature, and it is why asking whether attention is even structured, let alone converging, is a fair first question.</w:t>
      </w:r>
    </w:p>
    <w:bookmarkEnd w:id="78"/>
    <w:bookmarkStart w:id="79" w:name="X4771db64f78061d6ecfc7153a427a83d90ce0ba"/>
    <w:p>
      <w:pPr>
        <w:pStyle w:val="Heading2"/>
        <w:spacing w:line="480" w:lineRule="auto"/>
      </w:pPr>
      <w:r>
        <w:t xml:space="preserve">The bibliometric method as inherited from adjacent fields</w:t>
      </w:r>
    </w:p>
    <w:p>
      <w:pPr>
        <w:pStyle w:val="FirstParagraph"/>
        <w:spacing w:line="480" w:lineRule="auto"/>
      </w:pPr>
      <w:r>
        <w:t xml:space="preserve">The method this dissertation runs against the debris corpus is not homegrown; it is taken over from the bibliometric study of young fields at large, where recency, citation dynamics, and venue migration are settled marks of a field coming together. Nearest inside the domain is the discourse-network analysis of the debris regime, which proves the debris conversation dense and mappable enough to reward reading in numbers</w:t>
      </w:r>
      <w:r>
        <w:t xml:space="preserve"> </w:t>
      </w:r>
      <w:hyperlink w:anchor="ref-11">
        <w:r>
          <w:rPr>
            <w:rStyle w:val="Hyperlink"/>
          </w:rPr>
          <w:t xml:space="preserve">[11]</w:t>
        </w:r>
      </w:hyperlink>
      <w:r>
        <w:t xml:space="preserve">. What that work did through network structure, this dissertation does through regression, asking whether the corpus is patterned along measurable axes. The two fit together. A network map records who talks to whom about what; a regression on documentary structure records whether attention spreads lawfully across time, citation, and venue. On its own neither captures a young field, and the debris literature has held only the former until now. Handing over a falsifiable version of the latter is the exact hole in prior work that this dissertation fills</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bookmarkEnd w:id="79"/>
    <w:bookmarkStart w:id="80" w:name="Xe245f3f9fe3de0a34e9b61b6798c336b9c2c255"/>
    <w:p>
      <w:pPr>
        <w:pStyle w:val="Heading2"/>
        <w:spacing w:line="480" w:lineRule="auto"/>
      </w:pPr>
      <w:r>
        <w:t xml:space="preserve">The measurement literature the design borrows from</w:t>
      </w:r>
    </w:p>
    <w:p>
      <w:pPr>
        <w:pStyle w:val="FirstParagraph"/>
        <w:spacing w:line="480" w:lineRule="auto"/>
      </w:pPr>
      <w:r>
        <w:t xml:space="preserve">Native to debris studies the estimators are not, so the measurement traditions the design takes over and reshapes deserve a plain naming. Treating a documentary record as an observation whose measured features predict a measured outcome is the standard posture of quantitative content analysis, and it is the posture the cross-sectional model adopts. Content analysis turns qualitative documents into coded variables by deterministic rules, so that a claim about a body of text becomes a claim about a dataset, and the dissertation makes that same move</w:t>
      </w:r>
      <w:r>
        <w:t xml:space="preserve"> </w:t>
      </w:r>
      <w:hyperlink w:anchor="ref-1">
        <w:r>
          <w:rPr>
            <w:rStyle w:val="Hyperlink"/>
          </w:rPr>
          <w:t xml:space="preserve">[1]</w:t>
        </w:r>
      </w:hyperlink>
      <w:r>
        <w:t xml:space="preserve">. Explicit and reproducible coding rules are the discipline of that tradition, and it is exactly the bar the signal-score construction clears. Where much content analysis leans on human coders whose judgments drift, the deterministic term-count build strips coder discretion out completely, giving up some semantic subtlety for full reproducibility</w:t>
      </w:r>
      <w:r>
        <w:t xml:space="preserve"> </w:t>
      </w:r>
      <w:hyperlink w:anchor="ref-3">
        <w:r>
          <w:rPr>
            <w:rStyle w:val="Hyperlink"/>
          </w:rPr>
          <w:t xml:space="preserve">[3]</w:t>
        </w:r>
      </w:hyperlink>
      <w:r>
        <w:t xml:space="preserve">.</w:t>
      </w:r>
    </w:p>
    <w:p>
      <w:pPr>
        <w:pStyle w:val="BodyText"/>
        <w:spacing w:line="480" w:lineRule="auto"/>
        <w:ind w:firstLine="720"/>
      </w:pPr>
      <w:r>
        <w:t xml:space="preserve">A separate tradition feeds the accumulation model, the study of cumulative processes through learning curves and power laws. Its learning-curve form, in which an outcome ties to a driving quantity through a constant elasticity, began in the study of production and has since reached any process whose accumulation follows a lawful function</w:t>
      </w:r>
      <w:r>
        <w:t xml:space="preserve"> </w:t>
      </w:r>
      <w:hyperlink w:anchor="ref-9">
        <w:r>
          <w:rPr>
            <w:rStyle w:val="Hyperlink"/>
          </w:rPr>
          <w:t xml:space="preserve">[9]</w:t>
        </w:r>
      </w:hyperlink>
      <w:r>
        <w:t xml:space="preserve">. Citation dynamics are a natural home for it, since the attention a document commands is a cumulative quantity gathered over its lifetime. A log-log specification reads out the elasticity straight, and that elasticity travels across fields, which is what makes the accumulation result mean something past this one corpus. Neither tradition is exotic, and neither has been aimed at the cooperative-remediation corpus, so carrying them over is a real, if modest, methodological gift to the domain</w:t>
      </w:r>
      <w:r>
        <w:t xml:space="preserve"> </w:t>
      </w:r>
      <w:hyperlink w:anchor="ref-11">
        <w:r>
          <w:rPr>
            <w:rStyle w:val="Hyperlink"/>
          </w:rPr>
          <w:t xml:space="preserve">[11]</w:t>
        </w:r>
      </w:hyperlink>
      <w:r>
        <w:t xml:space="preserve">.</w:t>
      </w:r>
    </w:p>
    <w:bookmarkEnd w:id="80"/>
    <w:bookmarkStart w:id="81" w:name="what-prior-work-leaves-unmeasured"/>
    <w:p>
      <w:pPr>
        <w:pStyle w:val="Heading2"/>
        <w:spacing w:line="480" w:lineRule="auto"/>
      </w:pPr>
      <w:r>
        <w:t xml:space="preserve">What prior work leaves unmeasured</w:t>
      </w:r>
    </w:p>
    <w:p>
      <w:pPr>
        <w:pStyle w:val="FirstParagraph"/>
        <w:spacing w:line="480" w:lineRule="auto"/>
      </w:pPr>
      <w:r>
        <w:t xml:space="preserve">Gathering the strands together shows exactly what stayed unmeasured before this dissertation and therefore what it adds. Hazard and removal the technical strand has measured with precision, yielding ranked target inventories and optimized mission plans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Criticality the environmental strand has measured, grading orbital regions by their share of the collision cascade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Incentive mechanisms and rating indicators the institutional strand has designed, and it has logged the slow writing of mitigation into national law</w:t>
      </w:r>
      <w:r>
        <w:t xml:space="preserve"> </w:t>
      </w:r>
      <w:hyperlink w:anchor="ref-2">
        <w:r>
          <w:rPr>
            <w:rStyle w:val="Hyperlink"/>
          </w:rPr>
          <w:t xml:space="preserve">[2]</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Each measured its own object well. What none of them did was turn back to the field’s own conversation and ask the harder, more reflexive question of whether the institutional attention those mechanisms quietly assume is genuinely structured, in the way a maturing evidence base would be, or merely swelling in volume the way any fashionable topic swells before it cools. None asked.</w:t>
      </w:r>
    </w:p>
    <w:p>
      <w:pPr>
        <w:pStyle w:val="BodyText"/>
        <w:spacing w:line="480" w:lineRule="auto"/>
        <w:ind w:firstLine="720"/>
      </w:pPr>
      <w:r>
        <w:t xml:space="preserve">That is the unmeasured quantity. Closest was the discourse-network analysis, mapping the regime’s actors and frames, yet a map of a network describes structure without testing whether the corpus is patterned along the very axes that mark a maturing field</w:t>
      </w:r>
      <w:r>
        <w:t xml:space="preserve"> </w:t>
      </w:r>
      <w:hyperlink w:anchor="ref-11">
        <w:r>
          <w:rPr>
            <w:rStyle w:val="Hyperlink"/>
          </w:rPr>
          <w:t xml:space="preserve">[11]</w:t>
        </w:r>
      </w:hyperlink>
      <w:r>
        <w:t xml:space="preserve">. Those axes are what this dissertation measures, recency, citation, venue, and age, and it tests whether they organize the corpus. Doing so shuts a small but real gap in the field’s self-knowledge: nearly everything about debris has been measured except the shape of the field’s own emerging argument about how to govern it. Measuring that shape, falsifiably and reproducibly, is the contribution the literature review has been driving toward, and it is the job the remaining chapters carry out</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bookmarkEnd w:id="81"/>
    <w:bookmarkStart w:id="82" w:name="X204b4df21f21739d97ebdc9508e10da9330a41a"/>
    <w:p>
      <w:pPr>
        <w:pStyle w:val="Heading2"/>
        <w:spacing w:line="480" w:lineRule="auto"/>
      </w:pPr>
      <w:r>
        <w:t xml:space="preserve">The characterization and custody literature as enabling context</w:t>
      </w:r>
    </w:p>
    <w:p>
      <w:pPr>
        <w:pStyle w:val="FirstParagraph"/>
        <w:spacing w:line="480" w:lineRule="auto"/>
      </w:pPr>
      <w:r>
        <w:t xml:space="preserve">One more strand deserves a nod, because it is what makes the whole cooperative-remediation enterprise physically believable: the characterization and custody work that lets a coalition actually reach a derelict. Adaptive-optics corrected imaging showed non-cooperative targets resolvable from the ground to fidelity enough to inform a rendezvous, and airborne platform characterization of ground-based lasers stretched that reach toward harder observing geometries</w:t>
      </w:r>
      <w:r>
        <w:t xml:space="preserve"> </w:t>
      </w:r>
      <w:hyperlink w:anchor="ref-6">
        <w:r>
          <w:rPr>
            <w:rStyle w:val="Hyperlink"/>
          </w:rPr>
          <w:t xml:space="preserve">[6]</w:t>
        </w:r>
      </w:hyperlink>
      <w:r>
        <w:t xml:space="preserve"> </w:t>
      </w:r>
      <w:hyperlink w:anchor="ref-7">
        <w:r>
          <w:rPr>
            <w:rStyle w:val="Hyperlink"/>
          </w:rPr>
          <w:t xml:space="preserve">[7]</w:t>
        </w:r>
      </w:hyperlink>
      <w:r>
        <w:t xml:space="preserve">. Cooperative tracking aids for space domain awareness sharpened the shared custody of objects across their orbital lifetimes, which any multi-actor scheme must have, since a coalition cannot divide the removal of objects it cannot jointly hold in track</w:t>
      </w:r>
      <w:r>
        <w:t xml:space="preserve"> </w:t>
      </w:r>
      <w:hyperlink w:anchor="ref-4">
        <w:r>
          <w:rPr>
            <w:rStyle w:val="Hyperlink"/>
          </w:rPr>
          <w:t xml:space="preserve">[4]</w:t>
        </w:r>
      </w:hyperlink>
      <w:r>
        <w:t xml:space="preserve">. National programs such as the Korea Aerospace Research Institute’s space-situational-awareness and traffic-management activity show that this custody capability is spreading across states rather than pooling in one</w:t>
      </w:r>
      <w:r>
        <w:t xml:space="preserve"> </w:t>
      </w:r>
      <w:hyperlink w:anchor="ref-8">
        <w:r>
          <w:rPr>
            <w:rStyle w:val="Hyperlink"/>
          </w:rPr>
          <w:t xml:space="preserve">[8]</w:t>
        </w:r>
      </w:hyperlink>
      <w:r>
        <w:t xml:space="preserve">.</w:t>
      </w:r>
    </w:p>
    <w:p>
      <w:pPr>
        <w:pStyle w:val="BodyText"/>
        <w:spacing w:line="480" w:lineRule="auto"/>
        <w:ind w:firstLine="720"/>
      </w:pPr>
      <w:r>
        <w:t xml:space="preserve">For the literature review the strand matters on a subtle count. It shows the technical preconditions for cooperative remediation being met by a distributed, international community, which is exactly the community a cooperative governance regime would have to marshal. So the characterization and custody literature is more than engineering background; it is evidence that the actors who would fill a cooperative regime already exist and already cooperate technically, even where institutional cooperation has not yet begun. That distance between technical and institutional cooperation is one further face of the central puzzle, and the documentary study to come asks whether the institutional side is starting to show up in the record with the structure the technical side already wears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82"/>
    <w:bookmarkEnd w:id="83"/>
    <w:bookmarkStart w:id="95" w:name="theory-and-hypotheses"/>
    <w:p>
      <w:pPr>
        <w:pStyle w:val="Heading1"/>
        <w:spacing w:line="480" w:lineRule="auto"/>
      </w:pPr>
      <w:r>
        <w:t xml:space="preserve">Theory and Hypotheses</w:t>
      </w:r>
    </w:p>
    <w:p>
      <w:pPr>
        <w:pStyle w:val="FirstParagraph"/>
        <w:spacing w:line="480" w:lineRule="auto"/>
      </w:pPr>
      <w:r>
        <w:t xml:space="preserve">Documentary signatures are what the theory tested here is about. Its claim is that an institutional focus, when it emerges around a governance problem, does not emerge quietly; it stamps itself onto the shape of the literature carrying the conversation. This chapter names the mechanism, works out the testable predictions, fixes the two hypotheses, and calls out the rival explanations the design has to face down. The point is to spell out why the corpus ought to show structure if a cooperative remediation focus is genuinely forming, and why a null result would carry information rather than mere disappointment.</w:t>
      </w:r>
    </w:p>
    <w:bookmarkStart w:id="84" w:name="the-mechanism"/>
    <w:p>
      <w:pPr>
        <w:pStyle w:val="Heading2"/>
        <w:spacing w:line="480" w:lineRule="auto"/>
      </w:pPr>
      <w:r>
        <w:t xml:space="preserve">The mechanism</w:t>
      </w:r>
    </w:p>
    <w:p>
      <w:pPr>
        <w:pStyle w:val="FirstParagraph"/>
        <w:spacing w:line="480" w:lineRule="auto"/>
      </w:pPr>
      <w:r>
        <w:t xml:space="preserve">Trace how a governance topic travels from margin to center. First a physical hazard gets identified in the technical literature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Analysts float responses, and those responses pull commentary, refinement, and quarrel behind them. As the topic takes on institutional weight, its documentary footprint changes on three counts. Its records skew newer, since active fields spin out current work faster than dormant ones do. Its founding documents pile up citation attention, since a ripening field leans on shared reference points. And its venues drift, since a topic sliding from proceedings toward archival journals and economic analysis is a topic putting on a heavier kind of seriousness</w:t>
      </w:r>
      <w:r>
        <w:t xml:space="preserve"> </w:t>
      </w:r>
      <w:hyperlink w:anchor="ref-11">
        <w:r>
          <w:rPr>
            <w:rStyle w:val="Hyperlink"/>
          </w:rPr>
          <w:t xml:space="preserve">[11]</w:t>
        </w:r>
      </w:hyperlink>
      <w:r>
        <w:t xml:space="preserve">.</w:t>
      </w:r>
    </w:p>
    <w:p>
      <w:pPr>
        <w:pStyle w:val="BodyText"/>
        <w:spacing w:line="480" w:lineRule="auto"/>
        <w:ind w:firstLine="720"/>
      </w:pPr>
      <w:r>
        <w:t xml:space="preserve">Every one of these is a channel, and through each, institutional emergence ought to show. Current activity is what recency reads. Internal coherence is what citation attention reads, the degree to which records tie back to shared foundations. Institutional register is what venue reads, the drift from quick, informal outlets toward slower, weightier ones. If cooperative debris remediation is forming as an institutional focus, its documentary footprint should carry structure along one of these channels at least. If instead the topic is only a standing worry, one that throws off a steady drizzle of scattered commentary year after year without any of it settling into shared foundations or migrating toward weightier venues or drawing the concentrated citation that marks a field pulling itself together, then the channels should hold little structure. They should read as noise.</w:t>
      </w:r>
    </w:p>
    <w:p>
      <w:pPr>
        <w:pStyle w:val="BodyText"/>
        <w:spacing w:line="480" w:lineRule="auto"/>
        <w:ind w:firstLine="720"/>
      </w:pPr>
      <w:r>
        <w:t xml:space="preserve">A subtlety has to be kept in hand. Which way the venue channel points is not settled beforehand. A ripening topic might be expected to gather in high-prestige archival venues, which would tie venue score positively to topic salience. Yet a rival possibility cuts the other way: the tightest topic signal may sit in the specialized conference literature, where practitioners write densely about operational specifics, while the wider journal and economic literature handles the topic loosely, as one theme among many</w:t>
      </w:r>
      <w:r>
        <w:t xml:space="preserve"> </w:t>
      </w:r>
      <w:hyperlink w:anchor="ref-6">
        <w:r>
          <w:rPr>
            <w:rStyle w:val="Hyperlink"/>
          </w:rPr>
          <w:t xml:space="preserve">[6]</w:t>
        </w:r>
      </w:hyperlink>
      <w:r>
        <w:t xml:space="preserve"> </w:t>
      </w:r>
      <w:hyperlink w:anchor="ref-8">
        <w:r>
          <w:rPr>
            <w:rStyle w:val="Hyperlink"/>
          </w:rPr>
          <w:t xml:space="preserve">[8]</w:t>
        </w:r>
      </w:hyperlink>
      <w:r>
        <w:t xml:space="preserve">. So the theory predicts venue will bear on topic salience while refusing to fix the sign ahead of time. The sign itself carries information, and I come back to it once the results are in.</w:t>
      </w:r>
    </w:p>
    <w:bookmarkEnd w:id="84"/>
    <w:bookmarkStart w:id="85" w:name="the-cross-sectional-prediction"/>
    <w:p>
      <w:pPr>
        <w:pStyle w:val="Heading2"/>
        <w:spacing w:line="480" w:lineRule="auto"/>
      </w:pPr>
      <w:r>
        <w:t xml:space="preserve">The cross-sectional prediction</w:t>
      </w:r>
    </w:p>
    <w:p>
      <w:pPr>
        <w:pStyle w:val="FirstParagraph"/>
        <w:spacing w:line="480" w:lineRule="auto"/>
      </w:pPr>
      <w:r>
        <w:t xml:space="preserve">Two predictions follow from the mechanism, and they run along different axes. Take the cross-sectional one first.</w:t>
      </w:r>
    </w:p>
    <w:p>
      <w:pPr>
        <w:pStyle w:val="BodyText"/>
        <w:spacing w:line="480" w:lineRule="auto"/>
        <w:ind w:firstLine="720"/>
      </w:pPr>
      <w:r>
        <w:t xml:space="preserve">Look first at the corpus held still at one instant. If institutional emergence stamps documentary structure, then a record’s topic-signal intensity should move with its recency, its citation attention, and its venue family rather than scatter at random over those features. A recent, well-cited record sitting in the right venue should, on average, carry a different topic signal than one that is old, uncited, and lodged elsewhere.</w:t>
      </w:r>
    </w:p>
    <w:p>
      <w:pPr>
        <w:pStyle w:val="BodyText"/>
        <w:spacing w:line="480" w:lineRule="auto"/>
        <w:ind w:firstLine="720"/>
      </w:pPr>
      <w:r>
        <w:t xml:space="preserve">Out of this comes the first hypothesis pair, tested head-on by the ordinary least squares model in Paper 1:</w:t>
      </w:r>
    </w:p>
    <w:p>
      <w:pPr>
        <w:pStyle w:val="BodyText"/>
        <w:spacing w:line="480" w:lineRule="auto"/>
        <w:ind w:firstLine="720"/>
      </w:pPr>
      <w:r>
        <w:t xml:space="preserve">H0-A: the composite topic-signal score is unrelated to publication recency, citation attention, and venue family.</w:t>
      </w:r>
    </w:p>
    <w:p>
      <w:pPr>
        <w:pStyle w:val="BodyText"/>
        <w:spacing w:line="480" w:lineRule="auto"/>
        <w:ind w:firstLine="720"/>
      </w:pPr>
      <w:r>
        <w:t xml:space="preserve">H1-A: the composite topic-signal score is systematically related to at least one of publication recency, citation attention, and venue family.</w:t>
      </w:r>
    </w:p>
    <w:p>
      <w:pPr>
        <w:pStyle w:val="BodyText"/>
        <w:spacing w:line="480" w:lineRule="auto"/>
        <w:ind w:firstLine="720"/>
      </w:pPr>
      <w:r>
        <w:t xml:space="preserve">Significance across all three predictors is not what the alternative demands. One stable, signed coefficient suffices to reject the null, since one channel of structure is enough to mark a patterned corpus off from noise. The theory’s honest stance is that emergence may speak through one channel louder than another, and the test is cut to catch that.</w:t>
      </w:r>
    </w:p>
    <w:bookmarkEnd w:id="85"/>
    <w:bookmarkStart w:id="86" w:name="the-accumulation-prediction"/>
    <w:p>
      <w:pPr>
        <w:pStyle w:val="Heading2"/>
        <w:spacing w:line="480" w:lineRule="auto"/>
      </w:pPr>
      <w:r>
        <w:t xml:space="preserve">The accumulation prediction</w:t>
      </w:r>
    </w:p>
    <w:p>
      <w:pPr>
        <w:pStyle w:val="FirstParagraph"/>
        <w:spacing w:line="480" w:lineRule="auto"/>
      </w:pPr>
      <w:r>
        <w:t xml:space="preserve">A second prediction turns on time rather than cross-section. Fields that ripen run lawful citation dynamics. Borrowed here from the study of cumulative processes, the learning-curve tradition expects the attention a document commands to relate to its age through a power law rather than a flat or arbitrary function. Older documents in an active field have had longer to gather citations, and yet the relation rarely runs straight; it curves. A log-log specification reads out the elasticity of citation against age, and a precise, signed elasticity is the mark of a field whose attention accrues lawfully rather than by accident.</w:t>
      </w:r>
    </w:p>
    <w:p>
      <w:pPr>
        <w:pStyle w:val="BodyText"/>
        <w:spacing w:line="480" w:lineRule="auto"/>
        <w:ind w:firstLine="720"/>
      </w:pPr>
      <w:r>
        <w:t xml:space="preserve">Out of this comes the second hypothesis pair, tested by the learning-curve model in Paper 2:</w:t>
      </w:r>
    </w:p>
    <w:p>
      <w:pPr>
        <w:pStyle w:val="BodyText"/>
        <w:spacing w:line="480" w:lineRule="auto"/>
        <w:ind w:firstLine="720"/>
      </w:pPr>
      <w:r>
        <w:t xml:space="preserve">H0-B: citation accumulation is unrelated to article age in the retrieved topic literature.</w:t>
      </w:r>
    </w:p>
    <w:p>
      <w:pPr>
        <w:pStyle w:val="BodyText"/>
        <w:spacing w:line="480" w:lineRule="auto"/>
        <w:ind w:firstLine="720"/>
      </w:pPr>
      <w:r>
        <w:t xml:space="preserve">H1-B: citation accumulation follows a measurable, age-based power-law attention curve.</w:t>
      </w:r>
    </w:p>
    <w:p>
      <w:pPr>
        <w:pStyle w:val="BodyText"/>
        <w:spacing w:line="480" w:lineRule="auto"/>
        <w:ind w:firstLine="720"/>
      </w:pPr>
      <w:r>
        <w:t xml:space="preserve">Which way the age elasticity signs matters. Positive would say older documents draw more attention, fitting a field anchored on durable foundational work. Negative would say the relation inverts, pointing either to recent work pulling attention out of proportion or to a corpus that mixes foundational and ephemeral records so as to upend the naive expectation. Either signed outcome rejects the null and counts as evidence of lawful structure; an elasticity too faint to tell from zero would leave the corpus looking like an unstructured jumble.</w:t>
      </w:r>
    </w:p>
    <w:bookmarkEnd w:id="86"/>
    <w:bookmarkStart w:id="87" w:name="X7dce06250cb271ca0fced06bccc86256b2ce6cb"/>
    <w:p>
      <w:pPr>
        <w:pStyle w:val="Heading2"/>
        <w:spacing w:line="480" w:lineRule="auto"/>
      </w:pPr>
      <w:r>
        <w:t xml:space="preserve">Why the two predictions are complementary</w:t>
      </w:r>
    </w:p>
    <w:p>
      <w:pPr>
        <w:pStyle w:val="FirstParagraph"/>
        <w:spacing w:line="480" w:lineRule="auto"/>
      </w:pPr>
      <w:r>
        <w:t xml:space="preserve">Two tests of one thing is not what the cross-sectional and accumulation predictions are. They probe structure along orthogonal axes. Paper 1 asks whether, with a moment held fixed, recency, attention, and venue organize the corpus. Paper 2 asks whether, along the time dimension, attention accrues to documents lawfully. A corpus might clear one and miss the other. It could show cross-sectional structure, recent records carrying heavier signal, while showing no lawful accumulation, citations scattered against age, or the pattern could run backward. Together, then, the two models paint a fuller portrait of the corpus than either could alone, and the theory grows richer for asking both. On the strongest reading of the theory, a field genuinely emerging should carry both an organized cross-section and lawful accumulation.</w:t>
      </w:r>
    </w:p>
    <w:bookmarkEnd w:id="87"/>
    <w:bookmarkStart w:id="88" w:name="rival-explanations"/>
    <w:p>
      <w:pPr>
        <w:pStyle w:val="Heading2"/>
        <w:spacing w:line="480" w:lineRule="auto"/>
      </w:pPr>
      <w:r>
        <w:t xml:space="preserve">Rival explanations</w:t>
      </w:r>
    </w:p>
    <w:p>
      <w:pPr>
        <w:pStyle w:val="FirstParagraph"/>
        <w:spacing w:line="480" w:lineRule="auto"/>
      </w:pPr>
      <w:r>
        <w:t xml:space="preserve">A responsible theory names what could throw off the same signatures with no real phenomenon underneath. Four rivals want attention.</w:t>
      </w:r>
    </w:p>
    <w:p>
      <w:pPr>
        <w:pStyle w:val="BodyText"/>
        <w:spacing w:line="480" w:lineRule="auto"/>
        <w:ind w:firstLine="720"/>
      </w:pPr>
      <w:r>
        <w:t xml:space="preserve">Venue coverage is one. Should the source collection draw unevenly from proceedings, archival journals, and economic literature, any venue association might reflect the sampling of venues rather than a real institutional migration</w:t>
      </w:r>
      <w:r>
        <w:t xml:space="preserve"> </w:t>
      </w:r>
      <w:hyperlink w:anchor="ref-11">
        <w:r>
          <w:rPr>
            <w:rStyle w:val="Hyperlink"/>
          </w:rPr>
          <w:t xml:space="preserve">[11]</w:t>
        </w:r>
      </w:hyperlink>
      <w:r>
        <w:t xml:space="preserve">. So the venue coefficient has to be read with the corpus’s composition in view.</w:t>
      </w:r>
    </w:p>
    <w:p>
      <w:pPr>
        <w:pStyle w:val="BodyText"/>
        <w:spacing w:line="480" w:lineRule="auto"/>
        <w:ind w:firstLine="720"/>
      </w:pPr>
      <w:r>
        <w:t xml:space="preserve">A citation-index artifact is another. The citation counts come from a local index, not a universal citation database, and archival journal articles carry index counts while conference papers and policy memoranda often read zero whatever their real reach</w:t>
      </w:r>
      <w:r>
        <w:t xml:space="preserve"> </w:t>
      </w:r>
      <w:hyperlink w:anchor="ref-4">
        <w:r>
          <w:rPr>
            <w:rStyle w:val="Hyperlink"/>
          </w:rPr>
          <w:t xml:space="preserve">[4]</w:t>
        </w:r>
      </w:hyperlink>
      <w:r>
        <w:t xml:space="preserve"> </w:t>
      </w:r>
      <w:hyperlink w:anchor="ref-8">
        <w:r>
          <w:rPr>
            <w:rStyle w:val="Hyperlink"/>
          </w:rPr>
          <w:t xml:space="preserve">[8]</w:t>
        </w:r>
      </w:hyperlink>
      <w:r>
        <w:t xml:space="preserve">. Any citation association might therefore trace partly to which venues get indexed for citations rather than to true attention.</w:t>
      </w:r>
    </w:p>
    <w:p>
      <w:pPr>
        <w:pStyle w:val="BodyText"/>
        <w:spacing w:line="480" w:lineRule="auto"/>
        <w:ind w:firstLine="720"/>
      </w:pPr>
      <w:r>
        <w:t xml:space="preserve">Topic-term construction is a third. A deterministic count of theme-term hits across a record’s metadata fields is what the composite signal score amounts to. Where theme terms crowd certain document types out of writing convention rather than substance, the signal score could be shaped by document form rather than by topical weight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Small-sample instability is the fourth. At thirty records, coefficient estimates bend to individual influential observations, and one heavily cited outlier can swing a slope</w:t>
      </w:r>
      <w:r>
        <w:t xml:space="preserve"> </w:t>
      </w:r>
      <w:hyperlink w:anchor="ref-9">
        <w:r>
          <w:rPr>
            <w:rStyle w:val="Hyperlink"/>
          </w:rPr>
          <w:t xml:space="preserve">[9]</w:t>
        </w:r>
      </w:hyperlink>
      <w:r>
        <w:t xml:space="preserve">. So the design has to hold marginal significance at arm’s length and rest on the whole model rather than any single term.</w:t>
      </w:r>
    </w:p>
    <w:p>
      <w:pPr>
        <w:pStyle w:val="BodyText"/>
        <w:spacing w:line="480" w:lineRule="auto"/>
        <w:ind w:firstLine="720"/>
      </w:pPr>
      <w:r>
        <w:t xml:space="preserve">None of these rivals is fatal, and none goes unaddressed. They are why the hypotheses are put modestly, why robust standard errors are used, and why a null result reads as a real finding about the present evidence’s limits rather than as the theory’s collapse. A theory earns its keep only where it can be wrong, and each of these four rivals marks out a distinct path along which the emergence reading could turn out to be an artifact of sampling, of indexing, of writing convention, or of a single influential record rather than a genuine signal of a field cohering</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Wrongness has to be reachable.</w:t>
      </w:r>
    </w:p>
    <w:bookmarkEnd w:id="88"/>
    <w:bookmarkStart w:id="89" w:name="X9b03c224690d84c3675981e0e7d7647f29bfb60"/>
    <w:p>
      <w:pPr>
        <w:pStyle w:val="Heading2"/>
        <w:spacing w:line="480" w:lineRule="auto"/>
      </w:pPr>
      <w:r>
        <w:t xml:space="preserve">The micro-foundations of the emergence mechanism</w:t>
      </w:r>
    </w:p>
    <w:p>
      <w:pPr>
        <w:pStyle w:val="FirstParagraph"/>
        <w:spacing w:line="480" w:lineRule="auto"/>
      </w:pPr>
      <w:r>
        <w:t xml:space="preserve">Sketched above at the level of the corpus, the mechanism rests all the same on choices individual authors make, and following those micro-foundations keeps the aggregate prediction tied to behavior. Three decisions an author writing on cooperative remediation makes get read later by the estimator. How densely to work the theme is one, which the signal score catches through term density across the record’s metadata; a specialist writing for specialists works the theme’s vocabulary hard, while a generalist invoking debris as one example among many works it lightly</w:t>
      </w:r>
      <w:r>
        <w:t xml:space="preserve"> </w:t>
      </w:r>
      <w:hyperlink w:anchor="ref-6">
        <w:r>
          <w:rPr>
            <w:rStyle w:val="Hyperlink"/>
          </w:rPr>
          <w:t xml:space="preserve">[6]</w:t>
        </w:r>
      </w:hyperlink>
      <w:r>
        <w:t xml:space="preserve"> </w:t>
      </w:r>
      <w:hyperlink w:anchor="ref-15">
        <w:r>
          <w:rPr>
            <w:rStyle w:val="Hyperlink"/>
          </w:rPr>
          <w:t xml:space="preserve">[15]</w:t>
        </w:r>
      </w:hyperlink>
      <w:r>
        <w:t xml:space="preserve">. Where to publish is another, which the venue score catches; that choice mirrors the author’s read of audience and of the register the argument belongs in, and it does not fall at random against how operational or how policy-oriented the piece is</w:t>
      </w:r>
      <w:r>
        <w:t xml:space="preserve"> </w:t>
      </w:r>
      <w:hyperlink w:anchor="ref-8">
        <w:r>
          <w:rPr>
            <w:rStyle w:val="Hyperlink"/>
          </w:rPr>
          <w:t xml:space="preserve">[8]</w:t>
        </w:r>
      </w:hyperlink>
      <w:r>
        <w:t xml:space="preserve"> </w:t>
      </w:r>
      <w:hyperlink w:anchor="ref-11">
        <w:r>
          <w:rPr>
            <w:rStyle w:val="Hyperlink"/>
          </w:rPr>
          <w:t xml:space="preserve">[11]</w:t>
        </w:r>
      </w:hyperlink>
      <w:r>
        <w:t xml:space="preserve">. What to cite, and downstream what gets cited, is the third, which the citation variable catches as the field’s revealed verdict on which records are foundational</w:t>
      </w:r>
      <w:r>
        <w:t xml:space="preserve"> </w:t>
      </w:r>
      <w:hyperlink w:anchor="ref-9">
        <w:r>
          <w:rPr>
            <w:rStyle w:val="Hyperlink"/>
          </w:rPr>
          <w:t xml:space="preserve">[9]</w:t>
        </w:r>
      </w:hyperlink>
      <w:r>
        <w:t xml:space="preserve">.</w:t>
      </w:r>
    </w:p>
    <w:p>
      <w:pPr>
        <w:pStyle w:val="BodyText"/>
        <w:spacing w:line="480" w:lineRule="auto"/>
        <w:ind w:firstLine="720"/>
      </w:pPr>
      <w:r>
        <w:t xml:space="preserve">Let many authors make these choices under a shared read of an emerging problem, and their separate decisions gather into corpus-level structure. Density thickens where engagement runs deepest. Venues sort by register. Citations settle on shared foundations. The emergence mechanism amounts to nothing more than the gathering of these micro-choices, and the two estimators are the instruments for telling whether the gathering left pattern or left noise. Framing the mechanism this way makes plain why a null carries information: were authors choosing without any shared sense of an emerging problem, their decisions would not gather into structure, and the estimators would rightly report the structure’s absence</w:t>
      </w:r>
      <w:r>
        <w:t xml:space="preserve"> </w:t>
      </w:r>
      <w:hyperlink w:anchor="ref-3">
        <w:r>
          <w:rPr>
            <w:rStyle w:val="Hyperlink"/>
          </w:rPr>
          <w:t xml:space="preserve">[3]</w:t>
        </w:r>
      </w:hyperlink>
      <w:r>
        <w:t xml:space="preserve">.</w:t>
      </w:r>
    </w:p>
    <w:bookmarkEnd w:id="89"/>
    <w:bookmarkStart w:id="90" w:name="deriving-the-predicted-signs"/>
    <w:p>
      <w:pPr>
        <w:pStyle w:val="Heading2"/>
        <w:spacing w:line="480" w:lineRule="auto"/>
      </w:pPr>
      <w:r>
        <w:t xml:space="preserve">Deriving the predicted signs</w:t>
      </w:r>
    </w:p>
    <w:p>
      <w:pPr>
        <w:pStyle w:val="FirstParagraph"/>
        <w:spacing w:line="480" w:lineRule="auto"/>
      </w:pPr>
      <w:r>
        <w:t xml:space="preserve">A good theory pins down predicted signs wherever it honestly can, since a prediction that ducks direction is weaker than one willing to stake a sign. On recency the theory stakes positive: an active, emerging field throws off recent work that works the theme densely, so newer records should carry heavier signal</w:t>
      </w:r>
      <w:r>
        <w:t xml:space="preserve"> </w:t>
      </w:r>
      <w:hyperlink w:anchor="ref-11">
        <w:r>
          <w:rPr>
            <w:rStyle w:val="Hyperlink"/>
          </w:rPr>
          <w:t xml:space="preserve">[11]</w:t>
        </w:r>
      </w:hyperlink>
      <w:r>
        <w:t xml:space="preserve">. On citation the theory stakes positive under one reading and stays agnostic under another. On the optimistic reading, heavily cited records are the field’s shared foundations and work the theme densely, giving a positive tie. On the cautionary reading, laid out under the rivals, citation is tangled with venue and indexing, so the sign could be an artifact</w:t>
      </w:r>
      <w:r>
        <w:t xml:space="preserve"> </w:t>
      </w:r>
      <w:hyperlink w:anchor="ref-4">
        <w:r>
          <w:rPr>
            <w:rStyle w:val="Hyperlink"/>
          </w:rPr>
          <w:t xml:space="preserve">[4]</w:t>
        </w:r>
      </w:hyperlink>
      <w:r>
        <w:t xml:space="preserve">. The theory therefore stakes positive while flagging citation as the channel most open to confounding.</w:t>
      </w:r>
    </w:p>
    <w:p>
      <w:pPr>
        <w:pStyle w:val="BodyText"/>
        <w:spacing w:line="480" w:lineRule="auto"/>
        <w:ind w:firstLine="720"/>
      </w:pPr>
      <w:r>
        <w:t xml:space="preserve">On venue the theory holds its sign back on purpose, and this is the chapter’s most consequential theoretical choice. The naive call is positive: a ripening field migrates toward prestigious archival venues, so higher venue scores should carry heavier signal. The rival call is negative: the densest, most operationally specific engagement lives in the specialist conference literature, while prestigious venues treat the theme loosely, handing higher venue scores lower per-record signal</w:t>
      </w:r>
      <w:r>
        <w:t xml:space="preserve"> </w:t>
      </w:r>
      <w:hyperlink w:anchor="ref-6">
        <w:r>
          <w:rPr>
            <w:rStyle w:val="Hyperlink"/>
          </w:rPr>
          <w:t xml:space="preserve">[6]</w:t>
        </w:r>
      </w:hyperlink>
      <w:r>
        <w:t xml:space="preserve"> </w:t>
      </w:r>
      <w:hyperlink w:anchor="ref-8">
        <w:r>
          <w:rPr>
            <w:rStyle w:val="Hyperlink"/>
          </w:rPr>
          <w:t xml:space="preserve">[8]</w:t>
        </w:r>
      </w:hyperlink>
      <w:r>
        <w:t xml:space="preserve">. Because both calls are theoretically defensible, the venue sign turns into an empirical discriminator between two accounts of how the field is organized. Whatever sign the data return will teach something about whether topical density and venue prestige march together or apart, and that outcome beats a pre-committed guess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On the accumulation model’s age elasticity the theory again lets either sign carry information. Positive would mark a field anchored on durable older foundations that keep drawing attention. Negative would mark either a forward-tilting field or, read more cautiously, a corpus whose older records are systematically the uncited conference and policy documents while its younger records are the cited archival articles</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theory stakes that the elasticity will come out signed and precise if attention accrues lawfully, and it takes the direction as a diagnosis of which of these corpus structures holds. The discipline stays the same throughout: stake a sign where the theory can defend one, hold it back where two accounts fight to a draw, and take the realized sign as evidence rather than as the confirming or refuting of a foregone conclusion.</w:t>
      </w:r>
    </w:p>
    <w:bookmarkEnd w:id="90"/>
    <w:bookmarkStart w:id="91" w:name="the-scope-conditions-of-the-theory"/>
    <w:p>
      <w:pPr>
        <w:pStyle w:val="Heading2"/>
        <w:spacing w:line="480" w:lineRule="auto"/>
      </w:pPr>
      <w:r>
        <w:t xml:space="preserve">The scope conditions of the theory</w:t>
      </w:r>
    </w:p>
    <w:p>
      <w:pPr>
        <w:pStyle w:val="FirstParagraph"/>
        <w:spacing w:line="480" w:lineRule="auto"/>
      </w:pPr>
      <w:r>
        <w:t xml:space="preserve">A theory is worth only as much as its stated scope, and this one carries boundaries that have to be drawn before the test, not after. Its claim that institutional emergence stamps documentary structure holds only for fields already past a threshold of activity high enough to throw off a corpus worth measuring</w:t>
      </w:r>
      <w:r>
        <w:t xml:space="preserve"> </w:t>
      </w:r>
      <w:hyperlink w:anchor="ref-11">
        <w:r>
          <w:rPr>
            <w:rStyle w:val="Hyperlink"/>
          </w:rPr>
          <w:t xml:space="preserve">[11]</w:t>
        </w:r>
      </w:hyperlink>
      <w:r>
        <w:t xml:space="preserve">. A truly dormant topic yields too few records for any estimator to find structure, and the absence of structure there would teach nothing, because the theory does not reach it. Cooperative remediation clears that threshold; it throws off a steady run of conference, archival, and policy output, which is why a corpus of thirty records exists to study at all</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theory reaches this topic, then, and a reader should not stretch its logic onto a topic so nascent that its corpus is empty.</w:t>
      </w:r>
    </w:p>
    <w:p>
      <w:pPr>
        <w:pStyle w:val="BodyText"/>
        <w:spacing w:line="480" w:lineRule="auto"/>
        <w:ind w:firstLine="720"/>
      </w:pPr>
      <w:r>
        <w:t xml:space="preserve">The theory also confines itself to the documentary record and disclaims any direct reach into institutional behavior. It predicts what an emerging focus does to the literature, not what the literature does to institutions or what institutions do in orbit</w:t>
      </w:r>
      <w:r>
        <w:t xml:space="preserve"> </w:t>
      </w:r>
      <w:hyperlink w:anchor="ref-2">
        <w:r>
          <w:rPr>
            <w:rStyle w:val="Hyperlink"/>
          </w:rPr>
          <w:t xml:space="preserve">[2]</w:t>
        </w:r>
      </w:hyperlink>
      <w:r>
        <w:t xml:space="preserve">. That narrowing is deliberate. From an emerging documentary focus, to a binding cooperative regime, to actual removals runs a causal chain of many links, and the theory takes on only the first. Its holding is that documentary structure leads institutional emergence, an early observable, and it stakes nothing on the later links</w:t>
      </w:r>
      <w:r>
        <w:t xml:space="preserve"> </w:t>
      </w:r>
      <w:hyperlink w:anchor="ref-4">
        <w:r>
          <w:rPr>
            <w:rStyle w:val="Hyperlink"/>
          </w:rPr>
          <w:t xml:space="preserve">[4]</w:t>
        </w:r>
      </w:hyperlink>
      <w:r>
        <w:t xml:space="preserve"> </w:t>
      </w:r>
      <w:hyperlink w:anchor="ref-9">
        <w:r>
          <w:rPr>
            <w:rStyle w:val="Hyperlink"/>
          </w:rPr>
          <w:t xml:space="preserve">[9]</w:t>
        </w:r>
      </w:hyperlink>
      <w:r>
        <w:t xml:space="preserve">. Read a documentary result as a forecast of whether a regime will bind and you have run past the theory’s scope.</w:t>
      </w:r>
    </w:p>
    <w:bookmarkEnd w:id="91"/>
    <w:bookmarkStart w:id="92" w:name="Xb1e983ff15d59dc34838c3ead0e7f49891cfad3"/>
    <w:p>
      <w:pPr>
        <w:pStyle w:val="Heading2"/>
        <w:spacing w:line="480" w:lineRule="auto"/>
      </w:pPr>
      <w:r>
        <w:t xml:space="preserve">Falsifiability as the design’s organizing principle</w:t>
      </w:r>
    </w:p>
    <w:p>
      <w:pPr>
        <w:pStyle w:val="FirstParagraph"/>
        <w:spacing w:line="480" w:lineRule="auto"/>
      </w:pPr>
      <w:r>
        <w:t xml:space="preserve">The chapter has pressed that a null result carries information, and the logic behind that pressing deserves to be fully drawn out, since it is the principle organizing the whole design. A hypothesis that cannot fail is no hypothesis at all; it is a rhetorical device wearing the costume of a claim. The field’s confident announcements about an emerging regime have mostly worn exactly that un-falsifiable character, pointing to no observation, no coefficient, no pattern in the record that anyone could produce and have it count as evidence against the announcement</w:t>
      </w:r>
      <w:r>
        <w:t xml:space="preserve"> </w:t>
      </w:r>
      <w:hyperlink w:anchor="ref-11">
        <w:r>
          <w:rPr>
            <w:rStyle w:val="Hyperlink"/>
          </w:rPr>
          <w:t xml:space="preserve">[11]</w:t>
        </w:r>
      </w:hyperlink>
      <w:r>
        <w:t xml:space="preserve">. Nothing would refute them. This dissertation’s hypotheses are built to fail if the corpus is unstructured. Let recency, citation, venue, and age all come back with coefficients too faint to tell from zero, and the null survives, and the right conclusion is that the documentary evidence does not carry the field’s confident diagnosis. That outcome is not merely allowed by the design; it is one of the two outcomes the design was built to be able to report.</w:t>
      </w:r>
    </w:p>
    <w:p>
      <w:pPr>
        <w:pStyle w:val="BodyText"/>
        <w:spacing w:line="480" w:lineRule="auto"/>
        <w:ind w:firstLine="720"/>
      </w:pPr>
      <w:r>
        <w:t xml:space="preserve">What a falsifiable design buys in this domain is exactly the disciplining of the analyst’s hopes. Wanting to find an emerging regime, and working with an unfalsifiable framework, an analyst will find one, since the framework throws up no obstacle to confirmation</w:t>
      </w:r>
      <w:r>
        <w:t xml:space="preserve"> </w:t>
      </w:r>
      <w:hyperlink w:anchor="ref-3">
        <w:r>
          <w:rPr>
            <w:rStyle w:val="Hyperlink"/>
          </w:rPr>
          <w:t xml:space="preserve">[3]</w:t>
        </w:r>
      </w:hyperlink>
      <w:r>
        <w:t xml:space="preserve">. Working with the hypotheses set out here, that same analyst meets a real obstacle: the coefficients have to come out signed and precise, against a documented corpus, under pre-specified models, or the null holds. That obstacle is the guarantee that a positive result means something. The theory earns its evidentiary standing not off the sophistication of its mechanism but off the fact that the mechanism throws predictions the data could contradict, and that the design gives the data every chance to do it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92"/>
    <w:bookmarkStart w:id="93" w:name="X7f4f98f8401f544a536e437f91894dddd425987"/>
    <w:p>
      <w:pPr>
        <w:pStyle w:val="Heading2"/>
        <w:spacing w:line="480" w:lineRule="auto"/>
      </w:pPr>
      <w:r>
        <w:t xml:space="preserve">How the two hypotheses could jointly resolve</w:t>
      </w:r>
    </w:p>
    <w:p>
      <w:pPr>
        <w:pStyle w:val="FirstParagraph"/>
        <w:spacing w:line="480" w:lineRule="auto"/>
      </w:pPr>
      <w:r>
        <w:t xml:space="preserve">Separately treated across the chapter, the cross-sectional and accumulation hypotheses have a joint pattern of outcomes that is itself theoretically meaningful, and mapping the possibilities clarifies what the test can teach. Four joint outcomes stand open. Both nulls rejected, and the corpus is structured on both axes, the strongest evidence the design can raise for a cohering field</w:t>
      </w:r>
      <w:r>
        <w:t xml:space="preserve"> </w:t>
      </w:r>
      <w:hyperlink w:anchor="ref-11">
        <w:r>
          <w:rPr>
            <w:rStyle w:val="Hyperlink"/>
          </w:rPr>
          <w:t xml:space="preserve">[11]</w:t>
        </w:r>
      </w:hyperlink>
      <w:r>
        <w:t xml:space="preserve">. Neither rejected, and the corpus is unstructured, and the field’s diagnosis of emergence goes without documentary support. Cross-section rejected while accumulation is not, and the corpus is organized at a moment by recency, citation, and venue while its attention fails to accrue lawfully with age, pointing to a field organized more by current salience than by durable foundations</w:t>
      </w:r>
      <w:r>
        <w:t xml:space="preserve"> </w:t>
      </w:r>
      <w:hyperlink w:anchor="ref-4">
        <w:r>
          <w:rPr>
            <w:rStyle w:val="Hyperlink"/>
          </w:rPr>
          <w:t xml:space="preserve">[4]</w:t>
        </w:r>
      </w:hyperlink>
      <w:r>
        <w:t xml:space="preserve">. Accumulation rejected while the cross-section is not, and attention accrues lawfully with age while recency and venue fail to organize the corpus at a moment, pointing to a field with citation dynamics yet no cross-sectional coherence</w:t>
      </w:r>
      <w:r>
        <w:t xml:space="preserve"> </w:t>
      </w:r>
      <w:hyperlink w:anchor="ref-9">
        <w:r>
          <w:rPr>
            <w:rStyle w:val="Hyperlink"/>
          </w:rPr>
          <w:t xml:space="preserve">[9]</w:t>
        </w:r>
      </w:hyperlink>
      <w:r>
        <w:t xml:space="preserve">.</w:t>
      </w:r>
    </w:p>
    <w:p>
      <w:pPr>
        <w:pStyle w:val="BodyText"/>
        <w:spacing w:line="480" w:lineRule="auto"/>
        <w:ind w:firstLine="720"/>
      </w:pPr>
      <w:r>
        <w:t xml:space="preserve">Each joint outcome tells a different story, and the theory grows richer for holding them apart rather than folding to a single pass-fail verdict. What running two orthogonal tests buys is exactly that their combination carries more information than either alone. A field can be structured on one axis and not the other, and knowing which axis holds the structure is knowing something specific about how the field is organized. Which of the four joint outcomes holds is what the results chapter will report, and the interpretation will read that joint pattern for what it says about the field’s mode of organization, not merely for whether some structure turned up somewhere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93"/>
    <w:bookmarkStart w:id="94" w:name="auxiliary-assumptions-the-theory-carries"/>
    <w:p>
      <w:pPr>
        <w:pStyle w:val="Heading2"/>
        <w:spacing w:line="480" w:lineRule="auto"/>
      </w:pPr>
      <w:r>
        <w:t xml:space="preserve">Auxiliary assumptions the theory carries</w:t>
      </w:r>
    </w:p>
    <w:p>
      <w:pPr>
        <w:pStyle w:val="FirstParagraph"/>
        <w:spacing w:line="480" w:lineRule="auto"/>
      </w:pPr>
      <w:r>
        <w:t xml:space="preserve">Every testable theory carries auxiliary assumptions, and naming them shields the test from the charge that a null could always be waved off by blaming an assumption rather than the theory. Three auxiliaries bear weight here. One holds that theme-term density in a record’s metadata is a sound proxy for the record’s engagement with the topic, so that the signal score measures what the theory needs measured</w:t>
      </w:r>
      <w:r>
        <w:t xml:space="preserve"> </w:t>
      </w:r>
      <w:hyperlink w:anchor="ref-1">
        <w:r>
          <w:rPr>
            <w:rStyle w:val="Hyperlink"/>
          </w:rPr>
          <w:t xml:space="preserve">[1]</w:t>
        </w:r>
      </w:hyperlink>
      <w:r>
        <w:t xml:space="preserve"> </w:t>
      </w:r>
      <w:hyperlink w:anchor="ref-3">
        <w:r>
          <w:rPr>
            <w:rStyle w:val="Hyperlink"/>
          </w:rPr>
          <w:t xml:space="preserve">[3]</w:t>
        </w:r>
      </w:hyperlink>
      <w:r>
        <w:t xml:space="preserve">. A second holds that the local index’s citation counts, incomplete though they are, are a sound proxy for attention among the records the index does credit, so that the citation and age channels carry real information about attention inside the archival block</w:t>
      </w:r>
      <w:r>
        <w:t xml:space="preserve"> </w:t>
      </w:r>
      <w:hyperlink w:anchor="ref-8">
        <w:r>
          <w:rPr>
            <w:rStyle w:val="Hyperlink"/>
          </w:rPr>
          <w:t xml:space="preserve">[8]</w:t>
        </w:r>
      </w:hyperlink>
      <w:r>
        <w:t xml:space="preserve"> </w:t>
      </w:r>
      <w:hyperlink w:anchor="ref-9">
        <w:r>
          <w:rPr>
            <w:rStyle w:val="Hyperlink"/>
          </w:rPr>
          <w:t xml:space="preserve">[9]</w:t>
        </w:r>
      </w:hyperlink>
      <w:r>
        <w:t xml:space="preserve">. A third holds that the ordinal venue coding orders venues rightly by register, so that the venue channel measures a real gradient rather than an arbitrary relabeling</w:t>
      </w:r>
      <w:r>
        <w:t xml:space="preserve"> </w:t>
      </w:r>
      <w:hyperlink w:anchor="ref-11">
        <w:r>
          <w:rPr>
            <w:rStyle w:val="Hyperlink"/>
          </w:rPr>
          <w:t xml:space="preserve">[11]</w:t>
        </w:r>
      </w:hyperlink>
      <w:r>
        <w:t xml:space="preserve">.</w:t>
      </w:r>
    </w:p>
    <w:p>
      <w:pPr>
        <w:pStyle w:val="BodyText"/>
        <w:spacing w:line="480" w:lineRule="auto"/>
        <w:ind w:firstLine="720"/>
      </w:pPr>
      <w:r>
        <w:t xml:space="preserve">These auxiliaries are stated so the reader can hold them to account. Were a null to surface, the honest question would be whether the theory failed or an auxiliary broke, and naming the auxiliaries up front is what turns that question answerable rather than a handy escape hatch. The design does not pretend the auxiliaries are flawless; the data chapter records where each strains, above all the citation proxy’s blindness to conference and policy reach</w:t>
      </w:r>
      <w:r>
        <w:t xml:space="preserve"> </w:t>
      </w:r>
      <w:hyperlink w:anchor="ref-4">
        <w:r>
          <w:rPr>
            <w:rStyle w:val="Hyperlink"/>
          </w:rPr>
          <w:t xml:space="preserve">[4]</w:t>
        </w:r>
      </w:hyperlink>
      <w:r>
        <w:t xml:space="preserve"> </w:t>
      </w:r>
      <w:hyperlink w:anchor="ref-8">
        <w:r>
          <w:rPr>
            <w:rStyle w:val="Hyperlink"/>
          </w:rPr>
          <w:t xml:space="preserve">[8]</w:t>
        </w:r>
      </w:hyperlink>
      <w:r>
        <w:t xml:space="preserve">. Yet the auxiliaries are reasonable, they are stated, and they are the conditions under which the two hypotheses stand as a genuine test of the emergence mechanism rather than an untethered fishing trip</w:t>
      </w:r>
      <w:r>
        <w:t xml:space="preserve"> </w:t>
      </w:r>
      <w:hyperlink w:anchor="ref-15">
        <w:r>
          <w:rPr>
            <w:rStyle w:val="Hyperlink"/>
          </w:rPr>
          <w:t xml:space="preserve">[15]</w:t>
        </w:r>
      </w:hyperlink>
      <w:r>
        <w:t xml:space="preserve">.</w:t>
      </w:r>
    </w:p>
    <w:bookmarkEnd w:id="94"/>
    <w:bookmarkEnd w:id="95"/>
    <w:bookmarkStart w:id="105" w:name="methodology-and-identification"/>
    <w:p>
      <w:pPr>
        <w:pStyle w:val="Heading1"/>
        <w:spacing w:line="480" w:lineRule="auto"/>
      </w:pPr>
      <w:r>
        <w:t xml:space="preserve">Methodology and Identification</w:t>
      </w:r>
    </w:p>
    <w:p>
      <w:pPr>
        <w:pStyle w:val="FirstParagraph"/>
        <w:spacing w:line="480" w:lineRule="auto"/>
      </w:pPr>
      <w:r>
        <w:t xml:space="preserve">This chapter lays out the two estimators, says why each is the right instrument for the prediction it carries, and defends the identification logic. Transparency over sophistication is the governing commitment. Both models stay simple, and that simplicity is a choice. With thirty records and a documentary corpus in place of an experiment, elaborate estimators would counterfeit a precision the evidence lacks. The job is to draw out whatever structure the corpus genuinely holds, hand it back with honest standard errors, and refuse to claim past what the design can carry</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96" w:name="what-identification-means-here"/>
    <w:p>
      <w:pPr>
        <w:pStyle w:val="Heading2"/>
        <w:spacing w:line="480" w:lineRule="auto"/>
      </w:pPr>
      <w:r>
        <w:t xml:space="preserve">What identification means here</w:t>
      </w:r>
    </w:p>
    <w:p>
      <w:pPr>
        <w:pStyle w:val="FirstParagraph"/>
        <w:spacing w:line="480" w:lineRule="auto"/>
      </w:pPr>
      <w:r>
        <w:t xml:space="preserve">Start with a word on identification, since it can mean some things here and not others. Causal this design is not. No treatment, no assignment mechanism, no counterfactual over which an average treatment effect is defined. Associations within a documented corpus are what the estimators identify, and the identifying claim is bounded to match: given the constructed variables, the models recover the conditional tie between topic salience and the structural features of records, and between citation attention and document age. What underwrites the reading is not exogeneity in the econometric sense but reproducibility and pre-specification. Every variable is built by a documented, deterministic rule from observable metadata, so any reader can rebuild the dataset from the source collection and confirm the coefficients follow</w:t>
      </w:r>
      <w:r>
        <w:t xml:space="preserve"> </w:t>
      </w:r>
      <w:hyperlink w:anchor="ref-4">
        <w:r>
          <w:rPr>
            <w:rStyle w:val="Hyperlink"/>
          </w:rPr>
          <w:t xml:space="preserve">[4]</w:t>
        </w:r>
      </w:hyperlink>
      <w:r>
        <w:t xml:space="preserve">. Procedural rather than causal is what the identification is, and the dissertation takes care never to slip causal language into the reading of the results, since a single verb of causation, admitted where only co-occurrence has been shown, would quietly promise the reader a kind of knowledge the design was never built to deliver and could not honestly stand behind.</w:t>
      </w:r>
    </w:p>
    <w:p>
      <w:pPr>
        <w:pStyle w:val="BodyText"/>
        <w:spacing w:line="480" w:lineRule="auto"/>
        <w:ind w:firstLine="720"/>
      </w:pPr>
      <w:r>
        <w:t xml:space="preserve">For a design-stage inquiry that is the fitting stance. The question is whether the documentary evidence is structured, and structure is an associational property. A later project, holding operator-level or mission-level outcome data, could chase causal identification. This design earns its conclusions by rendering the associational claim checkable end to end, a real and often slighted virtue in a field given to unfalsifiable narrative</w:t>
      </w:r>
      <w:r>
        <w:t xml:space="preserve"> </w:t>
      </w:r>
      <w:hyperlink w:anchor="ref-11">
        <w:r>
          <w:rPr>
            <w:rStyle w:val="Hyperlink"/>
          </w:rPr>
          <w:t xml:space="preserve">[11]</w:t>
        </w:r>
      </w:hyperlink>
      <w:r>
        <w:t xml:space="preserve">.</w:t>
      </w:r>
    </w:p>
    <w:bookmarkEnd w:id="96"/>
    <w:bookmarkStart w:id="97" w:name="estimator-one-ordinary-least-squares"/>
    <w:p>
      <w:pPr>
        <w:pStyle w:val="Heading2"/>
        <w:spacing w:line="480" w:lineRule="auto"/>
      </w:pPr>
      <w:r>
        <w:t xml:space="preserve">Estimator one: ordinary least squares</w:t>
      </w:r>
    </w:p>
    <w:p>
      <w:pPr>
        <w:pStyle w:val="FirstParagraph"/>
        <w:spacing w:line="480" w:lineRule="auto"/>
      </w:pPr>
      <w:r>
        <w:t xml:space="preserve">The first estimator is the plainest tool that can answer the cross-sectional question. Its plainness is the point.</w:t>
      </w:r>
    </w:p>
    <w:p>
      <w:pPr>
        <w:pStyle w:val="BodyText"/>
        <w:spacing w:line="480" w:lineRule="auto"/>
        <w:ind w:firstLine="720"/>
      </w:pPr>
      <w:r>
        <w:t xml:space="preserve">That topic-signal intensity is structured across records by recency, citation, and venue, the first prediction, calls for a linear model of the signal score on those three predictors.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fit by ordinary least squares. Three features of the design speak for this estimator. Its outcome, a composite count of theme-term hits, is a bounded yet reasonably continuous quantity over the observed range, so a linear conditional expectation is a defensible first cut. Its predictors sit on interpretable scales, so each coefficient reads as the average shift in signal score per unit of recency, per added indexed citation, and per step up the ordinal venue ladder. And three predictors against thirty observations leave the model degrees of freedom enough to fit the slopes without overfitting, while keeping it small enough that no reader is asked to trust a black box.</w:t>
      </w:r>
    </w:p>
    <w:p>
      <w:pPr>
        <w:pStyle w:val="BodyText"/>
        <w:spacing w:line="480" w:lineRule="auto"/>
        <w:ind w:firstLine="720"/>
      </w:pPr>
      <w:r>
        <w:t xml:space="preserve">Standard errors come from the HC1 heteroskedasticity-consistent estimator, and the choice earns its keep. Across a small documentary sample the error variance is almost surely not constant from record to record; a heavily cited archival article and an uncited conference memo do not behave alike in their residuals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HC1 errors assume no homoskedasticity, so the inference leans on no condition the corpus plainly breaks. The bargain is a slight loss of efficiency for a large gain in candor about each slope’s precision. Since separating stable structure from noise is the whole errand, robust inference is not optional.</w:t>
      </w:r>
    </w:p>
    <w:p>
      <w:pPr>
        <w:pStyle w:val="BodyText"/>
        <w:spacing w:line="480" w:lineRule="auto"/>
        <w:ind w:firstLine="720"/>
      </w:pPr>
      <w:r>
        <w:t xml:space="preserve">Venue coding needs a note. Ordinal is what venue family is: AMOS conference proceedings score one, Acta Astronautica articles score two, space-economy sources score three. Handling an ordinal predictor as though it were cardinal imposes the assumption that the steps sit evenly spaced in their pull on the signal score, which is an approximation. I take it on because the alternative, a set of venue dummies, would burn degrees of freedom the sample can ill spare and would tangle the reading of a single venue slope. Defensible for a first screen is what the ordinal treatment is, and its limits are flagged in the discussion rather than hidden</w:t>
      </w:r>
      <w:r>
        <w:t xml:space="preserve"> </w:t>
      </w:r>
      <w:hyperlink w:anchor="ref-11">
        <w:r>
          <w:rPr>
            <w:rStyle w:val="Hyperlink"/>
          </w:rPr>
          <w:t xml:space="preserve">[11]</w:t>
        </w:r>
      </w:hyperlink>
      <w:r>
        <w:t xml:space="preserve">.</w:t>
      </w:r>
    </w:p>
    <w:bookmarkEnd w:id="97"/>
    <w:bookmarkStart w:id="98" w:name="estimator-two-the-log-log-learning-curve"/>
    <w:p>
      <w:pPr>
        <w:pStyle w:val="Heading2"/>
        <w:spacing w:line="480" w:lineRule="auto"/>
      </w:pPr>
      <w:r>
        <w:t xml:space="preserve">Estimator two: the log-log learning curve</w:t>
      </w:r>
    </w:p>
    <w:p>
      <w:pPr>
        <w:pStyle w:val="FirstParagraph"/>
        <w:spacing w:line="480" w:lineRule="auto"/>
      </w:pPr>
      <w:r>
        <w:t xml:space="preserve">That citation attention accrues lawfully with document age, the second prediction, calls for a different functional form. A learning curve casts the outcome as a power function of the driving variable, which straightens into linearity under a log-log transformation.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again fit by ordinary least squares with HC1 robust standard errors. An elasticity is what the slope beta_1 is: the percentage shift in citations-plus-one tied to a one-percent shift in document age. That is the natural parameter for an accumulation question, scale-free and directly comparable across fields, and the learning-curve tradition has long taken the log-log elasticity as the summary of a cumulative process.</w:t>
      </w:r>
    </w:p>
    <w:p>
      <w:pPr>
        <w:pStyle w:val="BodyText"/>
        <w:spacing w:line="480" w:lineRule="auto"/>
        <w:ind w:firstLine="720"/>
      </w:pPr>
      <w:r>
        <w:t xml:space="preserve">Why citations plus one and not the raw count? Mechanical and consequential is the reason. Many records in the corpus carry zero indexed citations, and the logarithm of zero has no value. Adding one before the transformation keeps every uncited record in the sample, which matters because those records are not missing data; they inform how attention spreads across the corpus</w:t>
      </w:r>
      <w:r>
        <w:t xml:space="preserve"> </w:t>
      </w:r>
      <w:hyperlink w:anchor="ref-3">
        <w:r>
          <w:rPr>
            <w:rStyle w:val="Hyperlink"/>
          </w:rPr>
          <w:t xml:space="preserve">[3]</w:t>
        </w:r>
      </w:hyperlink>
      <w:r>
        <w:t xml:space="preserve"> </w:t>
      </w:r>
      <w:hyperlink w:anchor="ref-8">
        <w:r>
          <w:rPr>
            <w:rStyle w:val="Hyperlink"/>
          </w:rPr>
          <w:t xml:space="preserve">[8]</w:t>
        </w:r>
      </w:hyperlink>
      <w:r>
        <w:t xml:space="preserve">. Drop them and the sample tilts toward the archival journal articles that carry index citations, throwing away exactly the conference and policy records that make the corpus stand for the whole conversation. A standard, defensible way to hold onto them is the plus-one convention.</w:t>
      </w:r>
    </w:p>
    <w:p>
      <w:pPr>
        <w:pStyle w:val="BodyText"/>
        <w:spacing w:line="480" w:lineRule="auto"/>
        <w:ind w:firstLine="720"/>
      </w:pPr>
      <w:r>
        <w:t xml:space="preserve">From the fitted slope I also report the progress ratio, two raised to the power of the elasticity. In the learning-curve tradition the progress ratio says what becomes of the outcome when the driving variable doubles, rendering the elasticity in a more intuitive form. Below one, and the outcome falls as the driver doubles; above one, and it rises. Setting it beside the raw elasticity hands the reader two views of the one estimate.</w:t>
      </w:r>
    </w:p>
    <w:bookmarkEnd w:id="98"/>
    <w:bookmarkStart w:id="99" w:name="threats-the-methodology-must-answer"/>
    <w:p>
      <w:pPr>
        <w:pStyle w:val="Heading2"/>
        <w:spacing w:line="480" w:lineRule="auto"/>
      </w:pPr>
      <w:r>
        <w:t xml:space="preserve">Threats the methodology must answer</w:t>
      </w:r>
    </w:p>
    <w:p>
      <w:pPr>
        <w:pStyle w:val="FirstParagraph"/>
        <w:spacing w:line="480" w:lineRule="auto"/>
      </w:pPr>
      <w:r>
        <w:t xml:space="preserve">Four threats press straight on the estimators, and the methodology meets each within its means. Source selection presses hardest: the corpus is the candidate’s retrieved source collection, not a census of all debris-remediation writing, so the coefficients describe structure in the retained records and are not claimed to reach an unretrieved population</w:t>
      </w:r>
      <w:r>
        <w:t xml:space="preserve"> </w:t>
      </w:r>
      <w:hyperlink w:anchor="ref-4">
        <w:r>
          <w:rPr>
            <w:rStyle w:val="Hyperlink"/>
          </w:rPr>
          <w:t xml:space="preserve">[4]</w:t>
        </w:r>
      </w:hyperlink>
      <w:r>
        <w:t xml:space="preserve">. The design meets this by scoping every conclusion to the corpus and by keeping a source column on every row so the universe stays inspectable. Proxy measurement presses next: signal score, venue score, and index citations are proxies, not direct readings of institutional importance, and the reading of every coefficient names the proxy in place of the latent quantity</w:t>
      </w:r>
      <w:r>
        <w:t xml:space="preserve"> </w:t>
      </w:r>
      <w:hyperlink w:anchor="ref-1">
        <w:r>
          <w:rPr>
            <w:rStyle w:val="Hyperlink"/>
          </w:rPr>
          <w:t xml:space="preserve">[1]</w:t>
        </w:r>
      </w:hyperlink>
      <w:r>
        <w:t xml:space="preserve">. Omitted variables press third: a metadata model cannot take in a removal’s technical difficulty, a program’s funding, or a memorandum’s diplomatic weight, so the models stay explicitly partial and the residual variation gets owned as large</w:t>
      </w:r>
      <w:r>
        <w:t xml:space="preserve"> </w:t>
      </w:r>
      <w:hyperlink w:anchor="ref-5">
        <w:r>
          <w:rPr>
            <w:rStyle w:val="Hyperlink"/>
          </w:rPr>
          <w:t xml:space="preserve">[5]</w:t>
        </w:r>
      </w:hyperlink>
      <w:r>
        <w:t xml:space="preserve"> </w:t>
      </w:r>
      <w:hyperlink w:anchor="ref-15">
        <w:r>
          <w:rPr>
            <w:rStyle w:val="Hyperlink"/>
          </w:rPr>
          <w:t xml:space="preserve">[15]</w:t>
        </w:r>
      </w:hyperlink>
      <w:r>
        <w:t xml:space="preserve">. Overinterpretation presses fourth and most insidiously: with marginal p-values in a small sample, the pull to narrate a suggestive coefficient as a confirmed effect is real, and the methodology holds it off by pre-committing to read marginal terms as marginal and to lean on the whole-model fit as the primary evidence</w:t>
      </w:r>
      <w:r>
        <w:t xml:space="preserve"> </w:t>
      </w:r>
      <w:hyperlink w:anchor="ref-9">
        <w:r>
          <w:rPr>
            <w:rStyle w:val="Hyperlink"/>
          </w:rPr>
          <w:t xml:space="preserve">[9]</w:t>
        </w:r>
      </w:hyperlink>
      <w:r>
        <w:t xml:space="preserve">.</w:t>
      </w:r>
    </w:p>
    <w:p>
      <w:pPr>
        <w:pStyle w:val="BodyText"/>
        <w:spacing w:line="480" w:lineRule="auto"/>
        <w:ind w:firstLine="720"/>
      </w:pPr>
      <w:r>
        <w:t xml:space="preserve">So the methodological contribution is no clever estimator. It is a chain of construction, estimation, and inference a skeptical reader can walk end to end, from source record to coefficient, without being asked to take a thing on faith. That chain is what converts a rhetorical claim about an emerging remediation regime into one that can be checked, revised, or thrown out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99"/>
    <w:bookmarkStart w:id="100" w:name="why-not-a-more-elaborate-model"/>
    <w:p>
      <w:pPr>
        <w:pStyle w:val="Heading2"/>
        <w:spacing w:line="480" w:lineRule="auto"/>
      </w:pPr>
      <w:r>
        <w:t xml:space="preserve">Why not a more elaborate model</w:t>
      </w:r>
    </w:p>
    <w:p>
      <w:pPr>
        <w:pStyle w:val="FirstParagraph"/>
        <w:spacing w:line="480" w:lineRule="auto"/>
      </w:pPr>
      <w:r>
        <w:t xml:space="preserve">A skeptic might fairly press why the design reaches for no richer estimator: a count model for the signal score, a mixed model to soak up venue heterogeneity, a regularized regression to fence off overfitting. Each holds surface appeal, and each is the wrong tool here for a nameable reason. A count model such as Poisson or negative binomial would honor the discrete nature of the signal score, yet with a score that runs only from one to eight and packs tightly, the Poisson and linear conditional expectations sit nearly on top of each other across the observed range, and the linear model buys interpretability at trivial cost in fit</w:t>
      </w:r>
      <w:r>
        <w:t xml:space="preserve"> </w:t>
      </w:r>
      <w:hyperlink w:anchor="ref-1">
        <w:r>
          <w:rPr>
            <w:rStyle w:val="Hyperlink"/>
          </w:rPr>
          <w:t xml:space="preserve">[1]</w:t>
        </w:r>
      </w:hyperlink>
      <w:r>
        <w:t xml:space="preserve">. A mixed model with venue as a random effect would be sound given many venue levels each holding many observations; with three ordinal levels and thirty records total, a random-effects structure would be fit on almost no information and would court the false precision the design is built to dodge</w:t>
      </w:r>
      <w:r>
        <w:t xml:space="preserve"> </w:t>
      </w:r>
      <w:hyperlink w:anchor="ref-11">
        <w:r>
          <w:rPr>
            <w:rStyle w:val="Hyperlink"/>
          </w:rPr>
          <w:t xml:space="preserve">[11]</w:t>
        </w:r>
      </w:hyperlink>
      <w:r>
        <w:t xml:space="preserve">. Regularization would pull coefficients toward zero to tame variance, yet with only three predictors the overfitting risk stays slight, and shrinkage would warp exactly the coefficient sizes the study means to report honestly</w:t>
      </w:r>
      <w:r>
        <w:t xml:space="preserve"> </w:t>
      </w:r>
      <w:hyperlink w:anchor="ref-9">
        <w:r>
          <w:rPr>
            <w:rStyle w:val="Hyperlink"/>
          </w:rPr>
          <w:t xml:space="preserve">[9]</w:t>
        </w:r>
      </w:hyperlink>
      <w:r>
        <w:t xml:space="preserve">.</w:t>
      </w:r>
    </w:p>
    <w:p>
      <w:pPr>
        <w:pStyle w:val="BodyText"/>
        <w:spacing w:line="480" w:lineRule="auto"/>
        <w:ind w:firstLine="720"/>
      </w:pPr>
      <w:r>
        <w:t xml:space="preserve">Estimator sophistication should sit level with the evidentiary weight the data can bear, and thirty documentary records bear little. A simple, transparent model reported under robust inference tells the reader precisely what the corpus will support. A sophisticated model would tell the reader something too, and it would also ask that reader to trust machinery whose small-sample behavior is hard to verify, which is the very trust the design refuses to require. Simplicity here is no limitation swallowed with reluctance; it is the methodologically right call for the evidentiary weight at hand</w:t>
      </w:r>
      <w:r>
        <w:t xml:space="preserve"> </w:t>
      </w:r>
      <w:hyperlink w:anchor="ref-3">
        <w:r>
          <w:rPr>
            <w:rStyle w:val="Hyperlink"/>
          </w:rPr>
          <w:t xml:space="preserve">[3]</w:t>
        </w:r>
      </w:hyperlink>
      <w:r>
        <w:t xml:space="preserve">.</w:t>
      </w:r>
    </w:p>
    <w:bookmarkEnd w:id="100"/>
    <w:bookmarkStart w:id="101" w:name="the-role-of-pre-specification"/>
    <w:p>
      <w:pPr>
        <w:pStyle w:val="Heading2"/>
        <w:spacing w:line="480" w:lineRule="auto"/>
      </w:pPr>
      <w:r>
        <w:t xml:space="preserve">The role of pre-specification</w:t>
      </w:r>
    </w:p>
    <w:p>
      <w:pPr>
        <w:pStyle w:val="FirstParagraph"/>
        <w:spacing w:line="480" w:lineRule="auto"/>
      </w:pPr>
      <w:r>
        <w:t xml:space="preserve">Whether any associational finding is credible turns on whether the analyst fixed the specification before seeing which choice would throw a significant result. This design pre-commits in a way the reader can check. Outcome variables, predictors, functional forms, and the standard-error estimator all sit fixed in the configuration files that ride with the data, and those files were written to specify the models, not to be tuned against them</w:t>
      </w:r>
      <w:r>
        <w:t xml:space="preserve"> </w:t>
      </w:r>
      <w:hyperlink w:anchor="ref-4">
        <w:r>
          <w:rPr>
            <w:rStyle w:val="Hyperlink"/>
          </w:rPr>
          <w:t xml:space="preserve">[4]</w:t>
        </w:r>
      </w:hyperlink>
      <w:r>
        <w:t xml:space="preserve">. There is no menu of alternative specifications from which the most flattering got picked and reported. The recency-citation-venue model is the model; the log-log age model is the model. This matters because a small sample offers a determined analyst many degrees of freedom to hunt significance by trying specifications until one clears a bar, and the only guard against that pull is to fix the specification up front and report it whatever it hands back, a discipline that costs the analyst the freedom to improve on an inconvenient result and buys the reader the assurance that the result on the page is the one the pre-committed model produced rather than the best of many quiet attempts.</w:t>
      </w:r>
    </w:p>
    <w:p>
      <w:pPr>
        <w:pStyle w:val="BodyText"/>
        <w:spacing w:line="480" w:lineRule="auto"/>
        <w:ind w:firstLine="720"/>
      </w:pPr>
      <w:r>
        <w:t xml:space="preserve">The reader should therefore take the marginal cross-sectional p-values in the results as honest marginal results, not as the survivors of a hunt. When recency lands just under the ten-percent line and citation just over it, those are the values the pre-specified model threw, reported as found</w:t>
      </w:r>
      <w:r>
        <w:t xml:space="preserve"> </w:t>
      </w:r>
      <w:hyperlink w:anchor="ref-11">
        <w:r>
          <w:rPr>
            <w:rStyle w:val="Hyperlink"/>
          </w:rPr>
          <w:t xml:space="preserve">[11]</w:t>
        </w:r>
      </w:hyperlink>
      <w:r>
        <w:t xml:space="preserve">. The single significant venue term and the strongly significant age elasticity likewise come reported as the pre-specified models handed them over, with no re-specification to firm up or soften either. Pre-specification is what lets the interpretive discipline of the later chapters be believed: the hedged reading of marginal terms holds credibility precisely because the analyst had no chance to shop for a less hedged one</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01"/>
    <w:bookmarkStart w:id="102" w:name="X60c4f04d710c7cedab7039124c52102f2a6539c"/>
    <w:p>
      <w:pPr>
        <w:pStyle w:val="Heading2"/>
        <w:spacing w:line="480" w:lineRule="auto"/>
      </w:pPr>
      <w:r>
        <w:t xml:space="preserve">Inference philosophy in a small documentary sample</w:t>
      </w:r>
    </w:p>
    <w:p>
      <w:pPr>
        <w:pStyle w:val="FirstParagraph"/>
        <w:spacing w:line="480" w:lineRule="auto"/>
      </w:pPr>
      <w:r>
        <w:t xml:space="preserve">A last methodological commitment concerns how significance thresholds get used. The design does not treat the five-percent line as a switch flipping a coefficient from meaningless to meaningful. It treats the p-value as a continuous gauge of how tightly the sample pins the estimate, and it reads magnitude and sign beside precision rather than behind a binary significance gate</w:t>
      </w:r>
      <w:r>
        <w:t xml:space="preserve"> </w:t>
      </w:r>
      <w:hyperlink w:anchor="ref-9">
        <w:r>
          <w:rPr>
            <w:rStyle w:val="Hyperlink"/>
          </w:rPr>
          <w:t xml:space="preserve">[9]</w:t>
        </w:r>
      </w:hyperlink>
      <w:r>
        <w:t xml:space="preserve">. This bears hardest on the marginal cross-sectional terms. A recency coefficient that comes out positive, of plausible size, and significant at ten percent but not five is weak evidence pointing the theorized way, and that is exactly how the results chapter puts it, neither writing it off as null nor lifting it to a confirmed effect. Whole-model fit statistics take precedence over any single term, since in a small sample the joint behavior of the predictors holds steadier than the individual slopes, and since the theory’s claim is about corpus structure rather than any one channel</w:t>
      </w:r>
      <w:r>
        <w:t xml:space="preserve"> </w:t>
      </w:r>
      <w:hyperlink w:anchor="ref-11">
        <w:r>
          <w:rPr>
            <w:rStyle w:val="Hyperlink"/>
          </w:rPr>
          <w:t xml:space="preserve">[11]</w:t>
        </w:r>
      </w:hyperlink>
      <w:r>
        <w:t xml:space="preserve">. This inference philosophy is the methodological face of the dissertation’s central discipline: report what the evidence pins, only as tightly as the evidence pins it, and refuse the false comfort of a bright-line verdict the sample cannot carry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2"/>
    <w:bookmarkStart w:id="103" w:name="X1661fadd95ec2c0017d08253072f90f7af06c2a"/>
    <w:p>
      <w:pPr>
        <w:pStyle w:val="Heading2"/>
        <w:spacing w:line="480" w:lineRule="auto"/>
      </w:pPr>
      <w:r>
        <w:t xml:space="preserve">Robustness considerations built into the design</w:t>
      </w:r>
    </w:p>
    <w:p>
      <w:pPr>
        <w:pStyle w:val="FirstParagraph"/>
        <w:spacing w:line="480" w:lineRule="auto"/>
      </w:pPr>
      <w:r>
        <w:t xml:space="preserve">Robustness in a small documentary sample cannot arrive by the usual parade of alternative specifications, since with thirty records and pre-specified models there is no menu of alternatives to run without ditching the pre-specification that lends the results their credibility. Designed in rather than tested after is what robustness here is, and the features supplying it deserve naming. HC1 standard errors are one: refusing to assume constant error variance, they fence off the likeliest source of misleading precision in a corpus mixing heavily cited archival articles with uncited conference memos</w:t>
      </w:r>
      <w:r>
        <w:t xml:space="preserve"> </w:t>
      </w:r>
      <w:hyperlink w:anchor="ref-9">
        <w:r>
          <w:rPr>
            <w:rStyle w:val="Hyperlink"/>
          </w:rPr>
          <w:t xml:space="preserve">[9]</w:t>
        </w:r>
      </w:hyperlink>
      <w:r>
        <w:t xml:space="preserve">. The accumulation model’s plus-one convention is another: keeping every uncited record rather than dropping the zeros, it stops the sample from quietly collapsing to the archival subset, which would have thrown a very different and far less representative elasticity</w:t>
      </w:r>
      <w:r>
        <w:t xml:space="preserve"> </w:t>
      </w:r>
      <w:hyperlink w:anchor="ref-8">
        <w:r>
          <w:rPr>
            <w:rStyle w:val="Hyperlink"/>
          </w:rPr>
          <w:t xml:space="preserve">[8]</w:t>
        </w:r>
      </w:hyperlink>
      <w:r>
        <w:t xml:space="preserve">. The provenance column is a third: tying every row to a locatable document, it renders the whole dataset auditable, so any worry over a given observation can be checked against the source rather than argued in the air</w:t>
      </w:r>
      <w:r>
        <w:t xml:space="preserve"> </w:t>
      </w:r>
      <w:hyperlink w:anchor="ref-4">
        <w:r>
          <w:rPr>
            <w:rStyle w:val="Hyperlink"/>
          </w:rPr>
          <w:t xml:space="preserve">[4]</w:t>
        </w:r>
      </w:hyperlink>
      <w:r>
        <w:t xml:space="preserve">.</w:t>
      </w:r>
    </w:p>
    <w:p>
      <w:pPr>
        <w:pStyle w:val="BodyText"/>
        <w:spacing w:line="480" w:lineRule="auto"/>
        <w:ind w:firstLine="720"/>
      </w:pPr>
      <w:r>
        <w:t xml:space="preserve">One robustness check the design defers rather than runs, and honesty wants it flagged. A leave-one-out or drop-the-outliers analysis, refitting both models without the most heavily cited records, would test whether the age elasticity outlives the loss of its most influential observation, the McKnight paper with its one hundred seven citations</w:t>
      </w:r>
      <w:r>
        <w:t xml:space="preserve"> </w:t>
      </w:r>
      <w:hyperlink w:anchor="ref-9">
        <w:r>
          <w:rPr>
            <w:rStyle w:val="Hyperlink"/>
          </w:rPr>
          <w:t xml:space="preserve">[9]</w:t>
        </w:r>
      </w:hyperlink>
      <w:r>
        <w:t xml:space="preserve">. That check goes unrun here because it would mean altering the pre-specified estimation, and the design’s credibility rests on running the models as specified. Its absence is named as a limitation and its expected direction stated: the age elasticity would likely soften without the outlier, since that record does much of the work of pairing youth with high citation. Flagging the deferred check rather than quietly dropping it is itself part of the methodological discipline.</w:t>
      </w:r>
    </w:p>
    <w:bookmarkEnd w:id="103"/>
    <w:bookmarkStart w:id="104" w:name="X9557d1dac8272897889d04704ac37df7a1da606"/>
    <w:p>
      <w:pPr>
        <w:pStyle w:val="Heading2"/>
        <w:spacing w:line="480" w:lineRule="auto"/>
      </w:pPr>
      <w:r>
        <w:t xml:space="preserve">The estimator choices as a coherent whole</w:t>
      </w:r>
    </w:p>
    <w:p>
      <w:pPr>
        <w:pStyle w:val="FirstParagraph"/>
        <w:spacing w:line="480" w:lineRule="auto"/>
      </w:pPr>
      <w:r>
        <w:t xml:space="preserve">Seen together, the two estimators and the choices around them form a coherent methodological stance rather than a heap of separate decisions. The stance runs: a small documentary corpus should be worked with the simplest models that can answer the questions, inference should stand robust to the corpus’s plain heteroskedasticity, every uncited record should be kept because uncited records inform, the specification should be fixed up front and reported as found, and significance should be read as a continuous constraint rather than a binary gate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Each choice braces the others. Simplicity makes pre-specification easy to keep. Robust inference makes the reported precision trustworthy. Holding the zeros makes the sample representative. Reading significance continuously keeps the marginal terms honest.</w:t>
      </w:r>
    </w:p>
    <w:p>
      <w:pPr>
        <w:pStyle w:val="BodyText"/>
        <w:spacing w:line="480" w:lineRule="auto"/>
        <w:ind w:firstLine="720"/>
      </w:pPr>
      <w:r>
        <w:t xml:space="preserve">The rival stance, which the field’s more advocacy-driven analysis often takes on without saying so, would reach for a richer model, chase significance across specifications, drop inconvenient observations, and read a p-value under five percent as proof</w:t>
      </w:r>
      <w:r>
        <w:t xml:space="preserve"> </w:t>
      </w:r>
      <w:hyperlink w:anchor="ref-16">
        <w:r>
          <w:rPr>
            <w:rStyle w:val="Hyperlink"/>
          </w:rPr>
          <w:t xml:space="preserve">[16]</w:t>
        </w:r>
      </w:hyperlink>
      <w:r>
        <w:t xml:space="preserve">. That stance throws confident results, and the confidence is unearned, since each of its moves puffs up the apparent strength of the evidence. This chapter’s methodological contribution is to work the opposite stance in full, showing a governance claim can be tested rigorously precisely by refusing the moves that manufacture false confidence. Simple on purpose are the estimators, robust on purpose is the inference, and the whole apparatus is built so a skeptic can walk it end to end and find nothing taken on faith</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04"/>
    <w:bookmarkEnd w:id="105"/>
    <w:bookmarkStart w:id="117" w:name="data-and-measurement"/>
    <w:p>
      <w:pPr>
        <w:pStyle w:val="Heading1"/>
        <w:spacing w:line="480" w:lineRule="auto"/>
      </w:pPr>
      <w:r>
        <w:t xml:space="preserve">Data and Measurement</w:t>
      </w:r>
    </w:p>
    <w:p>
      <w:pPr>
        <w:pStyle w:val="FirstParagraph"/>
        <w:spacing w:line="480" w:lineRule="auto"/>
      </w:pPr>
      <w:r>
        <w:t xml:space="preserve">Only as good as the dataset behind them are this dissertation’s empirical claims, so the dataset gets documented in full here. Where the records come from, how each variable is built, what the sample looks like, and where the measurement runs strong or weak all get their account. The governing rule is that a reader should be able to rebuild every number in Chapter 6 out of the source collection and the construction rules given below. No step in the analysis hides in private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06" w:name="the-source-universe"/>
    <w:p>
      <w:pPr>
        <w:pStyle w:val="Heading2"/>
        <w:spacing w:line="480" w:lineRule="auto"/>
      </w:pPr>
      <w:r>
        <w:t xml:space="preserve">The source universe</w:t>
      </w:r>
    </w:p>
    <w:p>
      <w:pPr>
        <w:pStyle w:val="FirstParagraph"/>
        <w:spacing w:line="480" w:lineRule="auto"/>
      </w:pPr>
      <w:r>
        <w:t xml:space="preserve">Thirty retrieved source records compose the dataset, pulled from the candidate’s local source collection for cooperative debris remediation. Across them runs a range of document types that mirrors the field itself: conference proceedings from the Advanced Maui Optical and Space Surveillance technologies community, archival articles from Acta Astronautica, and a clutch of space-economy sources, policy white papers and economic analyses among them. The spread is deliberate. Hold the corpus to journal articles alone and it drops the whole practitioner and policy conversation where much of debris governance actually gets negotiated, in the memos and the proceedings and the working sessions that never reach an archival page; hold it instead to conference and policy material alone and it drops the archival record where the field’s quantitative foundations, its criticality metrics and its ranked inventories, actually sit</w:t>
      </w:r>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Neither cut would serve.</w:t>
      </w:r>
    </w:p>
    <w:p>
      <w:pPr>
        <w:pStyle w:val="BodyText"/>
        <w:spacing w:line="480" w:lineRule="auto"/>
        <w:ind w:firstLine="720"/>
      </w:pPr>
      <w:r>
        <w:t xml:space="preserve">A source column rides on each of the thirty rows, holding provenance. For archival articles that source is a digital object identifier, so the underlying paper resolves exactly. For conference proceedings it is a stable proceedings URL. For policy and economic sources it is a descriptive citation string. That provenance column is the audit anchor: it ties every observation to a locatable document and leaves the corpus inspectable rather than asserted. The retained references, running from the Montreal Protocol lessons paper through the space sustainability rating design, are the documents these rows encode</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Publication years across the corpus stretch from 2016 to 2025. Over that decade cooperative remediation shifted from a specialist concern toward a wider institutional conversation, which is why the decade is the right window for a study of emergence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Uneven is how the records fall across the years, bunched in the most recent, fitting a field whose output is speeding up. That uneven fall is itself part of what the recency variable is built to register.</w:t>
      </w:r>
    </w:p>
    <w:bookmarkEnd w:id="106"/>
    <w:bookmarkStart w:id="107" w:name="constructing-the-outcome-variables"/>
    <w:p>
      <w:pPr>
        <w:pStyle w:val="Heading2"/>
        <w:spacing w:line="480" w:lineRule="auto"/>
      </w:pPr>
      <w:r>
        <w:t xml:space="preserve">Constructing the outcome variables</w:t>
      </w:r>
    </w:p>
    <w:p>
      <w:pPr>
        <w:pStyle w:val="FirstParagraph"/>
        <w:spacing w:line="480" w:lineRule="auto"/>
      </w:pPr>
      <w:r>
        <w:t xml:space="preserve">Two outcome variables anchor the two models, each built by a deterministic rule.</w:t>
      </w:r>
    </w:p>
    <w:p>
      <w:pPr>
        <w:pStyle w:val="BodyText"/>
        <w:spacing w:line="480" w:lineRule="auto"/>
        <w:ind w:firstLine="720"/>
      </w:pPr>
      <w:r>
        <w:t xml:space="preserve">Anchoring the first model is a count, the composite topic-signal score. For each record the build tallies theme-term hits across four metadata fields: title, retrieved snippet, keyword field, and author metadata. A record whose title, snippet, keywords, and author affiliations keep invoking the candidate theme scores high; one that grazes the theme scores low. Over the thirty records the score runs from one to eight, most records packing between four and six. Deterministic is what the score is, since anyone laying the same term list against the same metadata pulls back the same value, which is what leaves the outcome auditable rather than a matter of coder judgment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Anchoring the second model is the citation-plus-one variable, the reported citation count from the local brain index plus one. That plus-one is the transformation-enabling convention the methodology laid out: it keeps uncited records inside the log-log model rather than dropping them. What the convention preserves shows in the raw citation counts. Archival Acta Astronautica articles carry index citations from three up to a high of one hundred seven for the McKnight fifty-most-concerning-objects paper, the single most cited record in the corpus and the field’s most recognized target inventory</w:t>
      </w:r>
      <w:r>
        <w:t xml:space="preserve"> </w:t>
      </w:r>
      <w:hyperlink w:anchor="ref-9">
        <w:r>
          <w:rPr>
            <w:rStyle w:val="Hyperlink"/>
          </w:rPr>
          <w:t xml:space="preserve">[9]</w:t>
        </w:r>
      </w:hyperlink>
      <w:r>
        <w:t xml:space="preserve">. Conference proceedings and policy sources carry index citations of zero, not for want of influence but because the local index hands them no counts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That split between cited and uncited records, in which an entire class of practitioner and policy documents sits pinned at zero not for want of influence but because the index that scores them was never built to see them, is among the dataset’s most consequential features, and it governs how the second model has to be read. The zero is an artifact, not a verdict.</w:t>
      </w:r>
    </w:p>
    <w:bookmarkEnd w:id="107"/>
    <w:bookmarkStart w:id="108" w:name="constructing-the-predictors"/>
    <w:p>
      <w:pPr>
        <w:pStyle w:val="Heading2"/>
        <w:spacing w:line="480" w:lineRule="auto"/>
      </w:pPr>
      <w:r>
        <w:t xml:space="preserve">Constructing the predictors</w:t>
      </w:r>
    </w:p>
    <w:p>
      <w:pPr>
        <w:pStyle w:val="FirstParagraph"/>
        <w:spacing w:line="480" w:lineRule="auto"/>
      </w:pPr>
      <w:r>
        <w:t xml:space="preserve">Three predictors feed the first model. The recency index comes out as a record’s publication year minus the sample’s minimum publication year plus one, so the oldest record scores one and the newest scores ten. That transformation lays recency on a clean integer scale anchored at the corpus floor, which lets the recency coefficient read as the average signal-score shift per year of added recency. The citation-count predictor is the raw indexed citation count, zero wherever the index reports none. The venue-family score is the ordinal code introduced earlier: AMOS proceedings score one, Acta Astronautica articles score two, space-economy sources score three.</w:t>
      </w:r>
    </w:p>
    <w:p>
      <w:pPr>
        <w:pStyle w:val="BodyText"/>
        <w:spacing w:line="480" w:lineRule="auto"/>
        <w:ind w:firstLine="720"/>
      </w:pPr>
      <w:r>
        <w:t xml:space="preserve">One predictor feeds the second model. The age index comes out as 2026 minus a record’s publication year plus one, so a 2025 record has age two and a 2016 record has age eleven. Related but not redundant are age and recency. Recency anchors at the corpus floor and serves the cross-sectional model; age anchors at the analysis year and serves the accumulation model, where the log-log form wants a strictly positive driver. Both are exact functions of publication year, and both rebuild from the year column alone.</w:t>
      </w:r>
    </w:p>
    <w:bookmarkEnd w:id="108"/>
    <w:bookmarkStart w:id="109" w:name="Xb2a6becfa5fc099835d8286a47682a8437e9cf7"/>
    <w:p>
      <w:pPr>
        <w:pStyle w:val="Heading2"/>
        <w:spacing w:line="480" w:lineRule="auto"/>
      </w:pPr>
      <w:r>
        <w:t xml:space="preserve">What the measurement can and cannot support</w:t>
      </w:r>
    </w:p>
    <w:p>
      <w:pPr>
        <w:pStyle w:val="FirstParagraph"/>
        <w:spacing w:line="480" w:lineRule="auto"/>
      </w:pPr>
      <w:r>
        <w:t xml:space="preserve">Strong is what the measurement is where the question is whether the corpus holds structure, weak where a reader might wish it to prove a policy outcome. The signal score reads faithfully how densely a record’s metadata invokes the theme, and it does not read the record’s substantive importance to debris governance, the two able to part ways</w:t>
      </w:r>
      <w:r>
        <w:t xml:space="preserve"> </w:t>
      </w:r>
      <w:hyperlink w:anchor="ref-15">
        <w:r>
          <w:rPr>
            <w:rStyle w:val="Hyperlink"/>
          </w:rPr>
          <w:t xml:space="preserve">[15]</w:t>
        </w:r>
      </w:hyperlink>
      <w:r>
        <w:t xml:space="preserve">. The venue score captures publication register accurately without capturing prestige inside a register, and it packs a heterogeneous space-economy category into a single top code. The index citation counts capture attention as the local index logs it, and they systematically undercount the reach of conference and policy documents the index does not credit with citations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None of this is a defect to apologize for; it is a boundary to respect. Built to test whether the documentary footprint of cooperative remediation is structured, the dataset is fit for that question. It is not built to measure the causal effect of any incentive mechanism on any operator’s behavior, and no coefficient in Chapter 6 should be read as if it were</w:t>
      </w:r>
      <w:r>
        <w:t xml:space="preserve"> </w:t>
      </w:r>
      <w:hyperlink w:anchor="ref-16">
        <w:r>
          <w:rPr>
            <w:rStyle w:val="Hyperlink"/>
          </w:rPr>
          <w:t xml:space="preserve">[16]</w:t>
        </w:r>
      </w:hyperlink>
      <w:r>
        <w:t xml:space="preserve">. The provenance column, the deterministic construction rules, and the flat sample size of thirty records are the guarantees that a reader can check the fit between question and data. That checkability is the measurement chapter’s central deliverable, and it is what lets the results to come be read with the confidence, and the caution, the evidence truly warrants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9"/>
    <w:bookmarkStart w:id="110" w:name="the-composition-of-the-corpus-in-detail"/>
    <w:p>
      <w:pPr>
        <w:pStyle w:val="Heading2"/>
        <w:spacing w:line="480" w:lineRule="auto"/>
      </w:pPr>
      <w:r>
        <w:t xml:space="preserve">The composition of the corpus in detail</w:t>
      </w:r>
    </w:p>
    <w:p>
      <w:pPr>
        <w:pStyle w:val="FirstParagraph"/>
        <w:spacing w:line="480" w:lineRule="auto"/>
      </w:pPr>
      <w:r>
        <w:t xml:space="preserve">Describing the corpus concretely helps, since the aggregate coefficients later make more sense against a picture of the individual records. Roughly the first third of the records are AMOS conference proceedings. Among them sit the Montreal Protocol lessons paper, the debris summit memorandum on active debris removal, the adaptive-optics characterization work, the airborne laser characterization study, and the Korea Aerospace Research Institute activity report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What binds these records is a venue score of one, an index citation count of zero, and a spread of publication years reaching back to the corpus floor. Practitioner and policy voice of the field is what they are, and the local citation index leaves them systematically uncredited.</w:t>
      </w:r>
    </w:p>
    <w:p>
      <w:pPr>
        <w:pStyle w:val="BodyText"/>
        <w:spacing w:line="480" w:lineRule="auto"/>
        <w:ind w:firstLine="720"/>
      </w:pPr>
      <w:r>
        <w:t xml:space="preserve">A second block is Acta Astronautica archival articles. These carry a venue score of two and, breaking with the rest of the corpus, nonzero index citations. Anchoring the block is the McKnight fifty-most-concerning-objects paper at one hundred seven indexed citations, far past any other record</w:t>
      </w:r>
      <w:r>
        <w:t xml:space="preserve"> </w:t>
      </w:r>
      <w:hyperlink w:anchor="ref-9">
        <w:r>
          <w:rPr>
            <w:rStyle w:val="Hyperlink"/>
          </w:rPr>
          <w:t xml:space="preserve">[9]</w:t>
        </w:r>
      </w:hyperlink>
      <w:r>
        <w:t xml:space="preserve">. Sitting here too are the removal-optimization paper, the discourse-network analysis, the two Pardini and Anselmo criticality studies, the incentive-mechanism proposal, and the space sustainability rating design, their citation counts running from single digits into the twenties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This block holds the field’s quantitative and archival weight, and it is where the citation variable finds any variation to work with at all.</w:t>
      </w:r>
    </w:p>
    <w:p>
      <w:pPr>
        <w:pStyle w:val="BodyText"/>
        <w:spacing w:line="480" w:lineRule="auto"/>
        <w:ind w:firstLine="720"/>
      </w:pPr>
      <w:r>
        <w:t xml:space="preserve">A third block is space-economy sources scored three, economic analyses of orbital debris and cross-sector governance frameworks among them. These records carry a venue score of three, index citations of zero, and in several cases sparse or absent snippet and keyword metadata, which drags on their signal scores. Their presence widens the corpus past the technical and archival literature into the economic and policy framing any account of cooperative remediation has to engage, even where the local index credits them with no citations.</w:t>
      </w:r>
    </w:p>
    <w:bookmarkEnd w:id="110"/>
    <w:bookmarkStart w:id="111" w:name="how-composition-shapes-the-variables"/>
    <w:p>
      <w:pPr>
        <w:pStyle w:val="Heading2"/>
        <w:spacing w:line="480" w:lineRule="auto"/>
      </w:pPr>
      <w:r>
        <w:t xml:space="preserve">How composition shapes the variables</w:t>
      </w:r>
    </w:p>
    <w:p>
      <w:pPr>
        <w:pStyle w:val="FirstParagraph"/>
        <w:spacing w:line="480" w:lineRule="auto"/>
      </w:pPr>
      <w:r>
        <w:t xml:space="preserve">Incidental to the analysis this three-block structure is not; it is the engine of several results the next chapter reports, and naming it here keeps the coefficients from reading as mysteries later. The venue variable runs nearly collinear with citation crediting: venue-one and venue-three records carry zero index citations almost across the board, while venue-two records carry the citations</w:t>
      </w:r>
      <w:r>
        <w:t xml:space="preserve"> </w:t>
      </w:r>
      <w:hyperlink w:anchor="ref-4">
        <w:r>
          <w:rPr>
            <w:rStyle w:val="Hyperlink"/>
          </w:rPr>
          <w:t xml:space="preserve">[4]</w:t>
        </w:r>
      </w:hyperlink>
      <w:r>
        <w:t xml:space="preserve"> </w:t>
      </w:r>
      <w:hyperlink w:anchor="ref-8">
        <w:r>
          <w:rPr>
            <w:rStyle w:val="Hyperlink"/>
          </w:rPr>
          <w:t xml:space="preserve">[8]</w:t>
        </w:r>
      </w:hyperlink>
      <w:r>
        <w:t xml:space="preserve">. So the venue and citation channels sit entangled in the cross-section, and so the age elasticity in the accumulation model bends to the coincidence that the oldest records skew toward the uncited conference and policy documents while the younger ones take in the cited archival articles</w:t>
      </w:r>
      <w:r>
        <w:t xml:space="preserve"> </w:t>
      </w:r>
      <w:hyperlink w:anchor="ref-9">
        <w:r>
          <w:rPr>
            <w:rStyle w:val="Hyperlink"/>
          </w:rPr>
          <w:t xml:space="preserve">[9]</w:t>
        </w:r>
      </w:hyperlink>
      <w:r>
        <w:t xml:space="preserve">. A reader who grasps the block structure will read the negative venue coefficient and the negative age elasticity not as puzzles but as faithful mirrors of how the corpus is composed.</w:t>
      </w:r>
    </w:p>
    <w:p>
      <w:pPr>
        <w:pStyle w:val="BodyText"/>
        <w:spacing w:line="480" w:lineRule="auto"/>
        <w:ind w:firstLine="720"/>
      </w:pPr>
      <w:r>
        <w:t xml:space="preserve">The signal score’s distribution also falls out of composition. Conference records, thick with theme vocabulary in title and keywords, tend to land in the middle-to-upper part of the range. Archival articles scatter wider, the most operationally specific scoring high and the broadest scoring lower. Space-economy sources with sparse metadata land at the low end, since a deterministic term count cannot register density in fields that hold nothing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None of this hides in the aggregate; it is the aggregate, taken apart. Setting it down here is part of the checkability the chapter promises, since a reader who can see the blocks can call the direction of the coefficients before reading them and can judge whether the estimator is pulling out genuine structure or merely retracing the corpus’s construction</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1"/>
    <w:bookmarkStart w:id="112" w:name="the-sample-size-and-what-it-permits"/>
    <w:p>
      <w:pPr>
        <w:pStyle w:val="Heading2"/>
        <w:spacing w:line="480" w:lineRule="auto"/>
      </w:pPr>
      <w:r>
        <w:t xml:space="preserve">The sample size and what it permits</w:t>
      </w:r>
    </w:p>
    <w:p>
      <w:pPr>
        <w:pStyle w:val="FirstParagraph"/>
        <w:spacing w:line="480" w:lineRule="auto"/>
      </w:pPr>
      <w:r>
        <w:t xml:space="preserve">The sample is small, and the chapter owes the reader a plain reckoning of what that costs. A screen is within reach; a verdict is not.</w:t>
      </w:r>
    </w:p>
    <w:p>
      <w:pPr>
        <w:pStyle w:val="BodyText"/>
        <w:spacing w:line="480" w:lineRule="auto"/>
        <w:ind w:firstLine="720"/>
      </w:pPr>
      <w:r>
        <w:t xml:space="preserve">Small is what thirty records is, and the measurement chapter should say outright what that size permits and denies rather than leave the reader to infer it. Thirty observations against three predictors leave twenty-six residual degrees of freedom in the cross-sectional model, enough to fit three slopes and an intercept at interpretable, if loose, precision</w:t>
      </w:r>
      <w:r>
        <w:t xml:space="preserve"> </w:t>
      </w:r>
      <w:hyperlink w:anchor="ref-4">
        <w:r>
          <w:rPr>
            <w:rStyle w:val="Hyperlink"/>
          </w:rPr>
          <w:t xml:space="preserve">[4]</w:t>
        </w:r>
      </w:hyperlink>
      <w:r>
        <w:t xml:space="preserve">. Not enough is it to bear subgroup analysis, interaction terms, or a venue-dummy specification, each of which would burn degrees of freedom the sample cannot spare. Enough it is to catch a strong association, as the age elasticity shows, and enough to catch the absence of a strong one, as the marginal cross-sectional terms show, and still not enough to tell a weak-but-real association from noise, which is why the marginal terms stay marginal</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honest summary: thirty records bear a screen, not a verdict, and the measurement chapter sizes every downstream claim to that fact.</w:t>
      </w:r>
    </w:p>
    <w:bookmarkEnd w:id="112"/>
    <w:bookmarkStart w:id="113" w:name="X222f87b0425063bd76eaa658d5d17403cdc86ed"/>
    <w:p>
      <w:pPr>
        <w:pStyle w:val="Heading2"/>
        <w:spacing w:line="480" w:lineRule="auto"/>
      </w:pPr>
      <w:r>
        <w:t xml:space="preserve">Provenance and reproducibility in practice</w:t>
      </w:r>
    </w:p>
    <w:p>
      <w:pPr>
        <w:pStyle w:val="FirstParagraph"/>
        <w:spacing w:line="480" w:lineRule="auto"/>
      </w:pPr>
      <w:r>
        <w:t xml:space="preserve">The dataset’s audit anchor is worth showing rather than merely asserting, since reproducibility is a claim that should itself be checkable. Take one record, the McKnight fifty-most-concerning-objects paper. Its source column carries the digital object identifier that resolves to the published article</w:t>
      </w:r>
      <w:r>
        <w:t xml:space="preserve"> </w:t>
      </w:r>
      <w:hyperlink w:anchor="ref-9">
        <w:r>
          <w:rPr>
            <w:rStyle w:val="Hyperlink"/>
          </w:rPr>
          <w:t xml:space="preserve">[9]</w:t>
        </w:r>
      </w:hyperlink>
      <w:r>
        <w:t xml:space="preserve">. Its publication year of 2021 yields a recency index of six, worked as 2021 minus the corpus floor year of 2016 plus one, and an age index of six, worked as 2026 minus 2021 plus one. Its venue score is two, for its Acta Astronautica origin. Its index citation count of one hundred seven yields a citations-plus-one value of one hundred eight for the log transformation. Its signal score is the deterministic tally of theme-term hits across title, snippet, keyword, and author fields. Every one of these values follows by a fixed rule from observable metadata, and any reader can regenerate them from the source</w:t>
      </w:r>
      <w:r>
        <w:t xml:space="preserve"> </w:t>
      </w:r>
      <w:hyperlink w:anchor="ref-4">
        <w:r>
          <w:rPr>
            <w:rStyle w:val="Hyperlink"/>
          </w:rPr>
          <w:t xml:space="preserve">[4]</w:t>
        </w:r>
      </w:hyperlink>
      <w:r>
        <w:t xml:space="preserve">.</w:t>
      </w:r>
    </w:p>
    <w:p>
      <w:pPr>
        <w:pStyle w:val="BodyText"/>
        <w:spacing w:line="480" w:lineRule="auto"/>
        <w:ind w:firstLine="720"/>
      </w:pPr>
      <w:r>
        <w:t xml:space="preserve">That worked example is the reproducibility guarantee in miniature. The reader is not asked to trust the analyst’s coding; the coding runs mechanical, and the mechanism is documented, so the reader can run it independently and confirm the result. Stronger transparency than most governance analysis offers is what this is, and it is the specific virtue the design was built to deliver. When Chapter 6 reports the venue coefficient negative and significant, the reader can trace that coefficient back through the estimation to the venue scores, and back through the venue scores to the source documents, with no step demanding faith</w:t>
      </w:r>
      <w:r>
        <w:t xml:space="preserve"> </w:t>
      </w:r>
      <w:hyperlink w:anchor="ref-11">
        <w:r>
          <w:rPr>
            <w:rStyle w:val="Hyperlink"/>
          </w:rPr>
          <w:t xml:space="preserve">[11]</w:t>
        </w:r>
      </w:hyperlink>
      <w:r>
        <w:t xml:space="preserve">.</w:t>
      </w:r>
    </w:p>
    <w:bookmarkEnd w:id="113"/>
    <w:bookmarkStart w:id="114" w:name="X14b0e0ffa0927e8483a186bd0ea10124b524a5b"/>
    <w:p>
      <w:pPr>
        <w:pStyle w:val="Heading2"/>
        <w:spacing w:line="480" w:lineRule="auto"/>
      </w:pPr>
      <w:r>
        <w:t xml:space="preserve">Measurement threats specific to the corpus</w:t>
      </w:r>
    </w:p>
    <w:p>
      <w:pPr>
        <w:pStyle w:val="FirstParagraph"/>
        <w:spacing w:line="480" w:lineRule="auto"/>
      </w:pPr>
      <w:r>
        <w:t xml:space="preserve">Two measurement threats sit specific enough to this corpus to earn treatment past the general cautions. The first is metadata sparsity in the space-economy block. Several of those records carry empty snippet and keyword fields, so their signal scores get worked from title and author metadata alone</w:t>
      </w:r>
      <w:r>
        <w:t xml:space="preserve"> </w:t>
      </w:r>
      <w:hyperlink w:anchor="ref-1">
        <w:r>
          <w:rPr>
            <w:rStyle w:val="Hyperlink"/>
          </w:rPr>
          <w:t xml:space="preserve">[1]</w:t>
        </w:r>
      </w:hyperlink>
      <w:r>
        <w:t xml:space="preserve">. That drags their signal scores below records with full metadata, not because they engage the theme less but because there is less text for theme terms to appear in. The venue coefficient has to be read with this in view: part of the tie between higher venue scores and lower signal scores traces to metadata availability rather than substantive engagement, and the results chapter names this outright rather than let it pass for a substantive finding</w:t>
      </w:r>
      <w:r>
        <w:t xml:space="preserve"> </w:t>
      </w:r>
      <w:hyperlink w:anchor="ref-3">
        <w:r>
          <w:rPr>
            <w:rStyle w:val="Hyperlink"/>
          </w:rPr>
          <w:t xml:space="preserve">[3]</w:t>
        </w:r>
      </w:hyperlink>
      <w:r>
        <w:t xml:space="preserve">.</w:t>
      </w:r>
    </w:p>
    <w:p>
      <w:pPr>
        <w:pStyle w:val="BodyText"/>
        <w:spacing w:line="480" w:lineRule="auto"/>
        <w:ind w:firstLine="720"/>
      </w:pPr>
      <w:r>
        <w:t xml:space="preserve">The second corpus-specific threat is the near-collinearity between venue and citation crediting. Because venue-two records carry the citations and venue-one and venue-three records do not, the venue and citation predictors run not independent in the cross-section, their coefficients partly vying to explain the same variance</w:t>
      </w:r>
      <w:r>
        <w:t xml:space="preserve"> </w:t>
      </w:r>
      <w:hyperlink w:anchor="ref-4">
        <w:r>
          <w:rPr>
            <w:rStyle w:val="Hyperlink"/>
          </w:rPr>
          <w:t xml:space="preserve">[4]</w:t>
        </w:r>
      </w:hyperlink>
      <w:r>
        <w:t xml:space="preserve"> </w:t>
      </w:r>
      <w:hyperlink w:anchor="ref-8">
        <w:r>
          <w:rPr>
            <w:rStyle w:val="Hyperlink"/>
          </w:rPr>
          <w:t xml:space="preserve">[8]</w:t>
        </w:r>
      </w:hyperlink>
      <w:r>
        <w:t xml:space="preserve">. Not multicollinearity severe enough to destabilize the estimates is this, and yet enough that the venue and citation coefficients should be read as a pair whose separation is imperfect rather than as two cleanly independent channels. The data chapter surfaces this now so the results chapter’s reading of those two coefficients gets understood against the corpus structure that throws them, and so no reader takes an artifact of the corpus’s composition for an independent discovery about how topic salience is organized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4"/>
    <w:bookmarkStart w:id="115" w:name="X1ca29f05b498cde5e4a7a711f10b6c59ade0046"/>
    <w:p>
      <w:pPr>
        <w:pStyle w:val="Heading2"/>
        <w:spacing w:line="480" w:lineRule="auto"/>
      </w:pPr>
      <w:r>
        <w:t xml:space="preserve">The temporal distribution and what it encodes</w:t>
      </w:r>
    </w:p>
    <w:p>
      <w:pPr>
        <w:pStyle w:val="FirstParagraph"/>
        <w:spacing w:line="480" w:lineRule="auto"/>
      </w:pPr>
      <w:r>
        <w:t xml:space="preserve">How the records fall across publication years encodes a fact about the field that the recency and age variables translate into model inputs, and it deserves description in its own right. Weighted toward recent years is what the corpus is. The 2025 records, the space sustainability rating design and the multi-stakeholder incentive mechanism among them, bunch at the top of the recency scale and the bottom of the age scale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mid-range years hold the criticality and discourse-network work, and the corpus floor at 2016 is anchored by an older AMOS proceeding</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That forward weighting fits a field whose output is speeding up, exactly the temporal shape the emergence mechanism predicts for an active topic.</w:t>
      </w:r>
    </w:p>
    <w:p>
      <w:pPr>
        <w:pStyle w:val="BodyText"/>
        <w:spacing w:line="480" w:lineRule="auto"/>
        <w:ind w:firstLine="720"/>
      </w:pPr>
      <w:r>
        <w:t xml:space="preserve">The temporal distribution also carries the confound that shapes the accumulation result. Recent records skew toward archival articles the index credits with citations, while the oldest records skew toward conference and policy documents the index leaves uncited</w:t>
      </w:r>
      <w:r>
        <w:t xml:space="preserve"> </w:t>
      </w:r>
      <w:hyperlink w:anchor="ref-8">
        <w:r>
          <w:rPr>
            <w:rStyle w:val="Hyperlink"/>
          </w:rPr>
          <w:t xml:space="preserve">[8]</w:t>
        </w:r>
      </w:hyperlink>
      <w:r>
        <w:t xml:space="preserve"> </w:t>
      </w:r>
      <w:hyperlink w:anchor="ref-9">
        <w:r>
          <w:rPr>
            <w:rStyle w:val="Hyperlink"/>
          </w:rPr>
          <w:t xml:space="preserve">[9]</w:t>
        </w:r>
      </w:hyperlink>
      <w:r>
        <w:t xml:space="preserve">. So age correlates with venue and with citation crediting, not because older work is intrinsically less cited but because the older records in this particular corpus are the ones the index does not credit. The age index encodes each record’s distance from the analysis year faithfully, and the model recovers the tie between age and citation faithfully, and yet that tie is shaped throughout by this compositional coincidence, in which the accident of which document types happen to be old and which happen to be young does much of the work a reader might otherwise attribute to some intrinsic law of how attention fades as a paper ages. Documenting the temporal distribution here is what lets the results chapter read the strong negative age elasticity for what it is: a real feature of the corpus whose meaning is bounded by how the corpus spreads venues across years.</w:t>
      </w:r>
    </w:p>
    <w:bookmarkEnd w:id="115"/>
    <w:bookmarkStart w:id="116" w:name="Xb3d0df3970cb0c2c0788c6bbda0d85098866a7d"/>
    <w:p>
      <w:pPr>
        <w:pStyle w:val="Heading2"/>
        <w:spacing w:line="480" w:lineRule="auto"/>
      </w:pPr>
      <w:r>
        <w:t xml:space="preserve">Fitness of the data for the two questions</w:t>
      </w:r>
    </w:p>
    <w:p>
      <w:pPr>
        <w:pStyle w:val="FirstParagraph"/>
        <w:spacing w:line="480" w:lineRule="auto"/>
      </w:pPr>
      <w:r>
        <w:t xml:space="preserve">The measurement chapter should close by judging outright whether the data fit the two questions the design puts, since a dataset can shine for one question and fall flat for another. For the cross-sectional question of whether topic salience is organized by recency, citation, and venue at a moment, the data run adequate but not ideal. The signal score is a clean deterministic outcome, and recency and venue are exact functions of observable metadata, and yet the citation predictor holds real variation only inside the archival block, which caps what the citation channel can show</w:t>
      </w:r>
      <w:r>
        <w:t xml:space="preserve"> </w:t>
      </w:r>
      <w:hyperlink w:anchor="ref-4">
        <w:r>
          <w:rPr>
            <w:rStyle w:val="Hyperlink"/>
          </w:rPr>
          <w:t xml:space="preserve">[4]</w:t>
        </w:r>
      </w:hyperlink>
      <w:r>
        <w:t xml:space="preserve">. For the accumulation question of whether citation attention accrues lawfully with age, the data run well suited in form, since age is exact and the plus-one convention keeps every record, and yet the answer they hand back sits bounded by the indexing confound documented above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overall judgment is that the data are fit for a screen and honest about their own limits. They can do three things that matter for the questions at hand: catch whether structure exists along the specified channels, size whatever structure they catch in units a reader can interpret rather than in some opaque index, and preserve on every row the provenance that lets any single value be traced back to the document it came from and checked. They cannot do more. They cannot, and do not pretend to, measure a record’s substantive importance apart from its metadata, nor credit the reach of the conference and policy literature the index ignores</w:t>
      </w:r>
      <w:r>
        <w:t xml:space="preserve"> </w:t>
      </w:r>
      <w:hyperlink w:anchor="ref-1">
        <w:r>
          <w:rPr>
            <w:rStyle w:val="Hyperlink"/>
          </w:rPr>
          <w:t xml:space="preserve">[1]</w:t>
        </w:r>
      </w:hyperlink>
      <w:r>
        <w:t xml:space="preserve"> </w:t>
      </w:r>
      <w:hyperlink w:anchor="ref-8">
        <w:r>
          <w:rPr>
            <w:rStyle w:val="Hyperlink"/>
          </w:rPr>
          <w:t xml:space="preserve">[8]</w:t>
        </w:r>
      </w:hyperlink>
      <w:r>
        <w:t xml:space="preserve">. A reader who grasps both the fitness and the limits, laid out in this chapter, is equipped to read the results to come at exactly the confidence they deserve, which is the outcome the measurement chapter exists to produce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6"/>
    <w:bookmarkEnd w:id="117"/>
    <w:bookmarkStart w:id="126" w:name="results"/>
    <w:p>
      <w:pPr>
        <w:pStyle w:val="Heading1"/>
        <w:spacing w:line="480" w:lineRule="auto"/>
      </w:pPr>
      <w:r>
        <w:t xml:space="preserve">Results</w:t>
      </w:r>
    </w:p>
    <w:p>
      <w:pPr>
        <w:pStyle w:val="FirstParagraph"/>
        <w:spacing w:line="480" w:lineRule="auto"/>
      </w:pPr>
      <w:r>
        <w:t xml:space="preserve">Both estimators’ output gets reported here exactly as the workbooks made it, with the signs and sizes read out. I lay down the cross-sectional model first, then the accumulation model, then read the pair together. Every coefficient, standard error, and p-value below is the workbook value; none is rounded to the point of shifting its meaning, and none is invented. The same thirty records fed both models, under heteroskedasticity-consistent HC1 standard errors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Start w:id="118" w:name="the-cross-sectional-model"/>
    <w:p>
      <w:pPr>
        <w:pStyle w:val="Heading2"/>
        <w:spacing w:line="480" w:lineRule="auto"/>
      </w:pPr>
      <w:r>
        <w:t xml:space="preserve">The cross-sectional model</w:t>
      </w:r>
    </w:p>
    <w:p>
      <w:pPr>
        <w:pStyle w:val="FirstParagraph"/>
        <w:spacing w:line="480" w:lineRule="auto"/>
      </w:pPr>
      <w:r>
        <w:t xml:space="preserve">The first model regresses the composite topic-signal score on the recency index, the indexed citation count, and the ordinal venue score. Here is its overall fit. The sample size is N equals 30. The coefficient of determination is R-squared equals 0.278, and the adjusted R-squared is 0.195. The joint significance of the model is F equals 2.341 with an associated p-value of 0.0965.</w:t>
      </w:r>
    </w:p>
    <w:p>
      <w:pPr>
        <w:pStyle w:val="BodyText"/>
        <w:spacing w:line="480" w:lineRule="auto"/>
        <w:ind w:firstLine="720"/>
      </w:pPr>
      <w:r>
        <w:t xml:space="preserve">Open with the whole-model verdict; it is the honest place to open. Roughly twenty-eight percent of the variation in topic-signal score across the thirty records is what the model accounts for, about twenty percent once the three predictors are adjusted for. The overall F-test hands back a p-value of 0.0965, seated above the conventional five-percent threshold and just under ten percent. So the corpus is not overwhelmingly structured. Together the three predictors explain a real but modest share of the variation, and the joint test misses the standard bar for calling the model as a whole significant. Measured is what this result is, and reading it as anything stronger would breach the discipline the design was built to enforce</w:t>
      </w:r>
      <w:r>
        <w:t xml:space="preserve"> </w:t>
      </w:r>
      <w:hyperlink w:anchor="ref-3">
        <w:r>
          <w:rPr>
            <w:rStyle w:val="Hyperlink"/>
          </w:rPr>
          <w:t xml:space="preserve">[3]</w:t>
        </w:r>
      </w:hyperlink>
      <w:r>
        <w:t xml:space="preserve">.</w:t>
      </w:r>
    </w:p>
    <w:p>
      <w:pPr>
        <w:pStyle w:val="BodyText"/>
        <w:spacing w:line="480" w:lineRule="auto"/>
        <w:ind w:firstLine="720"/>
      </w:pPr>
      <w:r>
        <w:t xml:space="preserve">Term-level estimates sharpen the picture.</w:t>
      </w:r>
    </w:p>
    <w:p>
      <w:pPr>
        <w:pStyle w:val="BodyText"/>
        <w:spacing w:line="480" w:lineRule="auto"/>
        <w:ind w:firstLine="720"/>
      </w:pPr>
      <w:r>
        <w:t xml:space="preserve">The constant is 4.6904, with a p-value of 2.13e-19. Estimated with extreme precision is the intercept. It says a hypothetical record sitting at the baseline of every predictor carries a signal score near 4.69, close to the corpus average and reflecting that most records pack into the four-to-six band. The intercept’s precision is expected and carries little interpretive weight on its own; it anchors the fitted surface rather than testing a hypothesis.</w:t>
      </w:r>
    </w:p>
    <w:p>
      <w:pPr>
        <w:pStyle w:val="BodyText"/>
        <w:spacing w:line="480" w:lineRule="auto"/>
        <w:ind w:firstLine="720"/>
      </w:pPr>
      <w:r>
        <w:t xml:space="preserve">The recency-index coefficient is 0.1379, with a p-value of 0.0806. Positive is the sign, as the theory called: more recent records carry, on average, a higher topic signal, gaining about 0.14 points of signal score per step up the recency scale. But the p-value of 0.0806 seats this coefficient below the ten-percent threshold and above five percent, leaving it suggestive rather than firm. The recency channel points the way the emergence theory expected, and it does so with consistency enough to be noticed, and yet without precision enough in this small sample to be asserted as a stable effect</w:t>
      </w:r>
      <w:r>
        <w:t xml:space="preserve"> </w:t>
      </w:r>
      <w:hyperlink w:anchor="ref-11">
        <w:r>
          <w:rPr>
            <w:rStyle w:val="Hyperlink"/>
          </w:rPr>
          <w:t xml:space="preserve">[11]</w:t>
        </w:r>
      </w:hyperlink>
      <w:r>
        <w:t xml:space="preserve">.</w:t>
      </w:r>
    </w:p>
    <w:p>
      <w:pPr>
        <w:pStyle w:val="BodyText"/>
        <w:spacing w:line="480" w:lineRule="auto"/>
        <w:ind w:firstLine="720"/>
      </w:pPr>
      <w:r>
        <w:t xml:space="preserve">The citation-count coefficient is 0.0184, with a p-value of 0.1007. Positive again is the sign: records carrying more indexed citations tend to carry a slightly higher signal score, about 0.018 points per added citation. At a p-value of 0.1007, this coefficient seats just above the ten-percent line and is the least precise of the three slopes. The direction fits the theory that attention and topic salience travel together, and yet the imprecision leaves the citation channel offering only faint support, so I decline to lean on it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venue-score coefficient is -0.7181, with a p-value of 0.0301. This is the one term to clear the five-percent threshold, and its sign is negative. Each step up the ordinal venue ladder, from AMOS proceedings toward Acta Astronautica and on toward space-economy sources, ties to a fall of about 0.72 points in the topic-signal score. Most statistically stable finding in the cross-sectional model is what this is, and its sign is the theoretically interesting surprise. The densest topic signal does not live in the highest-register archival and economic venues; it lives in the specialist conference literature, where practitioners write densely and specifically about the operational particulars of debris and remediation</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wider journal and economic literature handles the topic loosely, as one sustainability theme among many, thinning its per-record signal even while those venues lend prestige. So the negative venue slope is no defect in the theory but a refinement of it: institutional attention and topic-signal density are not one axis, and in this corpus they run opposite ways across venues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8"/>
    <w:bookmarkStart w:id="119" w:name="the-accumulation-model"/>
    <w:p>
      <w:pPr>
        <w:pStyle w:val="Heading2"/>
        <w:spacing w:line="480" w:lineRule="auto"/>
      </w:pPr>
      <w:r>
        <w:t xml:space="preserve">The accumulation model</w:t>
      </w:r>
    </w:p>
    <w:p>
      <w:pPr>
        <w:pStyle w:val="FirstParagraph"/>
        <w:spacing w:line="480" w:lineRule="auto"/>
      </w:pPr>
      <w:r>
        <w:t xml:space="preserve">The second model regresses the log of citations-plus-one on the log of the age index, pulling out the elasticity of citation attention against document age. Here is its fit. The sample size is N equals 30. The coefficient of determination is R-squared equals 0.176. The estimated age elasticity is -1.2189, and the implied progress ratio, worked as two raised to that elasticity, is 0.4296.</w:t>
      </w:r>
    </w:p>
    <w:p>
      <w:pPr>
        <w:pStyle w:val="BodyText"/>
        <w:spacing w:line="480" w:lineRule="auto"/>
        <w:ind w:firstLine="720"/>
      </w:pPr>
      <w:r>
        <w:t xml:space="preserve">Two term-level estimates stand. The constant is 3.0913, with a p-value of 3.61e-07. The log-age coefficient, the elasticity itself, is -1.2189, with a p-value of 0.000769.</w:t>
      </w:r>
    </w:p>
    <w:p>
      <w:pPr>
        <w:pStyle w:val="BodyText"/>
        <w:spacing w:line="480" w:lineRule="auto"/>
        <w:ind w:firstLine="720"/>
      </w:pPr>
      <w:r>
        <w:t xml:space="preserve">Read the elasticity first, since it is the parameter the model exists to pull out. At -1.2189 with a p-value of 0.000769, the age elasticity comes both sizable and precisely estimated, clearing the one-percent threshold with room to spare. Rejected decisively is the null of no age-based structure in citation accumulation. Citation attention in this corpus runs a lawful function of document age, and the function runs strongly negative: as the log of age climbs, the log of citations-plus-one falls. The progress ratio of 0.4296 renders this intuitively. Double a document’s age index and its citations-plus-one drop to about forty-three percent of the prior level. Older documents, in this corpus, command less indexed attention than younger ones, and they do it by a steep and statistically firm margin.</w:t>
      </w:r>
    </w:p>
    <w:p>
      <w:pPr>
        <w:pStyle w:val="BodyText"/>
        <w:spacing w:line="480" w:lineRule="auto"/>
        <w:ind w:firstLine="720"/>
      </w:pPr>
      <w:r>
        <w:t xml:space="preserve">That negative sign wants careful reading, since it flips the naive expectation that older documents have had longer to gather citations. Two features of the corpus explain the flip. The oldest records skew toward AMOS conference proceedings and policy sources, which the local index does not credit with citations and which therefore rest at the citations-plus-one floor of one whatever their real reach</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younger records take in the heavily cited Acta Astronautica articles, above all the McKnight fifty-most-concerning-objects paper at one hundred seven indexed citations</w:t>
      </w:r>
      <w:r>
        <w:t xml:space="preserve"> </w:t>
      </w:r>
      <w:hyperlink w:anchor="ref-9">
        <w:r>
          <w:rPr>
            <w:rStyle w:val="Hyperlink"/>
          </w:rPr>
          <w:t xml:space="preserve">[9]</w:t>
        </w:r>
      </w:hyperlink>
      <w:r>
        <w:t xml:space="preserve">. So the corpus pairs old-and-uncited with young-and-cited, which drives the elasticity strongly negative. The model recovers the corpus’s structure faithfully, and the structure is real, and yet its meaning sits bounded by the indexing behavior the data chapter described rather than by any law of citation aging in the field at large. The R-squared of 0.176 says the age variable alone accounts for about eighteen percent of the variation in log citations, leaving the majority to venue, indexing, and idiosyncrasy.</w:t>
      </w:r>
    </w:p>
    <w:bookmarkEnd w:id="119"/>
    <w:bookmarkStart w:id="120" w:name="the-two-models-together"/>
    <w:p>
      <w:pPr>
        <w:pStyle w:val="Heading2"/>
        <w:spacing w:line="480" w:lineRule="auto"/>
      </w:pPr>
      <w:r>
        <w:t xml:space="preserve">The two models together</w:t>
      </w:r>
    </w:p>
    <w:p>
      <w:pPr>
        <w:pStyle w:val="FirstParagraph"/>
        <w:spacing w:line="480" w:lineRule="auto"/>
      </w:pPr>
      <w:r>
        <w:t xml:space="preserve">Read apart, each model gives half a picture. Read together, they discipline each other.</w:t>
      </w:r>
    </w:p>
    <w:p>
      <w:pPr>
        <w:pStyle w:val="BodyText"/>
        <w:spacing w:line="480" w:lineRule="auto"/>
        <w:ind w:firstLine="720"/>
      </w:pPr>
      <w:r>
        <w:t xml:space="preserve">Taken jointly, the results hand back a bounded and internally consistent portrait. The cross-sectional model turns up a corpus modestly structured: recency and citation point the called way but only suggestively, while venue delivers the one firm and theoretically instructive slope, negative, seating the densest topic signal in the specialist conference literature rather than the high-register venues. The accumulation model turns up a corpus whose citation attention runs strongly and precisely structured by age, though the structure runs negative and is driven by the interaction of document age with the local index’s handling of conference and policy sources.</w:t>
      </w:r>
    </w:p>
    <w:p>
      <w:pPr>
        <w:pStyle w:val="BodyText"/>
        <w:spacing w:line="480" w:lineRule="auto"/>
        <w:ind w:firstLine="720"/>
      </w:pPr>
      <w:r>
        <w:t xml:space="preserve">Honest reading: the documentary footprint of cooperative remediation shows genuine but partial and channel-specific structure. The strongest evidence of structure comes off the accumulation model, where the null falls at better than the one-percent level. The cross-sectional evidence runs weaker at the whole-model level, with a joint p-value of 0.0965, and clear only in the venue channel. Neither model licenses a claim that a cooperative remediation regime has arrived; both license the narrower claim the dissertation actually makes, that the corpus is not structureless, and that where its structure runs strongest it tells us as much about how the field publishes and gets indexed as about the substance of the emerging conversation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That is precisely the kind of result the design was built to catch and to report without inflation.</w:t>
      </w:r>
    </w:p>
    <w:bookmarkEnd w:id="120"/>
    <w:bookmarkStart w:id="121" w:name="reconciling-the-two-significant-terms"/>
    <w:p>
      <w:pPr>
        <w:pStyle w:val="Heading2"/>
        <w:spacing w:line="480" w:lineRule="auto"/>
      </w:pPr>
      <w:r>
        <w:t xml:space="preserve">Reconciling the two significant terms</w:t>
      </w:r>
    </w:p>
    <w:p>
      <w:pPr>
        <w:pStyle w:val="FirstParagraph"/>
        <w:spacing w:line="480" w:lineRule="auto"/>
      </w:pPr>
      <w:r>
        <w:t xml:space="preserve">The two firm results, the venue coefficient of -0.7181 in the cross-section and the age elasticity of -1.2189 in the accumulation model, are not independent findings, and reading them together sharpens what each means. The same corpus feature drives both substantially: the block structure in which venue-two archival articles carry index citations while venue-one conference records and venue-three economic sources do not, and in which the oldest records skew toward the uncited conference and policy documents</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The venue coefficient reports that climbing the venue ladder ties to lower topic-signal density, and the age elasticity reports that older documents carry fewer citations. Because venue and citation crediting sit entangled, and because age and venue correlate through the corpus’s composition, these two significant terms are partly two views of one underlying structure.</w:t>
      </w:r>
    </w:p>
    <w:p>
      <w:pPr>
        <w:pStyle w:val="BodyText"/>
        <w:spacing w:line="480" w:lineRule="auto"/>
        <w:ind w:firstLine="720"/>
      </w:pPr>
      <w:r>
        <w:t xml:space="preserve">That reconciliation is no weakness in the findings; it is the right reading of them, and it is exactly why the two-model design out-informs either model alone. Stood alone, the venue result might get pinned entirely on substance, concluding practitioners simply engage the theme more densely. Stood alone, the age result might get pinned entirely on attention dynamics. Seeing both, and catching their shared root in the corpus’s block structure, forces the more accurate and more cautious conclusion: the strongest structure in the corpus tracks how the field is sorted into venues and how those venues get indexed, at least as much as it tracks any intrinsic maturation of the cooperative-remediation conversation</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21"/>
    <w:bookmarkStart w:id="122" w:name="the-evidence-ladder-applied"/>
    <w:p>
      <w:pPr>
        <w:pStyle w:val="Heading2"/>
        <w:spacing w:line="480" w:lineRule="auto"/>
      </w:pPr>
      <w:r>
        <w:t xml:space="preserve">The evidence ladder applied</w:t>
      </w:r>
    </w:p>
    <w:p>
      <w:pPr>
        <w:pStyle w:val="FirstParagraph"/>
        <w:spacing w:line="480" w:lineRule="auto"/>
      </w:pPr>
      <w:r>
        <w:t xml:space="preserve">The theory chapter promised an evidence ladder, taking a significant coefficient, a stable fit, and a weak coefficient as three distinct kinds of information. The results let the ladder be climbed outright. On the top rung, the age elasticity’s p-value of 0.000769 and the venue coefficient’s p-value of 0.0301 are significant associations inside the retained corpus, and they carry the claim that the corpus is structured along those channels</w:t>
      </w:r>
      <w:r>
        <w:t xml:space="preserve"> </w:t>
      </w:r>
      <w:hyperlink w:anchor="ref-9">
        <w:r>
          <w:rPr>
            <w:rStyle w:val="Hyperlink"/>
          </w:rPr>
          <w:t xml:space="preserve">[9]</w:t>
        </w:r>
      </w:hyperlink>
      <w:r>
        <w:t xml:space="preserve">. On the middle rung, the cross-sectional model’s adjusted R-squared of 0.195 and joint p-value of 0.0965 describe a fit real but not strong, carrying the use of the corpus as a measurement base while withholding a verdict of overall significance. On the lowest rung, the recency coefficient at 0.0806 and the citation coefficient at 0.1007 are weak associations that inform all the same, since they show two of the three theorized cross-sectional channels carrying no stable structure in this corpus, itself a finding about the present evidence’s limits</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Reading the results as a ladder rather than as a roll of significant-or-not verdicts is what keeps the interpretation honest. Each rung tells the reader something different, and the design draws value from every rung, the lowest included. A weak recency coefficient is no null to be thrown out; it is evidence that recency, on its own, does not organize this corpus strongly, which a future study on a larger corpus can revisit</w:t>
      </w:r>
      <w:r>
        <w:t xml:space="preserve"> </w:t>
      </w:r>
      <w:hyperlink w:anchor="ref-3">
        <w:r>
          <w:rPr>
            <w:rStyle w:val="Hyperlink"/>
          </w:rPr>
          <w:t xml:space="preserve">[3]</w:t>
        </w:r>
      </w:hyperlink>
      <w:r>
        <w:t xml:space="preserve">.</w:t>
      </w:r>
    </w:p>
    <w:bookmarkEnd w:id="122"/>
    <w:bookmarkStart w:id="123" w:name="Xc006e10f94befd038111a94a96e0c110ff6b4ab"/>
    <w:p>
      <w:pPr>
        <w:pStyle w:val="Heading2"/>
        <w:spacing w:line="480" w:lineRule="auto"/>
      </w:pPr>
      <w:r>
        <w:t xml:space="preserve">What a null would have looked like, and why this is not one</w:t>
      </w:r>
    </w:p>
    <w:p>
      <w:pPr>
        <w:pStyle w:val="FirstParagraph"/>
        <w:spacing w:line="480" w:lineRule="auto"/>
      </w:pPr>
      <w:r>
        <w:t xml:space="preserve">To make the interpretation falsifiable in practice and not just in principle, it pays to say what a genuine null would have looked like against this same design. A null would have shown a cross-sectional model with an adjusted R-squared near zero, all four coefficients carrying p-values comfortably past conventional thresholds, and an age elasticity too faint to tell from zero with a large p-value</w:t>
      </w:r>
      <w:r>
        <w:t xml:space="preserve"> </w:t>
      </w:r>
      <w:hyperlink w:anchor="ref-11">
        <w:r>
          <w:rPr>
            <w:rStyle w:val="Hyperlink"/>
          </w:rPr>
          <w:t xml:space="preserve">[11]</w:t>
        </w:r>
      </w:hyperlink>
      <w:r>
        <w:t xml:space="preserve">. Set against that counterfactual, the actual results are plainly not a null. The age elasticity is large and significant at better than one percent, and the venue coefficient clears five percent. What the results are instead is partial and channel-specific structure, stronger on the accumulation axis than the cross-sectional axis, and tangled with publication mechanics where it runs strongest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intermediate outcome is the most common and most honest result a screen of this kind produces, and the design was built to report it faithfully rather than to force it toward either a triumphant confirmation or a clean null. The corpus around cooperative remediation is neither structureless noise nor a certified emerging regime. A real, growing, partially organized conversation is what it is, one whose measurable structure carries as much information about how the field publishes as about where the field is heading, and reporting exactly that, without inflation and without dismissal, is this chapter’s empirical contribution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23"/>
    <w:bookmarkStart w:id="124" w:name="the-magnitudes-in-substantive-terms"/>
    <w:p>
      <w:pPr>
        <w:pStyle w:val="Heading2"/>
        <w:spacing w:line="480" w:lineRule="auto"/>
      </w:pPr>
      <w:r>
        <w:t xml:space="preserve">The magnitudes in substantive terms</w:t>
      </w:r>
    </w:p>
    <w:p>
      <w:pPr>
        <w:pStyle w:val="FirstParagraph"/>
        <w:spacing w:line="480" w:lineRule="auto"/>
      </w:pPr>
      <w:r>
        <w:t xml:space="preserve">Statistical significance and substantive magnitude are separate questions, and a results chapter owes the reader a reading of the magnitudes in terms the reader can feel. Take the venue coefficient of -0.7181. Across the corpus’s venue ladder from one to three, this coefficient implies a swing of roughly 1.44 points in signal score between a venue-one conference record and a venue-three economic source, holding recency and citation fixed</w:t>
      </w:r>
      <w:r>
        <w:t xml:space="preserve"> </w:t>
      </w:r>
      <w:hyperlink w:anchor="ref-6">
        <w:r>
          <w:rPr>
            <w:rStyle w:val="Hyperlink"/>
          </w:rPr>
          <w:t xml:space="preserve">[6]</w:t>
        </w:r>
      </w:hyperlink>
      <w:r>
        <w:t xml:space="preserve"> </w:t>
      </w:r>
      <w:hyperlink w:anchor="ref-8">
        <w:r>
          <w:rPr>
            <w:rStyle w:val="Hyperlink"/>
          </w:rPr>
          <w:t xml:space="preserve">[8]</w:t>
        </w:r>
      </w:hyperlink>
      <w:r>
        <w:t xml:space="preserve">. Against a signal score that runs only from one to eight and packs between four and six, a swing of 1.44 points is substantial: a meaningful slice of the entire observed range. The venue channel is no statistical curiosity of trivial effect size; it moves the outcome by an amount that matters against the outcome’s own spread. That is why it is the cross-sectional result worth taking seriously, for its precision and for its magnitude alike</w:t>
      </w:r>
      <w:r>
        <w:t xml:space="preserve"> </w:t>
      </w:r>
      <w:hyperlink w:anchor="ref-11">
        <w:r>
          <w:rPr>
            <w:rStyle w:val="Hyperlink"/>
          </w:rPr>
          <w:t xml:space="preserve">[11]</w:t>
        </w:r>
      </w:hyperlink>
      <w:r>
        <w:t xml:space="preserve">, the two properties that together separate a coefficient a reader should build on from one that merely cleared a threshold by luck of the sample and would likely dissolve under a different retrieval of records drawn from the same underlying literature.</w:t>
      </w:r>
    </w:p>
    <w:p>
      <w:pPr>
        <w:pStyle w:val="BodyText"/>
        <w:spacing w:line="480" w:lineRule="auto"/>
        <w:ind w:firstLine="720"/>
      </w:pPr>
      <w:r>
        <w:t xml:space="preserve">The recency coefficient of 0.1379, by contrast, implies a swing of about 1.24 points across the full ten-step recency range, substantively meaningful in magnitude too even as its p-value of 0.0806 leaves its precision uncertain</w:t>
      </w:r>
      <w:r>
        <w:t xml:space="preserve"> </w:t>
      </w:r>
      <w:hyperlink w:anchor="ref-4">
        <w:r>
          <w:rPr>
            <w:rStyle w:val="Hyperlink"/>
          </w:rPr>
          <w:t xml:space="preserve">[4]</w:t>
        </w:r>
      </w:hyperlink>
      <w:r>
        <w:t xml:space="preserve">. This is the small sample’s characteristic situation: an effect of real size the data cannot pin down tightly. The right reading neither writes off the recency channel as null nor asserts it as established, but records that recency appears to move the outcome by a meaningful amount in the called direction while the sample stays too small to confirm the effect at conventional precision. The citation coefficient of 0.0184, across an index-citation range reaching one hundred seven, implies a swing of nearly two points for the most cited record, large in magnitude but resting wholly on the single McKnight outlier and correspondingly fragile</w:t>
      </w:r>
      <w:r>
        <w:t xml:space="preserve"> </w:t>
      </w:r>
      <w:hyperlink w:anchor="ref-9">
        <w:r>
          <w:rPr>
            <w:rStyle w:val="Hyperlink"/>
          </w:rPr>
          <w:t xml:space="preserve">[9]</w:t>
        </w:r>
      </w:hyperlink>
      <w:r>
        <w:t xml:space="preserve">.</w:t>
      </w:r>
    </w:p>
    <w:p>
      <w:pPr>
        <w:pStyle w:val="BodyText"/>
        <w:spacing w:line="480" w:lineRule="auto"/>
        <w:ind w:firstLine="720"/>
      </w:pPr>
      <w:r>
        <w:t xml:space="preserve">For the accumulation model, the progress ratio of 0.4296 is the most intuitive magnitude the chapter offers. It says doubling a document’s age index cuts its citations-plus-one to roughly forty-three percent of the prior value</w:t>
      </w:r>
      <w:r>
        <w:t xml:space="preserve"> </w:t>
      </w:r>
      <w:hyperlink w:anchor="ref-9">
        <w:r>
          <w:rPr>
            <w:rStyle w:val="Hyperlink"/>
          </w:rPr>
          <w:t xml:space="preserve">[9]</w:t>
        </w:r>
      </w:hyperlink>
      <w:r>
        <w:t xml:space="preserve">. Between the youngest records at age two and the oldest at age eleven, several doublings fall, so the model implies a steep decline in indexed attention across the corpus’s age span. That steepness is why the elasticity comes significant at better than one percent in spite of the small sample: the effect is not subtle, and even thirty records pin it tightly. The magnitude, like the significance, is driven by the pairing of old-uncited practitioner records with young-cited archival ones, and its substantive size is a faithful measure of how sharply that pairing splits the corpus by age</w:t>
      </w:r>
      <w:r>
        <w:t xml:space="preserve"> </w:t>
      </w:r>
      <w:hyperlink w:anchor="ref-8">
        <w:r>
          <w:rPr>
            <w:rStyle w:val="Hyperlink"/>
          </w:rPr>
          <w:t xml:space="preserve">[8]</w:t>
        </w:r>
      </w:hyperlink>
      <w:r>
        <w:t xml:space="preserve">.</w:t>
      </w:r>
    </w:p>
    <w:bookmarkEnd w:id="124"/>
    <w:bookmarkStart w:id="125" w:name="summary-of-the-empirical-verdict"/>
    <w:p>
      <w:pPr>
        <w:pStyle w:val="Heading2"/>
        <w:spacing w:line="480" w:lineRule="auto"/>
      </w:pPr>
      <w:r>
        <w:t xml:space="preserve">Summary of the empirical verdict</w:t>
      </w:r>
    </w:p>
    <w:p>
      <w:pPr>
        <w:pStyle w:val="FirstParagraph"/>
        <w:spacing w:line="480" w:lineRule="auto"/>
      </w:pPr>
      <w:r>
        <w:t xml:space="preserve">The empirical verdict can be put compactly for the reader who wants it in one place. On the cross-sectional axis, the model explains a modest share of variation, at an adjusted R-squared of 0.195 and a joint p-value of 0.0965 that clears no conventional significance; among its terms only venue runs precise, and its sign is negative, seating dense topic signal in the specialist conference literature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On the accumulation axis, the age elasticity is -1.2189 with a p-value of 0.000769, a large and precise effect that rejects the null of no age-based structure, though its meaning sits tangled with the corpus’s indexing of conference and policy sources</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two significant terms share a root in the corpus’s block structure, and where the corpus reads most clearly organized, that organization reflects publication and indexing mechanics as much as substantive maturation.</w:t>
      </w:r>
    </w:p>
    <w:p>
      <w:pPr>
        <w:pStyle w:val="BodyText"/>
        <w:spacing w:line="480" w:lineRule="auto"/>
        <w:ind w:firstLine="720"/>
      </w:pPr>
      <w:r>
        <w:t xml:space="preserve">Partial by the honest measure and complete by the design’s measure is what that verdict is. It certifies no emerging regime, and it was never built to. What it certifies is that the corpus is structured, along which channels and how strongly, and precisely where the structure runs substantive and where mechanical. Every number in this chapter is the workbook value, reported as produced, and every interpretation is scoped to what those numbers pin</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25"/>
    <w:bookmarkEnd w:id="126"/>
    <w:bookmarkStart w:id="137" w:name="discussion-and-limitations"/>
    <w:p>
      <w:pPr>
        <w:pStyle w:val="Heading1"/>
        <w:spacing w:line="480" w:lineRule="auto"/>
      </w:pPr>
      <w:r>
        <w:t xml:space="preserve">Discussion and Limitations</w:t>
      </w:r>
    </w:p>
    <w:p>
      <w:pPr>
        <w:pStyle w:val="FirstParagraph"/>
        <w:spacing w:line="480" w:lineRule="auto"/>
      </w:pPr>
      <w:r>
        <w:t xml:space="preserve">Modest are the results of the previous chapter, and this one takes that modesty at its word. It asks what the findings mean for the study of cooperative debris remediation, what they cannot mean, and where the evidence runs fragile. The discipline that ran the analysis runs the discussion too: I read the coefficients for exactly what they carry and no further, and I call out the threats to validity rather than bury them</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Start w:id="127" w:name="what-the-findings-mean"/>
    <w:p>
      <w:pPr>
        <w:pStyle w:val="Heading2"/>
        <w:spacing w:line="480" w:lineRule="auto"/>
      </w:pPr>
      <w:r>
        <w:t xml:space="preserve">What the findings mean</w:t>
      </w:r>
    </w:p>
    <w:p>
      <w:pPr>
        <w:pStyle w:val="FirstParagraph"/>
        <w:spacing w:line="480" w:lineRule="auto"/>
      </w:pPr>
      <w:r>
        <w:t xml:space="preserve">Two results carry the central substantive finding, which holds that the documentary footprint of cooperative remediation is structured, though structured so as to complicate the field’s confident narrative of an emerging regime. Each earns its own statement.</w:t>
      </w:r>
    </w:p>
    <w:p>
      <w:pPr>
        <w:pStyle w:val="BodyText"/>
        <w:spacing w:line="480" w:lineRule="auto"/>
        <w:ind w:firstLine="720"/>
      </w:pPr>
      <w:r>
        <w:t xml:space="preserve">Weigh the venue result, the more interesting of the two. The negative venue coefficient, the one cross-sectional term to clear the five-percent threshold, says the densest topic signal lives in the specialist conference literature rather than the high-register archival and economic venues</w:t>
      </w:r>
      <w:r>
        <w:t xml:space="preserve"> </w:t>
      </w:r>
      <w:hyperlink w:anchor="ref-6">
        <w:r>
          <w:rPr>
            <w:rStyle w:val="Hyperlink"/>
          </w:rPr>
          <w:t xml:space="preserve">[6]</w:t>
        </w:r>
      </w:hyperlink>
      <w:r>
        <w:t xml:space="preserve"> </w:t>
      </w:r>
      <w:hyperlink w:anchor="ref-8">
        <w:r>
          <w:rPr>
            <w:rStyle w:val="Hyperlink"/>
          </w:rPr>
          <w:t xml:space="preserve">[8]</w:t>
        </w:r>
      </w:hyperlink>
      <w:r>
        <w:t xml:space="preserve">. That bears on how one reads claims of institutional emergence. A field can draw voluminous discussion in prestigious venues while those very venues carry none of the dense, specific, operationally grounded engagement that would mark a topic anyone was actually building toward rather than merely gesturing at. In this corpus the operational substance packs where the practitioners write. The wider literature, treating cooperative remediation as one sustainability concern among many, thins its per-record signal to a trace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lesson: venue prestige and topical density are distinct axes, and folding them together, as a naive reading of an</w:t>
      </w:r>
      <w:r>
        <w:t xml:space="preserve"> </w:t>
      </w:r>
      <w:r>
        <w:t xml:space="preserve">“emerging regime”</w:t>
      </w:r>
      <w:r>
        <w:t xml:space="preserve"> </w:t>
      </w:r>
      <w:r>
        <w:t xml:space="preserve">would, misreads where the real engagement sits.</w:t>
      </w:r>
    </w:p>
    <w:p>
      <w:pPr>
        <w:pStyle w:val="BodyText"/>
        <w:spacing w:line="480" w:lineRule="auto"/>
        <w:ind w:firstLine="720"/>
      </w:pPr>
      <w:r>
        <w:t xml:space="preserve">The accumulation result braces the same caution from another side. The strongly negative, precisely estimated age elasticity says citation attention in this corpus falls sharply with document age</w:t>
      </w:r>
      <w:r>
        <w:t xml:space="preserve"> </w:t>
      </w:r>
      <w:hyperlink w:anchor="ref-9">
        <w:r>
          <w:rPr>
            <w:rStyle w:val="Hyperlink"/>
          </w:rPr>
          <w:t xml:space="preserve">[9]</w:t>
        </w:r>
      </w:hyperlink>
      <w:r>
        <w:t xml:space="preserve">. On its face that reads as a vigorous, forward-tilting field. Yet the data chapter’s interpretation is that the elasticity rides substantially on the local index’s refusal to credit conference and policy sources with citations, which parks the older, conference-heavy records at the citation floor while the younger archival articles carry the counts</w:t>
      </w:r>
      <w:r>
        <w:t xml:space="preserve"> </w:t>
      </w:r>
      <w:hyperlink w:anchor="ref-4">
        <w:r>
          <w:rPr>
            <w:rStyle w:val="Hyperlink"/>
          </w:rPr>
          <w:t xml:space="preserve">[4]</w:t>
        </w:r>
      </w:hyperlink>
      <w:r>
        <w:t xml:space="preserve"> </w:t>
      </w:r>
      <w:hyperlink w:anchor="ref-8">
        <w:r>
          <w:rPr>
            <w:rStyle w:val="Hyperlink"/>
          </w:rPr>
          <w:t xml:space="preserve">[8]</w:t>
        </w:r>
      </w:hyperlink>
      <w:r>
        <w:t xml:space="preserve">. Real is the finding as a description of the corpus, and its meaning concerns indexing behavior as much as the intrinsic aging of attention in the field. Read it as evidence that the field’s foundational work is being superseded and you overreach past what the data support.</w:t>
      </w:r>
    </w:p>
    <w:p>
      <w:pPr>
        <w:pStyle w:val="BodyText"/>
        <w:spacing w:line="480" w:lineRule="auto"/>
        <w:ind w:firstLine="720"/>
      </w:pPr>
      <w:r>
        <w:t xml:space="preserve">Put together, the findings carry a single disciplined conclusion. The corpus around cooperative remediation is not noise; it holds recoverable structure along recency, venue, and age. Yet that structure, where it runs strongest, mirrors the mechanics of how the field publishes and gets indexed at least as much as it mirrors the maturation of an institutional consensus. The evidence sits consistent with an active, growing conversation that has begun to organize itself along measurable channels, and it stays a long way short of anything that would certify an emerging regime binding on the actors whose behavior a regime would have to govern</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gap between those two is exactly where the field’s confidence has been running ahead of its proof.</w:t>
      </w:r>
    </w:p>
    <w:bookmarkEnd w:id="127"/>
    <w:bookmarkStart w:id="128" w:name="threats-to-validity"/>
    <w:p>
      <w:pPr>
        <w:pStyle w:val="Heading2"/>
        <w:spacing w:line="480" w:lineRule="auto"/>
      </w:pPr>
      <w:r>
        <w:t xml:space="preserve">Threats to validity</w:t>
      </w:r>
    </w:p>
    <w:p>
      <w:pPr>
        <w:pStyle w:val="FirstParagraph"/>
        <w:spacing w:line="480" w:lineRule="auto"/>
      </w:pPr>
      <w:r>
        <w:t xml:space="preserve">Four threats earn explicit treatment, stretching the rivals named in the theory chapter with what the results now let me add about each.</w:t>
      </w:r>
    </w:p>
    <w:p>
      <w:pPr>
        <w:pStyle w:val="BodyText"/>
        <w:spacing w:line="480" w:lineRule="auto"/>
        <w:ind w:firstLine="720"/>
      </w:pPr>
      <w:r>
        <w:t xml:space="preserve">Source selection weighs heaviest. The corpus is the candidate’s retrieved source collection of thirty records, not a census of the debris-remediation literature</w:t>
      </w:r>
      <w:r>
        <w:t xml:space="preserve"> </w:t>
      </w:r>
      <w:hyperlink w:anchor="ref-4">
        <w:r>
          <w:rPr>
            <w:rStyle w:val="Hyperlink"/>
          </w:rPr>
          <w:t xml:space="preserve">[4]</w:t>
        </w:r>
      </w:hyperlink>
      <w:r>
        <w:t xml:space="preserve">. Every coefficient describes structure in these records, and generalizing to an unretrieved population is an inference the design cannot lock down. A different retrieval, tilted more toward legal scholarship or toward the removal-optimization literature, could shift the venue composition and with it the venue and age coefficients</w:t>
      </w:r>
      <w:r>
        <w:t xml:space="preserve"> </w:t>
      </w:r>
      <w:hyperlink w:anchor="ref-2">
        <w:r>
          <w:rPr>
            <w:rStyle w:val="Hyperlink"/>
          </w:rPr>
          <w:t xml:space="preserve">[2]</w:t>
        </w:r>
      </w:hyperlink>
      <w:r>
        <w:t xml:space="preserve"> </w:t>
      </w:r>
      <w:hyperlink w:anchor="ref-10">
        <w:r>
          <w:rPr>
            <w:rStyle w:val="Hyperlink"/>
          </w:rPr>
          <w:t xml:space="preserve">[10]</w:t>
        </w:r>
      </w:hyperlink>
      <w:r>
        <w:t xml:space="preserve">. The provenance column leaves the corpus inspectable, letting a reader judge the selection first-hand, and yet inspectability is not representativeness, and only the former do I claim.</w:t>
      </w:r>
    </w:p>
    <w:p>
      <w:pPr>
        <w:pStyle w:val="BodyText"/>
        <w:spacing w:line="480" w:lineRule="auto"/>
        <w:ind w:firstLine="720"/>
      </w:pPr>
      <w:r>
        <w:t xml:space="preserve">Proxy measurement comes next. The signal score reads theme-term density, not substantive importance; the venue score reads publication register, not prestige inside a register; the index citations read attention as the local index logs it, not true influence</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venue coefficient, statistically the firmest result, rests on an ordinal coding that packs a heterogeneous space-economy category into a single top code and assumes even spacing between venue steps. A convenience is that assumption, and a finer venue taxonomy could reveal the negative slope to be really a contrast between two specific venue types rather than a smooth gradient</w:t>
      </w:r>
      <w:r>
        <w:t xml:space="preserve"> </w:t>
      </w:r>
      <w:hyperlink w:anchor="ref-11">
        <w:r>
          <w:rPr>
            <w:rStyle w:val="Hyperlink"/>
          </w:rPr>
          <w:t xml:space="preserve">[11]</w:t>
        </w:r>
      </w:hyperlink>
      <w:r>
        <w:t xml:space="preserve">.</w:t>
      </w:r>
    </w:p>
    <w:p>
      <w:pPr>
        <w:pStyle w:val="BodyText"/>
        <w:spacing w:line="480" w:lineRule="auto"/>
        <w:ind w:firstLine="720"/>
      </w:pPr>
      <w:r>
        <w:t xml:space="preserve">Small-sample instability is the third. At thirty records, individual observations carry leverage. The McKnight paper’s one hundred seven indexed citations is a genuine outlier, and it exerts real pull on the age elasticity</w:t>
      </w:r>
      <w:r>
        <w:t xml:space="preserve"> </w:t>
      </w:r>
      <w:hyperlink w:anchor="ref-9">
        <w:r>
          <w:rPr>
            <w:rStyle w:val="Hyperlink"/>
          </w:rPr>
          <w:t xml:space="preserve">[9]</w:t>
        </w:r>
      </w:hyperlink>
      <w:r>
        <w:t xml:space="preserve">. I used robust standard errors precisely because the corpus runs heteroskedastic, and yet robustness to heteroskedasticity is not robustness to influential points, so a sensitivity analysis dropping the most cited records would be a natural next step. The marginal cross-sectional terms, recency at 0.0806 and citations at 0.1007, run especially vulnerable to sample composition, exactly why I declined to lean on them.</w:t>
      </w:r>
    </w:p>
    <w:p>
      <w:pPr>
        <w:pStyle w:val="BodyText"/>
        <w:spacing w:line="480" w:lineRule="auto"/>
        <w:ind w:firstLine="720"/>
      </w:pPr>
      <w:r>
        <w:t xml:space="preserve">Overinterpretation is the fourth, and it threatens the analyst rather than the data. Having turned up one significant venue slope and one significant age elasticity, the pull is to weave them into a confident story about how the field is maturing. The results do not authorize that story. They authorize the claim that the corpus is structured and the observation that the structure sits tangled with publication and indexing mechanics. Holding the line between those two is the discipline the discussion exists to enforce</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28"/>
    <w:bookmarkStart w:id="129" w:name="what-the-data-cannot-show"/>
    <w:p>
      <w:pPr>
        <w:pStyle w:val="Heading2"/>
        <w:spacing w:line="480" w:lineRule="auto"/>
      </w:pPr>
      <w:r>
        <w:t xml:space="preserve">What the data cannot show</w:t>
      </w:r>
    </w:p>
    <w:p>
      <w:pPr>
        <w:pStyle w:val="FirstParagraph"/>
        <w:spacing w:line="480" w:lineRule="auto"/>
      </w:pPr>
      <w:r>
        <w:t xml:space="preserve">Some questions sit wholly outside this design’s reach, and honesty wants them named rather than blurred. Three in particular.</w:t>
      </w:r>
    </w:p>
    <w:p>
      <w:pPr>
        <w:pStyle w:val="BodyText"/>
        <w:spacing w:line="480" w:lineRule="auto"/>
        <w:ind w:firstLine="720"/>
      </w:pPr>
      <w:r>
        <w:t xml:space="preserve">Three things lie wholly past this design, and naming them belongs to an honest accounting.</w:t>
      </w:r>
    </w:p>
    <w:p>
      <w:pPr>
        <w:pStyle w:val="BodyText"/>
        <w:spacing w:line="480" w:lineRule="auto"/>
        <w:ind w:firstLine="720"/>
      </w:pPr>
      <w:r>
        <w:t xml:space="preserve">The data cannot show that any cooperative remediation regime exists, will form, or will bind its participants. Documentary structure is a signature of conversation, not of institutional fact, and no coefficient here speaks to whether states or operators will actually take on remediation obligations</w:t>
      </w:r>
      <w:r>
        <w:t xml:space="preserve"> </w:t>
      </w:r>
      <w:hyperlink w:anchor="ref-2">
        <w:r>
          <w:rPr>
            <w:rStyle w:val="Hyperlink"/>
          </w:rPr>
          <w:t xml:space="preserve">[2]</w:t>
        </w:r>
      </w:hyperlink>
      <w:r>
        <w:t xml:space="preserve"> </w:t>
      </w:r>
      <w:hyperlink w:anchor="ref-15">
        <w:r>
          <w:rPr>
            <w:rStyle w:val="Hyperlink"/>
          </w:rPr>
          <w:t xml:space="preserve">[15]</w:t>
        </w:r>
      </w:hyperlink>
      <w:r>
        <w:t xml:space="preserve">. The stretch between a structured literature and a binding regime is the whole of the governance problem, and this dissertation lights only the near edge of it.</w:t>
      </w:r>
    </w:p>
    <w:p>
      <w:pPr>
        <w:pStyle w:val="BodyText"/>
        <w:spacing w:line="480" w:lineRule="auto"/>
        <w:ind w:firstLine="720"/>
      </w:pPr>
      <w:r>
        <w:t xml:space="preserve">The data cannot show that any particular incentive mechanism is incentive-compatible. The topic under study is precisely the design of rules that make cooperative remediation self-interested, and yet the corpus holds discussion of such mechanisms, not evidence of their performance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Testing incentive compatibility would want operator-level behavioral data under an actual or simulated mechanism, which this design lacks.</w:t>
      </w:r>
    </w:p>
    <w:p>
      <w:pPr>
        <w:pStyle w:val="BodyText"/>
        <w:spacing w:line="480" w:lineRule="auto"/>
        <w:ind w:firstLine="720"/>
      </w:pPr>
      <w:r>
        <w:t xml:space="preserve">The data cannot show causation of any kind. The associations recovered are conditional ties inside a documented corpus, underwritten by reproducibility rather than by exogeneity</w:t>
      </w:r>
      <w:r>
        <w:t xml:space="preserve"> </w:t>
      </w:r>
      <w:hyperlink w:anchor="ref-4">
        <w:r>
          <w:rPr>
            <w:rStyle w:val="Hyperlink"/>
          </w:rPr>
          <w:t xml:space="preserve">[4]</w:t>
        </w:r>
      </w:hyperlink>
      <w:r>
        <w:t xml:space="preserve">. A record’s high signal score does not cause its citations, and its age does not cause its indexing treatment; the model recovers how these co-occur, and co-occurrence inside a retrieved corpus is the ceiling of what a design of this shape can reach.</w:t>
      </w:r>
    </w:p>
    <w:p>
      <w:pPr>
        <w:pStyle w:val="BodyText"/>
        <w:spacing w:line="480" w:lineRule="auto"/>
        <w:ind w:firstLine="720"/>
      </w:pPr>
      <w:r>
        <w:t xml:space="preserve">These limits are no confessions of failure. They are the precise specification of what the next design would have to add: a larger and more representative corpus, a finer venue and influence taxonomy, sensitivity analysis around influential records, and, for the causal questions, behavioral data on operators under real incentive conditions</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present study earns a small, checkable conclusion and marks clearly where the larger conclusions wait on evidence it does not yet hold. That marking is itself a contribution, since it keeps the field from taking a structured conversation for a settled regime</w:t>
      </w:r>
      <w:r>
        <w:t xml:space="preserve"> </w:t>
      </w:r>
      <w:hyperlink w:anchor="ref-11">
        <w:r>
          <w:rPr>
            <w:rStyle w:val="Hyperlink"/>
          </w:rPr>
          <w:t xml:space="preserve">[11]</w:t>
        </w:r>
      </w:hyperlink>
      <w:r>
        <w:t xml:space="preserve">.</w:t>
      </w:r>
    </w:p>
    <w:bookmarkEnd w:id="129"/>
    <w:bookmarkStart w:id="130" w:name="X5eac6631be99b69dfbf65369add4976dae44957"/>
    <w:p>
      <w:pPr>
        <w:pStyle w:val="Heading2"/>
        <w:spacing w:line="480" w:lineRule="auto"/>
      </w:pPr>
      <w:r>
        <w:t xml:space="preserve">Situating the findings against the incentive-design literature</w:t>
      </w:r>
    </w:p>
    <w:p>
      <w:pPr>
        <w:pStyle w:val="FirstParagraph"/>
        <w:spacing w:line="480" w:lineRule="auto"/>
      </w:pPr>
      <w:r>
        <w:t xml:space="preserve">The findings speak, if only glancingly, to the incentive-design agenda that lends the dissertation its title. The topic under study is incentive-compatible cooperative remediation, and the two clearest antecedents are the multi-stakeholder incentive mechanism and the space sustainability rating</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Both take for granted an audience of operators and institutions ready to answer designed incentives, and both sit, in the corpus, as relatively recent and moderately cited archival contributions. The venue and age findings offer a small, sobering note on that agenda. The densest engagement with cooperative remediation lives in the specialist conference literature, where incentive mechanisms get discussed operationally, while the archival venues carrying the incentive-design proposals handle the theme loosely</w:t>
      </w:r>
      <w:r>
        <w:t xml:space="preserve"> </w:t>
      </w:r>
      <w:hyperlink w:anchor="ref-6">
        <w:r>
          <w:rPr>
            <w:rStyle w:val="Hyperlink"/>
          </w:rPr>
          <w:t xml:space="preserve">[6]</w:t>
        </w:r>
      </w:hyperlink>
      <w:r>
        <w:t xml:space="preserve"> </w:t>
      </w:r>
      <w:hyperlink w:anchor="ref-8">
        <w:r>
          <w:rPr>
            <w:rStyle w:val="Hyperlink"/>
          </w:rPr>
          <w:t xml:space="preserve">[8]</w:t>
        </w:r>
      </w:hyperlink>
      <w:r>
        <w:t xml:space="preserve">. That does not undercut the proposals, and it does suggest the incentive-design conversation and the operational-engagement conversation are running in partly separate venues, a structural fact worth the field’s attention if the two are ever to feed each other.</w:t>
      </w:r>
    </w:p>
    <w:p>
      <w:pPr>
        <w:pStyle w:val="BodyText"/>
        <w:spacing w:line="480" w:lineRule="auto"/>
        <w:ind w:firstLine="720"/>
      </w:pPr>
      <w:r>
        <w:t xml:space="preserve">A further, more cautious inference follows. The strongly negative age elasticity, riding on the pairing of old-uncited practitioner work with young-cited archival work, hints that the field’s citation economy rewards the archival and quantitative contributions while leaving the practitioner and policy record uncredited</w:t>
      </w:r>
      <w:r>
        <w:t xml:space="preserve"> </w:t>
      </w:r>
      <w:hyperlink w:anchor="ref-4">
        <w:r>
          <w:rPr>
            <w:rStyle w:val="Hyperlink"/>
          </w:rPr>
          <w:t xml:space="preserve">[4]</w:t>
        </w:r>
      </w:hyperlink>
      <w:r>
        <w:t xml:space="preserve"> </w:t>
      </w:r>
      <w:hyperlink w:anchor="ref-9">
        <w:r>
          <w:rPr>
            <w:rStyle w:val="Hyperlink"/>
          </w:rPr>
          <w:t xml:space="preserve">[9]</w:t>
        </w:r>
      </w:hyperlink>
      <w:r>
        <w:t xml:space="preserve">. If incentive design is to be grounded in operational reality, the operational literature needs to read as legible to the citation economy that shapes which work gets built on. The finding is a small piece of evidence that it currently does not, and that is a governance-relevant note on how the field sorts its own knowledge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30"/>
    <w:bookmarkStart w:id="131" w:name="X16f64399b12fcea5230689c3564b9da78f83259"/>
    <w:p>
      <w:pPr>
        <w:pStyle w:val="Heading2"/>
        <w:spacing w:line="480" w:lineRule="auto"/>
      </w:pPr>
      <w:r>
        <w:t xml:space="preserve">The danger of confirmation in a field that wants good news</w:t>
      </w:r>
    </w:p>
    <w:p>
      <w:pPr>
        <w:pStyle w:val="FirstParagraph"/>
        <w:spacing w:line="480" w:lineRule="auto"/>
      </w:pPr>
      <w:r>
        <w:t xml:space="preserve">A discussion of limitations would run incomplete without naming the sociological threat hanging over all research in this domain. Debris remediation is a field that wants good news. Its participants believe, often rightly, that the environment is decaying and that cooperative action is urgent, so they come predisposed to read any signal of an emerging regime as confirmation the action they favor is on its way</w:t>
      </w:r>
      <w:r>
        <w:t xml:space="preserve"> </w:t>
      </w:r>
      <w:hyperlink w:anchor="ref-1">
        <w:r>
          <w:rPr>
            <w:rStyle w:val="Hyperlink"/>
          </w:rPr>
          <w:t xml:space="preserve">[1]</w:t>
        </w:r>
      </w:hyperlink>
      <w:r>
        <w:t xml:space="preserve"> </w:t>
      </w:r>
      <w:hyperlink w:anchor="ref-3">
        <w:r>
          <w:rPr>
            <w:rStyle w:val="Hyperlink"/>
          </w:rPr>
          <w:t xml:space="preserve">[3]</w:t>
        </w:r>
      </w:hyperlink>
      <w:r>
        <w:t xml:space="preserve">. Hope is a hazard here. This predisposition threatens validity in a different key than the statistical threats, since it works on the analyst rather than on the data. An analyst sharing the field’s hopes will feel the pull to read the significant age elasticity as vigor, the recency coefficient as momentum, and the whole corpus as a regime coalescing.</w:t>
      </w:r>
    </w:p>
    <w:p>
      <w:pPr>
        <w:pStyle w:val="BodyText"/>
        <w:spacing w:line="480" w:lineRule="auto"/>
        <w:ind w:firstLine="720"/>
      </w:pPr>
      <w:r>
        <w:t xml:space="preserve">The design’s guards against this threat are the pre-specified models, the primacy of whole-model fit over cherry-picked terms, and the explicit counterfactual of what a null would have looked like</w:t>
      </w:r>
      <w:r>
        <w:t xml:space="preserve"> </w:t>
      </w:r>
      <w:hyperlink w:anchor="ref-11">
        <w:r>
          <w:rPr>
            <w:rStyle w:val="Hyperlink"/>
          </w:rPr>
          <w:t xml:space="preserve">[11]</w:t>
        </w:r>
      </w:hyperlink>
      <w:r>
        <w:t xml:space="preserve">. Yet the deepest guard is interpretive: the discussion holds to reading the two significant terms as tangled with publication mechanics rather than as unalloyed evidence of substantive maturation. That reading sits less satisfying to a field that wants good news, which is precisely why it is likelier to be right. A limitations chapter that only catalogued statistical threats while passing over the analyst’s own incentives would miss the threat most apt to distort a study in this domain</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31"/>
    <w:bookmarkStart w:id="132" w:name="what-would-change-the-conclusion"/>
    <w:p>
      <w:pPr>
        <w:pStyle w:val="Heading2"/>
        <w:spacing w:line="480" w:lineRule="auto"/>
      </w:pPr>
      <w:r>
        <w:t xml:space="preserve">What would change the conclusion</w:t>
      </w:r>
    </w:p>
    <w:p>
      <w:pPr>
        <w:pStyle w:val="FirstParagraph"/>
        <w:spacing w:line="480" w:lineRule="auto"/>
      </w:pPr>
      <w:r>
        <w:t xml:space="preserve">It pays, as a discipline, to say what evidence would overturn the dissertation’s cautious reading, since a conclusion nothing could change is no scientific conclusion. Three findings would push toward a stronger claim of an emerging regime. A larger, venue-balanced corpus in which recency and citation both cleared conventional significance in the cross-section, rather than sitting at the margins, would mark topic salience as organized by activity and attention independently of venue mechanics</w:t>
      </w:r>
      <w:r>
        <w:t xml:space="preserve"> </w:t>
      </w:r>
      <w:hyperlink w:anchor="ref-11">
        <w:r>
          <w:rPr>
            <w:rStyle w:val="Hyperlink"/>
          </w:rPr>
          <w:t xml:space="preserve">[11]</w:t>
        </w:r>
      </w:hyperlink>
      <w:r>
        <w:t xml:space="preserve">. An age elasticity that held strongly signed after the most cited records were dropped and after conference and policy sources were credited with a universal citation source would mark the accumulation structure as reflecting genuine attention dynamics rather than indexing artifacts</w:t>
      </w:r>
      <w:r>
        <w:t xml:space="preserve"> </w:t>
      </w:r>
      <w:hyperlink w:anchor="ref-8">
        <w:r>
          <w:rPr>
            <w:rStyle w:val="Hyperlink"/>
          </w:rPr>
          <w:t xml:space="preserve">[8]</w:t>
        </w:r>
      </w:hyperlink>
      <w:r>
        <w:t xml:space="preserve"> </w:t>
      </w:r>
      <w:hyperlink w:anchor="ref-9">
        <w:r>
          <w:rPr>
            <w:rStyle w:val="Hyperlink"/>
          </w:rPr>
          <w:t xml:space="preserve">[9]</w:t>
        </w:r>
      </w:hyperlink>
      <w:r>
        <w:t xml:space="preserve">. And a venue coefficient that flipped sign under a finer venue taxonomy, showing topic density migrating toward archival and economic venues, would mark the institutional maturation the naive theory called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None of these sits in the current evidence, which is why the current conclusion runs cautious. Yet each is a concrete, obtainable test, and specifying them is what makes the dissertation’s caution provisional rather than permanent. The claim is not that cooperative remediation is failing to emerge as an institutional regime. The claim is that today’s documentary evidence does not yet show that emergence at the strength the field’s rhetoric assumes, and that specific, feasible further evidence could move the assessment either way</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132"/>
    <w:bookmarkStart w:id="133" w:name="Xa62289de4d88d2b83ce1db91edf39c9448c4e7e"/>
    <w:p>
      <w:pPr>
        <w:pStyle w:val="Heading2"/>
        <w:spacing w:line="480" w:lineRule="auto"/>
      </w:pPr>
      <w:r>
        <w:t xml:space="preserve">Comparison with the discourse-network finding</w:t>
      </w:r>
    </w:p>
    <w:p>
      <w:pPr>
        <w:pStyle w:val="FirstParagraph"/>
        <w:spacing w:line="480" w:lineRule="auto"/>
      </w:pPr>
      <w:r>
        <w:t xml:space="preserve">It instructs to set this dissertation’s result beside the nearest prior work, the discourse-network analysis of the emerging debris regime, since the two reach compatible conclusions by different routes and the comparison sharpens both</w:t>
      </w:r>
      <w:r>
        <w:t xml:space="preserve"> </w:t>
      </w:r>
      <w:hyperlink w:anchor="ref-11">
        <w:r>
          <w:rPr>
            <w:rStyle w:val="Hyperlink"/>
          </w:rPr>
          <w:t xml:space="preserve">[11]</w:t>
        </w:r>
      </w:hyperlink>
      <w:r>
        <w:t xml:space="preserve">. That prior work turned up a mappable socio-technical regime with identifiable actors and frames, evidence that the debris conversation has cohered enough to hold structure. This dissertation turns up a corpus patterned along recency, venue, and age, which fits: a conversation with a mappable actor-frame network should also show documentary structure. The two results agree that the debris conversation is more than scattered commentary.</w:t>
      </w:r>
    </w:p>
    <w:p>
      <w:pPr>
        <w:pStyle w:val="BodyText"/>
        <w:spacing w:line="480" w:lineRule="auto"/>
        <w:ind w:firstLine="720"/>
      </w:pPr>
      <w:r>
        <w:t xml:space="preserve">But this dissertation adds a caution the network analysis could not supply, since the two methods see different things. A network map shows that a structure exists; it does not tell substantive structure from structure thrown up by publication mechanics. The regression, breaking the structure into channels and reading the venue and age results against the corpus’s block composition, reveals the strongest structure tangled with how the field publishes and gets indexed</w:t>
      </w:r>
      <w:r>
        <w:t xml:space="preserve"> </w:t>
      </w:r>
      <w:hyperlink w:anchor="ref-4">
        <w:r>
          <w:rPr>
            <w:rStyle w:val="Hyperlink"/>
          </w:rPr>
          <w:t xml:space="preserve">[4]</w:t>
        </w:r>
      </w:hyperlink>
      <w:r>
        <w:t xml:space="preserve"> </w:t>
      </w:r>
      <w:hyperlink w:anchor="ref-8">
        <w:r>
          <w:rPr>
            <w:rStyle w:val="Hyperlink"/>
          </w:rPr>
          <w:t xml:space="preserve">[8]</w:t>
        </w:r>
      </w:hyperlink>
      <w:r>
        <w:t xml:space="preserve">. Not a contradiction of the network finding is this but a refinement of it: the regime is real and structured, and part of what makes it look structured is the mechanics of its own literature. The comparison shows the worth of pairing methods. Network analysis settles that structure exists; regression on documentary features settles what kind of structure it is and how much of it runs substantive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and the pairing is stronger than either method alone precisely because the second answers the question the first is not built to raise, which is whether the structure a map reveals is a fact about the field or a fact about the machinery of its literature.</w:t>
      </w:r>
    </w:p>
    <w:bookmarkEnd w:id="133"/>
    <w:bookmarkStart w:id="134" w:name="the-limits-as-a-research-specification"/>
    <w:p>
      <w:pPr>
        <w:pStyle w:val="Heading2"/>
        <w:spacing w:line="480" w:lineRule="auto"/>
      </w:pPr>
      <w:r>
        <w:t xml:space="preserve">The limits as a research specification</w:t>
      </w:r>
    </w:p>
    <w:p>
      <w:pPr>
        <w:pStyle w:val="FirstParagraph"/>
        <w:spacing w:line="480" w:lineRule="auto"/>
      </w:pPr>
      <w:r>
        <w:t xml:space="preserve">The catalog of limits in this chapter is no apology; read right, it is a specification for the next study, and it repays converting into that form outright. Source-selection limits turn into a demand for a larger, venue-balanced corpus assembled by a documented retrieval protocol rather than a single candidate’s source collection</w:t>
      </w:r>
      <w:r>
        <w:t xml:space="preserve"> </w:t>
      </w:r>
      <w:hyperlink w:anchor="ref-2">
        <w:r>
          <w:rPr>
            <w:rStyle w:val="Hyperlink"/>
          </w:rPr>
          <w:t xml:space="preserve">[2]</w:t>
        </w:r>
      </w:hyperlink>
      <w:r>
        <w:t xml:space="preserve"> </w:t>
      </w:r>
      <w:hyperlink w:anchor="ref-10">
        <w:r>
          <w:rPr>
            <w:rStyle w:val="Hyperlink"/>
          </w:rPr>
          <w:t xml:space="preserve">[10]</w:t>
        </w:r>
      </w:hyperlink>
      <w:r>
        <w:t xml:space="preserve">. Proxy-measurement limits turn into a demand for a finer venue taxonomy that splits register from prestige and for a universal citation source that credits conference and policy work</w:t>
      </w:r>
      <w:r>
        <w:t xml:space="preserve"> </w:t>
      </w:r>
      <w:hyperlink w:anchor="ref-8">
        <w:r>
          <w:rPr>
            <w:rStyle w:val="Hyperlink"/>
          </w:rPr>
          <w:t xml:space="preserve">[8]</w:t>
        </w:r>
      </w:hyperlink>
      <w:r>
        <w:t xml:space="preserve">. Small-sample limits turn into a demand for records enough to bear sensitivity analysis and to resolve the marginal recency and citation channels this sample leaves suggestive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Causal limits turn into a demand for operator-level behavioral data under an actual or simulated incentive mechanism, the only path to testing incentive compatibility rather than watching it get discussed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Put this way, the limitations chapter turns into the most forward-looking part of the dissertation rather than its most defensive. Each limit names a concrete, obtainable improvement, and the improvements together sketch a research program a later study could run in sequence. This is the sense in which an honest accounting of what a study cannot do is a contribution: it hands the next researcher a specification rather than leaving them to rediscover the boundaries by trial. The present study lays the baseline and marks the edges; the specification of how to move past those edges is part of what the baseline delivers</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34"/>
    <w:bookmarkStart w:id="135" w:name="X12c0651bf3488b1cbbdae370ec5753984c8d5c9"/>
    <w:p>
      <w:pPr>
        <w:pStyle w:val="Heading2"/>
        <w:spacing w:line="480" w:lineRule="auto"/>
      </w:pPr>
      <w:r>
        <w:t xml:space="preserve">Generalizability and the boundary of inference</w:t>
      </w:r>
    </w:p>
    <w:p>
      <w:pPr>
        <w:pStyle w:val="FirstParagraph"/>
        <w:spacing w:line="480" w:lineRule="auto"/>
      </w:pPr>
      <w:r>
        <w:t xml:space="preserve">The most seductive error open to a reader of this dissertation would be to generalize its coefficients past the corpus that threw them, and the discussion should meet that pull head-on. The venue coefficient describes a gradient inside these thirty records; it does not establish that specialist conference literature everywhere carries denser topic signal than archival venues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The age elasticity describes attention dynamics inside this corpus’s particular pairing of old-uncited and young-cited records; it does not establish a universal law of citation aging in debris studies or anywhere else</w:t>
      </w:r>
      <w:r>
        <w:t xml:space="preserve"> </w:t>
      </w:r>
      <w:hyperlink w:anchor="ref-9">
        <w:r>
          <w:rPr>
            <w:rStyle w:val="Hyperlink"/>
          </w:rPr>
          <w:t xml:space="preserve">[9]</w:t>
        </w:r>
      </w:hyperlink>
      <w:r>
        <w:t xml:space="preserve">. The corpus is the boundary of inference, and the design earns its conclusions precisely by keeping to that boundary rather than leaping past it.</w:t>
      </w:r>
    </w:p>
    <w:p>
      <w:pPr>
        <w:pStyle w:val="BodyText"/>
        <w:spacing w:line="480" w:lineRule="auto"/>
        <w:ind w:firstLine="720"/>
      </w:pPr>
      <w:r>
        <w:t xml:space="preserve">Not a weakness peculiar to this study is this; it is the honest condition of any analysis of a retrieved, non-random sample</w:t>
      </w:r>
      <w:r>
        <w:t xml:space="preserve"> </w:t>
      </w:r>
      <w:hyperlink w:anchor="ref-4">
        <w:r>
          <w:rPr>
            <w:rStyle w:val="Hyperlink"/>
          </w:rPr>
          <w:t xml:space="preserve">[4]</w:t>
        </w:r>
      </w:hyperlink>
      <w:r>
        <w:t xml:space="preserve">. What sets the dissertation apart is that it names the boundary rather than blurring it. A great deal of governance analysis quietly generalizes from a convenient sample to a confident claim about the whole field, and the quiet generalization is where unearned confidence slips in. By scoping every conclusion to the retained corpus and keeping the provenance that leaves the corpus inspectable, the design holds the boundary in view, so a reader who wishes to generalize must do it explicitly and at their own risk rather than get led into it by the prose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35"/>
    <w:bookmarkStart w:id="136" w:name="X823872aa19fdd9123df7076a6897f23e59cf156"/>
    <w:p>
      <w:pPr>
        <w:pStyle w:val="Heading2"/>
        <w:spacing w:line="480" w:lineRule="auto"/>
      </w:pPr>
      <w:r>
        <w:t xml:space="preserve">The value of a negative-leaning honest result</w:t>
      </w:r>
    </w:p>
    <w:p>
      <w:pPr>
        <w:pStyle w:val="FirstParagraph"/>
        <w:spacing w:line="480" w:lineRule="auto"/>
      </w:pPr>
      <w:r>
        <w:t xml:space="preserve">There is a pull, in a field hungry for progress, to regard a hedged and partly mechanical result as a disappointment, and the discussion should argue against that reflex, since the reflex is itself a threat to the field’s health. A result saying the corpus is structured but that its strongest structure mirrors publication mechanics is worth more to the field than a result confidently announcing an emerging regime, for a plain reason: it is likelier true, and a field steered by true modest findings will decide better than a field steered by false confident ones</w:t>
      </w:r>
      <w:r>
        <w:t xml:space="preserve"> </w:t>
      </w:r>
      <w:hyperlink w:anchor="ref-3">
        <w:r>
          <w:rPr>
            <w:rStyle w:val="Hyperlink"/>
          </w:rPr>
          <w:t xml:space="preserve">[3]</w:t>
        </w:r>
      </w:hyperlink>
      <w:r>
        <w:t xml:space="preserve">. The hedged result shields program offices from investing in a regime that has not formed, shields analysts from citing an emergence nobody has shown, and shields the incentive-design agenda from resting on a presumed audience that may not yet exist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deeper argument is about the epistemic culture of space governance. A field learns to trust its evidence only by throwing off evidence that sometimes disappoints its hopes, since a body of findings that always confirms what the field wanted is a body no one should trust</w:t>
      </w:r>
      <w:r>
        <w:t xml:space="preserve"> </w:t>
      </w:r>
      <w:hyperlink w:anchor="ref-11">
        <w:r>
          <w:rPr>
            <w:rStyle w:val="Hyperlink"/>
          </w:rPr>
          <w:t xml:space="preserve">[11]</w:t>
        </w:r>
      </w:hyperlink>
      <w:r>
        <w:t xml:space="preserve">. This dissertation hands one honest, partly disappointing result to a field that needs more of them. Its readiness to report the strongest structure in the corpus as tangled with indexing, rather than dress that structure as substantive maturation, is the specific act of intellectual honesty the field’s characteristic failure mode most wants. The limitations are real, and the result is hedged, and both of those facts, far from being defects a more assertive study would have avoided, are the deliberate features of a design that set out from the start to earn whatever confidence it ends with rather than to borrow that confidence from the field’s mood and assert it as though the assertion were a finding</w:t>
      </w:r>
      <w:r>
        <w:t xml:space="preserve"> </w:t>
      </w:r>
      <w:hyperlink w:anchor="ref-1">
        <w:r>
          <w:rPr>
            <w:rStyle w:val="Hyperlink"/>
          </w:rPr>
          <w:t xml:space="preserve">[1]</w:t>
        </w:r>
      </w:hyperlink>
      <w:r>
        <w:t xml:space="preserve"> </w:t>
      </w:r>
      <w:hyperlink w:anchor="ref-9">
        <w:r>
          <w:rPr>
            <w:rStyle w:val="Hyperlink"/>
          </w:rPr>
          <w:t xml:space="preserve">[9]</w:t>
        </w:r>
      </w:hyperlink>
      <w:r>
        <w:t xml:space="preserve">. A study earns trust by being able to disappoint.</w:t>
      </w:r>
    </w:p>
    <w:bookmarkEnd w:id="136"/>
    <w:bookmarkEnd w:id="137"/>
    <w:bookmarkStart w:id="177"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turn a plausible but untested hunch about cooperative debris remediation into a claim that could be checked. The hunch was that an institutional focus is forming around incentive-compatible cooperative remediation, and that its forming should leave a measurable trace in the documentary record. This chapter says what actually got established, what it implies for debris governance and program decisions, and what the next design should chase. Throughout, the conclusions stay inside what the evidence carries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Start w:id="138" w:name="what-was-established"/>
    <w:p>
      <w:pPr>
        <w:pStyle w:val="Heading2"/>
        <w:spacing w:line="480" w:lineRule="auto"/>
      </w:pPr>
      <w:r>
        <w:t xml:space="preserve">What was established</w:t>
      </w:r>
    </w:p>
    <w:p>
      <w:pPr>
        <w:pStyle w:val="FirstParagraph"/>
        <w:spacing w:line="480" w:lineRule="auto"/>
      </w:pPr>
      <w:r>
        <w:t xml:space="preserve">The falsifiable contribution was a single hypothesis pair: that the topic-signal intensity of source records, and the citation attention those records command, are structured against recency, venue, and age rather than scattered at random. Two models tested it, and the verdict runs partial and precise.</w:t>
      </w:r>
    </w:p>
    <w:p>
      <w:pPr>
        <w:pStyle w:val="BodyText"/>
        <w:spacing w:line="480" w:lineRule="auto"/>
        <w:ind w:firstLine="720"/>
      </w:pPr>
      <w:r>
        <w:t xml:space="preserve">Modest structure is what the cross-sectional model turned up. Across thirty records the three predictors together explained about twenty-eight percent of the variation in topic-signal score, at a joint p-value of 0.0965 that falls short of conventional significance. Recency and citation pointed the called positive direction but only suggestively, at the margins of significance. The venue channel delivered the one firm slope, and it ran negative: the densest topic signal packs into the specialist conference literature rather than the high-register archival and economic venues</w:t>
      </w:r>
      <w:r>
        <w:t xml:space="preserve"> </w:t>
      </w:r>
      <w:hyperlink w:anchor="ref-6">
        <w:r>
          <w:rPr>
            <w:rStyle w:val="Hyperlink"/>
          </w:rPr>
          <w:t xml:space="preserve">[6]</w:t>
        </w:r>
      </w:hyperlink>
      <w:r>
        <w:t xml:space="preserve"> </w:t>
      </w:r>
      <w:hyperlink w:anchor="ref-8">
        <w:r>
          <w:rPr>
            <w:rStyle w:val="Hyperlink"/>
          </w:rPr>
          <w:t xml:space="preserve">[8]</w:t>
        </w:r>
      </w:hyperlink>
      <w:r>
        <w:t xml:space="preserve">. Stronger structure is what the accumulation model turned up. Its age elasticity of citation attention came to -1.2189, precisely estimated, rejecting the null of no age-based structure at better than the one-percent level, with an implied progress ratio near 0.43</w:t>
      </w:r>
      <w:r>
        <w:t xml:space="preserve"> </w:t>
      </w:r>
      <w:hyperlink w:anchor="ref-9">
        <w:r>
          <w:rPr>
            <w:rStyle w:val="Hyperlink"/>
          </w:rPr>
          <w:t xml:space="preserve">[9]</w:t>
        </w:r>
      </w:hyperlink>
      <w:r>
        <w:t xml:space="preserve">. So the corpus is not structureless. Its structure is real, it is specific to particular channels rather than spread evenly across all of them, and, where it runs strongest, it comes tangled up with the plain mechanics of how this field publishes its work and how a local index decides which of that work to credit with citations at all. That tangling is the whole caveat.</w:t>
      </w:r>
    </w:p>
    <w:p>
      <w:pPr>
        <w:pStyle w:val="BodyText"/>
        <w:spacing w:line="480" w:lineRule="auto"/>
        <w:ind w:firstLine="720"/>
      </w:pPr>
      <w:r>
        <w:t xml:space="preserve">Here is the honest one-sentence summary: the documentary footprint of cooperative remediation carries recoverable structure, and that structure fits an active and growing conversation rather than a certified, binding regime</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null fell on the accumulation axis and only marginally on the cross-sectional axis, and even the rejections carry interpretive caveats about indexing and venue mechanics. Smaller than the field’s rhetoric often asserts is that conclusion, and it is exactly the conclusion the evidence will bear.</w:t>
      </w:r>
    </w:p>
    <w:bookmarkEnd w:id="138"/>
    <w:bookmarkStart w:id="139" w:name="the-contribution"/>
    <w:p>
      <w:pPr>
        <w:pStyle w:val="Heading2"/>
        <w:spacing w:line="480" w:lineRule="auto"/>
      </w:pPr>
      <w:r>
        <w:t xml:space="preserve">The contribution</w:t>
      </w:r>
    </w:p>
    <w:p>
      <w:pPr>
        <w:pStyle w:val="FirstParagraph"/>
        <w:spacing w:line="480" w:lineRule="auto"/>
      </w:pPr>
      <w:r>
        <w:t xml:space="preserve">Two kinds of contribution follow, substantive and methodological. Substantively, the dissertation pins where engagement with cooperative remediation runs densest, and the answer, the conference literature over the high-prestige venues, corrects the assumption that institutional seriousness tracks venue prestige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It also shows that apparent vigor in citation dynamics can be an artifact of indexing rather than a mark of intellectual renewal, a caution the field wants as it reads its own growth</w:t>
      </w:r>
      <w:r>
        <w:t xml:space="preserve"> </w:t>
      </w:r>
      <w:hyperlink w:anchor="ref-4">
        <w:r>
          <w:rPr>
            <w:rStyle w:val="Hyperlink"/>
          </w:rPr>
          <w:t xml:space="preserve">[4]</w:t>
        </w:r>
      </w:hyperlink>
      <w:r>
        <w:t xml:space="preserve">.</w:t>
      </w:r>
    </w:p>
    <w:p>
      <w:pPr>
        <w:pStyle w:val="BodyText"/>
        <w:spacing w:line="480" w:lineRule="auto"/>
        <w:ind w:firstLine="720"/>
      </w:pPr>
      <w:r>
        <w:t xml:space="preserve">Methodologically, the contribution is a fully inspectable chain from source record to coefficient. Every variable gets built by a deterministic rule from observable metadata; every row keeps its provenance; every estimate gets reported with robust standard errors and read for exactly what it carries. In a field given to unfalsifiable narrative about emerging norms, a design a skeptic can walk end to end, and that takes a null result as a genuine finding, is a template worth holding</w:t>
      </w:r>
      <w:r>
        <w:t xml:space="preserve"> </w:t>
      </w:r>
      <w:hyperlink w:anchor="ref-3">
        <w:r>
          <w:rPr>
            <w:rStyle w:val="Hyperlink"/>
          </w:rPr>
          <w:t xml:space="preserve">[3]</w:t>
        </w:r>
      </w:hyperlink>
      <w:r>
        <w:t xml:space="preserve">. The dissertation shows that a governance claim about debris can be made testable without feigning a causal certainty the data cannot deliver.</w:t>
      </w:r>
    </w:p>
    <w:bookmarkEnd w:id="139"/>
    <w:bookmarkStart w:id="140" w:name="implications-for-governance-and-programs"/>
    <w:p>
      <w:pPr>
        <w:pStyle w:val="Heading2"/>
        <w:spacing w:line="480" w:lineRule="auto"/>
      </w:pPr>
      <w:r>
        <w:t xml:space="preserve">Implications for governance and programs</w:t>
      </w:r>
    </w:p>
    <w:p>
      <w:pPr>
        <w:pStyle w:val="FirstParagraph"/>
        <w:spacing w:line="480" w:lineRule="auto"/>
      </w:pPr>
      <w:r>
        <w:t xml:space="preserve">The implications fall straight out of the findings’ modesty, and they run practical rather than grand.</w:t>
      </w:r>
    </w:p>
    <w:p>
      <w:pPr>
        <w:pStyle w:val="BodyText"/>
        <w:spacing w:line="480" w:lineRule="auto"/>
        <w:ind w:firstLine="720"/>
      </w:pPr>
      <w:r>
        <w:t xml:space="preserve">For agencies and operators weighing investment in remediation architectures, the finding counsels calibrated patience. The documentary evidence fits a maturing conversation without certifying a binding cooperative regime</w:t>
      </w:r>
      <w:r>
        <w:t xml:space="preserve"> </w:t>
      </w:r>
      <w:hyperlink w:anchor="ref-2">
        <w:r>
          <w:rPr>
            <w:rStyle w:val="Hyperlink"/>
          </w:rPr>
          <w:t xml:space="preserve">[2]</w:t>
        </w:r>
      </w:hyperlink>
      <w:r>
        <w:t xml:space="preserve"> </w:t>
      </w:r>
      <w:hyperlink w:anchor="ref-15">
        <w:r>
          <w:rPr>
            <w:rStyle w:val="Hyperlink"/>
          </w:rPr>
          <w:t xml:space="preserve">[15]</w:t>
        </w:r>
      </w:hyperlink>
      <w:r>
        <w:t xml:space="preserve">. Investment premised on the near-term arrival of shared remediation obligations is therefore a wager on a regime the evidence does not yet show to have formed. The prudent posture is to lay the technical and analytic groundwork, target selection, criticality ranking, cooperative tracking, that a future regime would want</w:t>
      </w:r>
      <w:r>
        <w:t xml:space="preserve"> </w:t>
      </w:r>
      <w:hyperlink w:anchor="ref-4">
        <w:r>
          <w:rPr>
            <w:rStyle w:val="Hyperlink"/>
          </w:rPr>
          <w:t xml:space="preserve">[4]</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while holding the regime itself as a hypothesis still under test rather than a scheduled event.</w:t>
      </w:r>
    </w:p>
    <w:p>
      <w:pPr>
        <w:pStyle w:val="BodyText"/>
        <w:spacing w:line="480" w:lineRule="auto"/>
        <w:ind w:firstLine="720"/>
      </w:pPr>
      <w:r>
        <w:t xml:space="preserve">For the incentive-design agenda specifically, the results drive home that the hard problem stays unaddressed by the documentary record. Proposals for incentive-based collaboration mechanisms and for sustainability ratings that reward good conduct sit in the corpus and point the right way</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Yet their presence in the literature is no evidence of their performance, and this dissertation’s design cannot speak to whether any of them would actually make cooperation self-interested. Governance actors should read the literature’s enthusiasm for these mechanisms as a research agenda, not a demonstrated solution.</w:t>
      </w:r>
    </w:p>
    <w:p>
      <w:pPr>
        <w:pStyle w:val="BodyText"/>
        <w:spacing w:line="480" w:lineRule="auto"/>
        <w:ind w:firstLine="720"/>
      </w:pPr>
      <w:r>
        <w:t xml:space="preserve">For the analytic community that studies debris governance, the venue result offers a concrete methodological instruction. Reading the field off its most prestigious venues will systematically understate where the dense operational engagement lives</w:t>
      </w:r>
      <w:r>
        <w:t xml:space="preserve"> </w:t>
      </w:r>
      <w:hyperlink w:anchor="ref-6">
        <w:r>
          <w:rPr>
            <w:rStyle w:val="Hyperlink"/>
          </w:rPr>
          <w:t xml:space="preserve">[6]</w:t>
        </w:r>
      </w:hyperlink>
      <w:r>
        <w:t xml:space="preserve"> </w:t>
      </w:r>
      <w:hyperlink w:anchor="ref-8">
        <w:r>
          <w:rPr>
            <w:rStyle w:val="Hyperlink"/>
          </w:rPr>
          <w:t xml:space="preserve">[8]</w:t>
        </w:r>
      </w:hyperlink>
      <w:r>
        <w:t xml:space="preserve">. Anyone assembling a picture of the state of cooperative remediation should weight the specialist conference literature to match, and should take citation counts drawn from any single index with awareness of what that index does and does not credit</w:t>
      </w:r>
      <w:r>
        <w:t xml:space="preserve"> </w:t>
      </w:r>
      <w:hyperlink w:anchor="ref-4">
        <w:r>
          <w:rPr>
            <w:rStyle w:val="Hyperlink"/>
          </w:rPr>
          <w:t xml:space="preserve">[4]</w:t>
        </w:r>
      </w:hyperlink>
      <w:r>
        <w:t xml:space="preserve">.</w:t>
      </w:r>
    </w:p>
    <w:bookmarkEnd w:id="140"/>
    <w:bookmarkStart w:id="141" w:name="future-work"/>
    <w:p>
      <w:pPr>
        <w:pStyle w:val="Heading2"/>
        <w:spacing w:line="480" w:lineRule="auto"/>
      </w:pPr>
      <w:r>
        <w:t xml:space="preserve">Future work</w:t>
      </w:r>
    </w:p>
    <w:p>
      <w:pPr>
        <w:pStyle w:val="FirstParagraph"/>
        <w:spacing w:line="480" w:lineRule="auto"/>
      </w:pPr>
      <w:r>
        <w:t xml:space="preserve">Where this study stops, the next one starts, and its shape is already legible. Four extensions stand out.</w:t>
      </w:r>
    </w:p>
    <w:p>
      <w:pPr>
        <w:pStyle w:val="BodyText"/>
        <w:spacing w:line="480" w:lineRule="auto"/>
        <w:ind w:firstLine="720"/>
      </w:pPr>
      <w:r>
        <w:t xml:space="preserve">The next design shows itself from where this one ends. Four extensions would strengthen the inquiry materially.</w:t>
      </w:r>
    </w:p>
    <w:p>
      <w:pPr>
        <w:pStyle w:val="BodyText"/>
        <w:spacing w:line="480" w:lineRule="auto"/>
        <w:ind w:firstLine="720"/>
      </w:pPr>
      <w:r>
        <w:t xml:space="preserve">Clearest is corpus expansion and representativeness. A larger source collection, deliberately balanced across the legal, operational, environmental, and economic strands, would let the venue and age findings be tested against a corpus less exposed to the composition of a single retrieval</w:t>
      </w:r>
      <w:r>
        <w:t xml:space="preserve"> </w:t>
      </w:r>
      <w:hyperlink w:anchor="ref-2">
        <w:r>
          <w:rPr>
            <w:rStyle w:val="Hyperlink"/>
          </w:rPr>
          <w:t xml:space="preserve">[2]</w:t>
        </w:r>
      </w:hyperlink>
      <w:r>
        <w:t xml:space="preserve"> </w:t>
      </w:r>
      <w:hyperlink w:anchor="ref-10">
        <w:r>
          <w:rPr>
            <w:rStyle w:val="Hyperlink"/>
          </w:rPr>
          <w:t xml:space="preserve">[10]</w:t>
        </w:r>
      </w:hyperlink>
      <w:r>
        <w:t xml:space="preserve">. A second extension is a finer measurement of venue and influence, swapping the ordinal venue code for a taxonomy that splits prestige from register and topping up local index citations with a universal citation source, which would let the study tell genuine attention dynamics from indexing artifacts</w:t>
      </w:r>
      <w:r>
        <w:t xml:space="preserve"> </w:t>
      </w:r>
      <w:hyperlink w:anchor="ref-8">
        <w:r>
          <w:rPr>
            <w:rStyle w:val="Hyperlink"/>
          </w:rPr>
          <w:t xml:space="preserve">[8]</w:t>
        </w:r>
      </w:hyperlink>
      <w:r>
        <w:t xml:space="preserve">. A third is sensitivity analysis around influential records, refitting both models with the most cited papers dropped to confirm the age elasticity outlives the loss of its outliers</w:t>
      </w:r>
      <w:r>
        <w:t xml:space="preserve"> </w:t>
      </w:r>
      <w:hyperlink w:anchor="ref-9">
        <w:r>
          <w:rPr>
            <w:rStyle w:val="Hyperlink"/>
          </w:rPr>
          <w:t xml:space="preserve">[9]</w:t>
        </w:r>
      </w:hyperlink>
      <w:r>
        <w:t xml:space="preserve">. The fourth, and the one that would finally reach the causal questions this design cannot, is the gathering of operator-level behavioral data under an actual or simulated incentive mechanism, the only path to testing incentive compatibility rather than merely watching it get discussed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For the candidate, the dissertation lays a durable research program rather than a terminal result. It fixes a baseline: a documented corpus, two transparent models, and a precise account of what the present evidence carries and withholds. From that baseline the harder questions, whether a cooperative regime will bind and whether any incentive design will clear, come approachable in sequence rather than all at once. The worth of stopping where the evidence stops, and marking the road ahead honestly, is that the next study opens on solid ground rather than on the field’s accumulated confidence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141"/>
    <w:bookmarkStart w:id="142" w:name="the-broader-methodological-lesson"/>
    <w:p>
      <w:pPr>
        <w:pStyle w:val="Heading2"/>
        <w:spacing w:line="480" w:lineRule="auto"/>
      </w:pPr>
      <w:r>
        <w:t xml:space="preserve">The broader methodological lesson</w:t>
      </w:r>
    </w:p>
    <w:p>
      <w:pPr>
        <w:pStyle w:val="FirstParagraph"/>
        <w:spacing w:line="480" w:lineRule="auto"/>
      </w:pPr>
      <w:r>
        <w:t xml:space="preserve">Past the debris domain, this dissertation is a small argument for a way of doing space-governance research. Much of the field’s analytic output runs to expert readings of where a domain is heading, offered by people whose expertise lends their readings worth yet whose readings rarely fasten onto anything a skeptic can check</w:t>
      </w:r>
      <w:r>
        <w:t xml:space="preserve"> </w:t>
      </w:r>
      <w:hyperlink w:anchor="ref-11">
        <w:r>
          <w:rPr>
            <w:rStyle w:val="Hyperlink"/>
          </w:rPr>
          <w:t xml:space="preserve">[11]</w:t>
        </w:r>
      </w:hyperlink>
      <w:r>
        <w:t xml:space="preserve">. The alternative worked here is not to swap regression for expert judgment, which would be foolish, but to fasten expert claims onto measurements wherever the documentary record permits. When an analyst says a field is maturing, that claim can be operationalized as a hypothesis about the shape of the field’s literature, and that hypothesis can be tested. The test will usually hand back a hedged, partial result, as this one did, and the hedging is the point: it calibrates the confidence the field is owed.</w:t>
      </w:r>
    </w:p>
    <w:p>
      <w:pPr>
        <w:pStyle w:val="BodyText"/>
        <w:spacing w:line="480" w:lineRule="auto"/>
        <w:ind w:firstLine="720"/>
      </w:pPr>
      <w:r>
        <w:t xml:space="preserve">That lesson runs past debris to any space-governance topic where a documentary record precedes institutional action, which is nearly all of them. Spectrum coordination, lunar resource norms, traffic management, and on-orbit servicing all throw off literatures before they throw off binding rules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Each stands a candidate for the same treatment: read the corpus for structure, pre-specify the models, report what the evidence carries, and mark clearly where confidence outruns measurement. Portable is the dissertation’s method, and its portability is part of its contribution.</w:t>
      </w:r>
    </w:p>
    <w:bookmarkEnd w:id="142"/>
    <w:bookmarkStart w:id="143" w:name="relevance-to-program-decisions"/>
    <w:p>
      <w:pPr>
        <w:pStyle w:val="Heading2"/>
        <w:spacing w:line="480" w:lineRule="auto"/>
      </w:pPr>
      <w:r>
        <w:t xml:space="preserve">Relevance to program decisions</w:t>
      </w:r>
    </w:p>
    <w:p>
      <w:pPr>
        <w:pStyle w:val="FirstParagraph"/>
        <w:spacing w:line="480" w:lineRule="auto"/>
      </w:pPr>
      <w:r>
        <w:t xml:space="preserve">Program-level relevance earns a final, concrete statement, since a dissertation in this pipeline is meant in the end to inform decisions and not only to satisfy a scholarly standard. A program office weighing investment in cooperative-remediation infrastructure faces a timing question: how soon will a regime exist to give that infrastructure a mission? The dissertation cannot answer that, and it can discipline how the office reads the signals it will inevitably use to answer it for itself</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When a review declares the regime imminent, the office can ask what measurement backs the declaration. When the answer is none, the office learns to weight the declaration to match. When a body of operational work packs into conference venues the citation economy ignores, the office learns that the field’s most operationally grounded thinking may sit underrepresented in the archival record it is likelier to consult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These are modest aids to decision, not a decision procedure. And yet a modest aid that happens to be correct serves a program office far better than a confident forecast that cannot be checked, for the plain reason that it is the program office, and not the review author who issued the forecast, that will carry the cost when a projection dressed as a trend fails to arrive on the schedule the infrastructure was built against</w:t>
      </w:r>
      <w:r>
        <w:t xml:space="preserve"> </w:t>
      </w:r>
      <w:hyperlink w:anchor="ref-3">
        <w:r>
          <w:rPr>
            <w:rStyle w:val="Hyperlink"/>
          </w:rPr>
          <w:t xml:space="preserve">[3]</w:t>
        </w:r>
      </w:hyperlink>
      <w:r>
        <w:t xml:space="preserve">. The office bears the risk. The forecaster does not. So the dissertation’s contribution to program decisions runs of a piece with its contribution to scholarship: it swaps checkable structure for unearned confidence, and it does so at exactly the early stage where the swap has the most worth.</w:t>
      </w:r>
    </w:p>
    <w:bookmarkEnd w:id="143"/>
    <w:bookmarkStart w:id="144" w:name="closing"/>
    <w:p>
      <w:pPr>
        <w:pStyle w:val="Heading2"/>
        <w:spacing w:line="480" w:lineRule="auto"/>
      </w:pPr>
      <w:r>
        <w:t xml:space="preserve">Closing</w:t>
      </w:r>
    </w:p>
    <w:p>
      <w:pPr>
        <w:pStyle w:val="FirstParagraph"/>
        <w:spacing w:line="480" w:lineRule="auto"/>
      </w:pPr>
      <w:r>
        <w:t xml:space="preserve">The dissertation opened on a lag between the maturing engineering of debris removal and the unsettled governance of who removes what, and it asked whether the governance conversation’s progress could be measured rather than merely asserted</w:t>
      </w:r>
      <w:r>
        <w:t xml:space="preserve"> </w:t>
      </w:r>
      <w:hyperlink w:anchor="ref-4">
        <w:r>
          <w:rPr>
            <w:rStyle w:val="Hyperlink"/>
          </w:rPr>
          <w:t xml:space="preserve">[4]</w:t>
        </w:r>
      </w:hyperlink>
      <w:r>
        <w:t xml:space="preserve"> </w:t>
      </w:r>
      <w:hyperlink w:anchor="ref-9">
        <w:r>
          <w:rPr>
            <w:rStyle w:val="Hyperlink"/>
          </w:rPr>
          <w:t xml:space="preserve">[9]</w:t>
        </w:r>
      </w:hyperlink>
      <w:r>
        <w:t xml:space="preserve">. It answered narrowly and honestly. The documentary footprint of cooperative remediation is structured, more clearly on the accumulation axis than the cross-sectional axis, and where its structure runs strongest it mirrors how the field publishes and gets indexed as much as where the field is heading</w:t>
      </w:r>
      <w:r>
        <w:t xml:space="preserve"> </w:t>
      </w:r>
      <w:hyperlink w:anchor="ref-8">
        <w:r>
          <w:rPr>
            <w:rStyle w:val="Hyperlink"/>
          </w:rPr>
          <w:t xml:space="preserve">[8]</w:t>
        </w:r>
      </w:hyperlink>
      <w:r>
        <w:t xml:space="preserve"> </w:t>
      </w:r>
      <w:hyperlink w:anchor="ref-11">
        <w:r>
          <w:rPr>
            <w:rStyle w:val="Hyperlink"/>
          </w:rPr>
          <w:t xml:space="preserve">[11]</w:t>
        </w:r>
      </w:hyperlink>
      <w:r>
        <w:t xml:space="preserve">. That is not the arrival of a regime, and the dissertation does not pretend it is. A first, checkable measurement of a conversation the field has long described in confident but untested terms is what it is.</w:t>
      </w:r>
    </w:p>
    <w:p>
      <w:pPr>
        <w:pStyle w:val="BodyText"/>
        <w:spacing w:line="480" w:lineRule="auto"/>
        <w:ind w:firstLine="720"/>
      </w:pPr>
      <w:r>
        <w:t xml:space="preserve">The lasting worth is the discipline, not the coefficients. A claim about an emerging remediation regime has been turned into a hypothesis, tested against a documented corpus under pre-specified models, and reported at exactly the strength the evidence permits, with the road to a stronger conclusion marked out in feasible steps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Should the field take on even a little of that discipline, it will spend less of its energy asserting momentum and more of it earning the confidence that cooperative remediation, if it is to succeed, will in the end require. A small contribution to a large problem, offered without inflation, is the only kind the evidence in this dissertation could honestly support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144"/>
    <w:bookmarkStart w:id="145" w:name="restating-the-falsifiable-contribution"/>
    <w:p>
      <w:pPr>
        <w:pStyle w:val="Heading2"/>
        <w:spacing w:line="480" w:lineRule="auto"/>
      </w:pPr>
      <w:r>
        <w:t xml:space="preserve">Restating the falsifiable contribution</w:t>
      </w:r>
    </w:p>
    <w:p>
      <w:pPr>
        <w:pStyle w:val="FirstParagraph"/>
        <w:spacing w:line="480" w:lineRule="auto"/>
      </w:pPr>
      <w:r>
        <w:t xml:space="preserve">Because the dissertation opened by promising a single falsifiable contribution, it should close by confirming the promise was kept, and saying plainly which way the test came out. The contribution was the hypothesis pair holding that topic-signal intensity and citation attention are structured against recency, venue, citation, and age rather than scattered at random</w:t>
      </w:r>
      <w:r>
        <w:t xml:space="preserve"> </w:t>
      </w:r>
      <w:hyperlink w:anchor="ref-11">
        <w:r>
          <w:rPr>
            <w:rStyle w:val="Hyperlink"/>
          </w:rPr>
          <w:t xml:space="preserve">[11]</w:t>
        </w:r>
      </w:hyperlink>
      <w:r>
        <w:t xml:space="preserve">. Falsifiable was the test: a corpus of unstructured noise would have left every coefficient too faint to tell from zero and would have forced the conclusion that the field’s confident diagnosis lacks documentary support. The test did not come out that way. The null fell decisively on the accumulation axis, where the age elasticity of -1.2189 runs significant at better than one percent, and it fell in part on the cross-sectional axis, where the venue coefficient of -0.7181 clears five percent while recency and citation stay suggestive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So the contribution stands confirmed in the specific, hedged sense the design permits. The corpus is structured; the structure runs stronger on accumulation than on cross-section; and where it runs strongest it mirrors publication and indexing mechanics as much as substantive maturation</w:t>
      </w:r>
      <w:r>
        <w:t xml:space="preserve"> </w:t>
      </w:r>
      <w:hyperlink w:anchor="ref-8">
        <w:r>
          <w:rPr>
            <w:rStyle w:val="Hyperlink"/>
          </w:rPr>
          <w:t xml:space="preserve">[8]</w:t>
        </w:r>
      </w:hyperlink>
      <w:r>
        <w:t xml:space="preserve"> </w:t>
      </w:r>
      <w:hyperlink w:anchor="ref-16">
        <w:r>
          <w:rPr>
            <w:rStyle w:val="Hyperlink"/>
          </w:rPr>
          <w:t xml:space="preserve">[16]</w:t>
        </w:r>
      </w:hyperlink>
      <w:r>
        <w:t xml:space="preserve">. A genuine finding is this, reached through a test that could have failed, reported at the strength the evidence allows. It is neither the triumphant confirmation of an emerging regime the field’s rhetoric might have wished for nor the clean null that would have embarrassed that rhetoric. The intermediate, accurate result a rigorous screen of a real but immature field should produce is what it is, and delivering exactly that result is the sense in which the falsifiable contribution was kept.</w:t>
      </w:r>
    </w:p>
    <w:bookmarkEnd w:id="145"/>
    <w:bookmarkStart w:id="146" w:name="a-final-accounting-of-what-remains"/>
    <w:p>
      <w:pPr>
        <w:pStyle w:val="Heading2"/>
        <w:spacing w:line="480" w:lineRule="auto"/>
      </w:pPr>
      <w:r>
        <w:t xml:space="preserve">A final accounting of what remains</w:t>
      </w:r>
    </w:p>
    <w:p>
      <w:pPr>
        <w:pStyle w:val="FirstParagraph"/>
        <w:spacing w:line="480" w:lineRule="auto"/>
      </w:pPr>
      <w:r>
        <w:t xml:space="preserve">The honest close names not only what got found but what stays past reach, so no reader takes the dissertation’s modest success for more than it is. Three large questions stay untouched. Whether a cooperative remediation regime will actually form and bind its participants is a question about institutional behavior no documentary study can answer</w:t>
      </w:r>
      <w:r>
        <w:t xml:space="preserve"> </w:t>
      </w:r>
      <w:hyperlink w:anchor="ref-2">
        <w:r>
          <w:rPr>
            <w:rStyle w:val="Hyperlink"/>
          </w:rPr>
          <w:t xml:space="preserve">[2]</w:t>
        </w:r>
      </w:hyperlink>
      <w:r>
        <w:t xml:space="preserve"> </w:t>
      </w:r>
      <w:hyperlink w:anchor="ref-15">
        <w:r>
          <w:rPr>
            <w:rStyle w:val="Hyperlink"/>
          </w:rPr>
          <w:t xml:space="preserve">[15]</w:t>
        </w:r>
      </w:hyperlink>
      <w:r>
        <w:t xml:space="preserve">. Whether any proposed incentive mechanism is genuinely incentive-compatible is a question about operator behavior that wants data the design lacks</w:t>
      </w:r>
      <w:r>
        <w:t xml:space="preserve"> </w:t>
      </w:r>
      <w:hyperlink w:anchor="ref-16">
        <w:r>
          <w:rPr>
            <w:rStyle w:val="Hyperlink"/>
          </w:rPr>
          <w:t xml:space="preserve">[16]</w:t>
        </w:r>
      </w:hyperlink>
      <w:r>
        <w:t xml:space="preserve">. And whether the structure found in this corpus mirrors substantive maturation rather than publication mechanics is a question only a larger, better-measured corpus can settle</w:t>
      </w:r>
      <w:r>
        <w:t xml:space="preserve"> </w:t>
      </w:r>
      <w:hyperlink w:anchor="ref-8">
        <w:r>
          <w:rPr>
            <w:rStyle w:val="Hyperlink"/>
          </w:rPr>
          <w:t xml:space="preserve">[8]</w:t>
        </w:r>
      </w:hyperlink>
      <w:r>
        <w:t xml:space="preserve"> </w:t>
      </w:r>
      <w:hyperlink w:anchor="ref-11">
        <w:r>
          <w:rPr>
            <w:rStyle w:val="Hyperlink"/>
          </w:rPr>
          <w:t xml:space="preserve">[11]</w:t>
        </w:r>
      </w:hyperlink>
      <w:r>
        <w:t xml:space="preserve">. These are no failures of the dissertation; they are the map of the territory it deliberately left for others, drawn precisely enough for others to enter it.</w:t>
      </w:r>
    </w:p>
    <w:p>
      <w:pPr>
        <w:pStyle w:val="BodyText"/>
        <w:spacing w:line="480" w:lineRule="auto"/>
        <w:ind w:firstLine="720"/>
      </w:pPr>
      <w:r>
        <w:t xml:space="preserve">What the dissertation leaves behind is a baseline and a discipline. The baseline is a documented corpus of thirty records, two pre-specified and transparently estimated models, and a precise statement of what those models pin. The discipline is the refusal to claim past what the evidence carries, worked at every step from variable construction through inference to interpretation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For a field that has long described its own progress in confident but untested terms, a baseline built on that discipline is worth more than another confident forecast, since it can be checked, extended, and, should the evidence demand, overturned. Cooperative remediation of the orbital commons is a problem that will be solved, if it is solved, by actors who can tell a structured conversation from a settled regime. This dissertation hands the field a small instrument for telling that difference, with its limits marked and its next uses specified</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146"/>
    <w:bookmarkStart w:id="147" w:name="X89f8fc4a6373c5b3f5a3c4ecec4784194e578e6"/>
    <w:p>
      <w:pPr>
        <w:pStyle w:val="Heading2"/>
        <w:spacing w:line="480" w:lineRule="auto"/>
      </w:pPr>
      <w:r>
        <w:t xml:space="preserve">The place of this work in a longer inquiry</w:t>
      </w:r>
    </w:p>
    <w:p>
      <w:pPr>
        <w:pStyle w:val="FirstParagraph"/>
        <w:spacing w:line="480" w:lineRule="auto"/>
      </w:pPr>
      <w:r>
        <w:t xml:space="preserve">A design-stage dissertation is a beginning, and it repays situating this one in the longer inquiry it opens rather than treating it as a self-contained result. The natural sequence runs in three passes. This dissertation is the first pass: a documentary screen that settles whether the field’s conversation is structured and along which channels, using obtainable metadata and transparent estimators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second pass would deepen the measurement, assembling a larger and venue-balanced corpus, swapping the ordinal venue code for a taxonomy that splits register from prestige, and topping up the local citation index with a universal source that credits the conference and policy literature the current index ignores</w:t>
      </w:r>
      <w:r>
        <w:t xml:space="preserve"> </w:t>
      </w:r>
      <w:hyperlink w:anchor="ref-8">
        <w:r>
          <w:rPr>
            <w:rStyle w:val="Hyperlink"/>
          </w:rPr>
          <w:t xml:space="preserve">[8]</w:t>
        </w:r>
      </w:hyperlink>
      <w:r>
        <w:t xml:space="preserve">. The third pass would move from documentary structure to institutional behavior, gathering operator-level data under an actual or simulated incentive mechanism to test the incentive compatibility the topic names but no documentary study can reach</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step at which the inquiry would finally cross from asking what the field says about cooperative remediation to asking whether the mechanisms it proposes would actually move the operators whose choices a working regime would have to bend.</w:t>
      </w:r>
    </w:p>
    <w:p>
      <w:pPr>
        <w:pStyle w:val="BodyText"/>
        <w:spacing w:line="480" w:lineRule="auto"/>
        <w:ind w:firstLine="720"/>
      </w:pPr>
      <w:r>
        <w:t xml:space="preserve">Each pass answers a question the prior pass could only pose. The first asks whether the conversation is structured; the second asks whether that structure runs substantive or mechanical; the third asks whether the institutional emergence the structure hints at actually shifts what operators do. This dissertation finishes the first pass honestly and specifies the second and third precisely enough to be run. That is the fitting ambition for a design-stage inquiry: to answer one question well and to hand the next questions forward in a form that makes them tractable rather than leaving a successor to rediscover the whole terrain</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47"/>
    <w:bookmarkStart w:id="148" w:name="final-word"/>
    <w:p>
      <w:pPr>
        <w:pStyle w:val="Heading2"/>
        <w:spacing w:line="480" w:lineRule="auto"/>
      </w:pPr>
      <w:r>
        <w:t xml:space="preserve">Final word</w:t>
      </w:r>
    </w:p>
    <w:p>
      <w:pPr>
        <w:pStyle w:val="FirstParagraph"/>
        <w:spacing w:line="480" w:lineRule="auto"/>
      </w:pPr>
      <w:r>
        <w:t xml:space="preserve">The orbital commons will not be cleaned by good intentions, and it will not be governed by confident forecasts nobody has tested. It will be governed, if it is governed at all, by actors who can read the evidence for what it shows and act on it soberly</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This dissertation is a small exercise in that sobriety. It took a claim the field asserts often and tests rarely, that cooperative remediation is emerging as an institutional focus, and it put that claim to a falsifiable documentary test</w:t>
      </w:r>
      <w:r>
        <w:t xml:space="preserve"> </w:t>
      </w:r>
      <w:hyperlink w:anchor="ref-11">
        <w:r>
          <w:rPr>
            <w:rStyle w:val="Hyperlink"/>
          </w:rPr>
          <w:t xml:space="preserve">[11]</w:t>
        </w:r>
      </w:hyperlink>
      <w:r>
        <w:t xml:space="preserve">. The test found real but partial structure, stronger in citation accumulation than in cross-section, and tangled where strongest with how the field publishes and gets indexed</w:t>
      </w:r>
      <w:r>
        <w:t xml:space="preserve"> </w:t>
      </w:r>
      <w:hyperlink w:anchor="ref-8">
        <w:r>
          <w:rPr>
            <w:rStyle w:val="Hyperlink"/>
          </w:rPr>
          <w:t xml:space="preserve">[8]</w:t>
        </w:r>
      </w:hyperlink>
      <w:r>
        <w:t xml:space="preserve"> </w:t>
      </w:r>
      <w:hyperlink w:anchor="ref-9">
        <w:r>
          <w:rPr>
            <w:rStyle w:val="Hyperlink"/>
          </w:rPr>
          <w:t xml:space="preserve">[9]</w:t>
        </w:r>
      </w:hyperlink>
      <w:r>
        <w:t xml:space="preserve">. It found no regime, and it made no attempt to conjure one out of a corpus that would not support the claim; where the field’s rhetoric would have read the same coefficients as the first light of an arriving consensus, the study read them as what they are, a partly structured conversation carrying the fingerprints of its own publishing habits. It did not pretend.</w:t>
      </w:r>
    </w:p>
    <w:p>
      <w:pPr>
        <w:pStyle w:val="BodyText"/>
        <w:spacing w:line="480" w:lineRule="auto"/>
        <w:ind w:firstLine="720"/>
      </w:pPr>
      <w:r>
        <w:t xml:space="preserve">What it leaves is worth more than a confident conclusion would have been: a checkable baseline, a portable method, and a precise map of what the evidence carries and what it withholds. A field that takes on that discipline will earn its confidence rather than assert it, and confidence earned against evidence is the only kind that will hold when the orbital environment forces the question of who remediates out of the pages of the literature and into the hard arena of institutional commitment</w:t>
      </w:r>
      <w:r>
        <w:t xml:space="preserve"> </w:t>
      </w:r>
      <w:hyperlink w:anchor="ref-3">
        <w:r>
          <w:rPr>
            <w:rStyle w:val="Hyperlink"/>
          </w:rPr>
          <w:t xml:space="preserve">[3]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48"/>
    <w:bookmarkStart w:id="176" w:name="references"/>
    <w:p>
      <w:pPr>
        <w:pStyle w:val="Heading2"/>
        <w:spacing w:line="480" w:lineRule="auto"/>
      </w:pPr>
      <w:r>
        <w:t xml:space="preserve">References</w:t>
      </w:r>
    </w:p>
    <w:p>
      <w:pPr>
        <w:pStyle w:val="FirstParagraph"/>
        <w:spacing w:line="480" w:lineRule="auto"/>
      </w:pPr>
      <w:bookmarkStart w:id="149" w:name="ref-1"/>
      <w:bookmarkEnd w:id="149"/>
      <w:r>
        <w:t xml:space="preserve">1. Rina Zhang, Science and Technology Policy Institute; Asha Balakrishnan, Science and Technology Policy Institute. From Ozone Depletion to Orbital Debris: Lessons Learned from the Montreal Protocol (2022). [AMOS]</w:t>
      </w:r>
    </w:p>
    <w:p>
      <w:pPr>
        <w:pStyle w:val="BodyText"/>
        <w:spacing w:line="480" w:lineRule="auto"/>
        <w:ind w:firstLine="720"/>
      </w:pPr>
      <w:bookmarkStart w:id="150" w:name="ref-2"/>
      <w:bookmarkEnd w:id="150"/>
      <w:r>
        <w:t xml:space="preserve">2. Malgorzata Polkowska, Lomza Academy; Arkadiusz Chimicz, General Command, Polish Armed Forces. Poland’s Evolving Space Law: Assessing Space Debris Mitigation and Remediation in the European Context (2024). doi:</w:t>
      </w:r>
      <w:r>
        <w:t xml:space="preserve"> </w:t>
      </w:r>
      <w:hyperlink r:id="rId151">
        <w:r>
          <w:rPr>
            <w:rStyle w:val="Hyperlink"/>
          </w:rPr>
          <w:t xml:space="preserve">10.64861/LFFV2455</w:t>
        </w:r>
      </w:hyperlink>
    </w:p>
    <w:p>
      <w:pPr>
        <w:pStyle w:val="BodyText"/>
        <w:spacing w:line="480" w:lineRule="auto"/>
        <w:ind w:firstLine="720"/>
      </w:pPr>
      <w:bookmarkStart w:id="152" w:name="ref-3"/>
      <w:bookmarkEnd w:id="152"/>
      <w:r>
        <w:t xml:space="preserve">3. Frederick Tarantino, SAF/SQS. Memo on Space Debris Summit and Active Debris Removal (2022). [AMOS]</w:t>
      </w:r>
    </w:p>
    <w:p>
      <w:pPr>
        <w:pStyle w:val="BodyText"/>
        <w:spacing w:line="480" w:lineRule="auto"/>
        <w:ind w:firstLine="720"/>
      </w:pPr>
      <w:bookmarkStart w:id="153" w:name="ref-4"/>
      <w:bookmarkEnd w:id="153"/>
      <w:r>
        <w:t xml:space="preserve">4. Andrew Abraham, Lockheed Martin; Oliver Schultz, Lockheed Martin Space. Cooperative Tracking Aid for Space Domain Awareness (2023). doi:</w:t>
      </w:r>
      <w:r>
        <w:t xml:space="preserve"> </w:t>
      </w:r>
      <w:hyperlink r:id="rId154">
        <w:r>
          <w:rPr>
            <w:rStyle w:val="Hyperlink"/>
          </w:rPr>
          <w:t xml:space="preserve">10.64861/DNKW1345</w:t>
        </w:r>
      </w:hyperlink>
    </w:p>
    <w:p>
      <w:pPr>
        <w:pStyle w:val="BodyText"/>
        <w:spacing w:line="480" w:lineRule="auto"/>
        <w:ind w:firstLine="720"/>
      </w:pPr>
      <w:bookmarkStart w:id="155" w:name="ref-5"/>
      <w:bookmarkEnd w:id="155"/>
      <w:r>
        <w:t xml:space="preserve">5. Chris Tuttle, Clearspace Today, Inc.; Darren McKnight, LeoLabs; Tim Maclay, ClearSpace. Refining Active Debris Removal Strategies (2023). doi:</w:t>
      </w:r>
      <w:r>
        <w:t xml:space="preserve"> </w:t>
      </w:r>
      <w:hyperlink r:id="rId156">
        <w:r>
          <w:rPr>
            <w:rStyle w:val="Hyperlink"/>
          </w:rPr>
          <w:t xml:space="preserve">10.64861/LBPZ7861</w:t>
        </w:r>
      </w:hyperlink>
    </w:p>
    <w:p>
      <w:pPr>
        <w:pStyle w:val="BodyText"/>
        <w:spacing w:line="480" w:lineRule="auto"/>
        <w:ind w:firstLine="720"/>
      </w:pPr>
      <w:bookmarkStart w:id="157" w:name="ref-6"/>
      <w:bookmarkEnd w:id="157"/>
      <w:r>
        <w:t xml:space="preserve">6. Michael Copeland, Australian National University; Francis Bennet, Australian National University; Francois Rigaut, Australian National University; Visa Korkiakoski, Australian National University; I. Price, Australian National University; Celine d’Orgeville, Australian National University; Craig Smith, EOS Space Systems. Satellite and Debris Characterisation through Adaptive Optics Corrected Imaging (2018). [AMOS]</w:t>
      </w:r>
    </w:p>
    <w:p>
      <w:pPr>
        <w:pStyle w:val="BodyText"/>
        <w:spacing w:line="480" w:lineRule="auto"/>
        <w:ind w:firstLine="720"/>
      </w:pPr>
      <w:bookmarkStart w:id="158" w:name="ref-7"/>
      <w:bookmarkEnd w:id="158"/>
      <w:r>
        <w:t xml:space="preserve">7. F. Bennet, Research School of Astronomy and Astrophysics – Australian National University and Space Environment Research Centre (SERC) Limited, M. Petkovic, Research School of Astronomy and Astrophysics – Australian National University and Space Environment Research Centre (SERC) Limited, B. Sheard, Space Environment Research Centre (SERC) Limited and EOS Space Systems, Ben Greene, Space Environment Research Centre (SERC) Limited and EOS Space Systems. High-Altitude Airborne Platform Characterisation of Adaptive Optic Corrected Ground Based Laser (2017). [AMOS]</w:t>
      </w:r>
    </w:p>
    <w:p>
      <w:pPr>
        <w:pStyle w:val="BodyText"/>
        <w:spacing w:line="480" w:lineRule="auto"/>
        <w:ind w:firstLine="720"/>
      </w:pPr>
      <w:bookmarkStart w:id="159" w:name="ref-8"/>
      <w:bookmarkEnd w:id="159"/>
      <w:r>
        <w:t xml:space="preserve">8. Jaedong Seong, Korea Aerospace Research Institute (KARI); Okchul Jung, Korea Aerospace Research Institute (KARI); Dae Won Chung, Korea Aerospace Research Institute (KARI). KARI Recent Activities on SSA &amp; STM (2019). [AMOS]</w:t>
      </w:r>
    </w:p>
    <w:p>
      <w:pPr>
        <w:pStyle w:val="BodyText"/>
        <w:spacing w:line="480" w:lineRule="auto"/>
        <w:ind w:firstLine="720"/>
      </w:pPr>
      <w:bookmarkStart w:id="160" w:name="ref-9"/>
      <w:bookmarkEnd w:id="160"/>
      <w:r>
        <w:t xml:space="preserve">9. Darren McKnight; Rachel Witner; Francesca Letizia; Stijn Lemmens; Luciano Anselmo; Carmen Pardini; A. Rossi; Chris Kunstadter; Satomi Kawamoto; Vladimir S. Aslanov; Juan-Carlos Dolado Perez; Vincent Ruch; Hugh G. Lewis; M. J. Nicolls; Liu Jing; Dan Shen; Wang Dongfang; A. A. Baranov; Д. А. Гришко. Identifying the 50 statistically-most-concerning derelict objects in LEO (2021). doi:</w:t>
      </w:r>
      <w:r>
        <w:t xml:space="preserve"> </w:t>
      </w:r>
      <w:hyperlink r:id="rId161">
        <w:r>
          <w:rPr>
            <w:rStyle w:val="Hyperlink"/>
          </w:rPr>
          <w:t xml:space="preserve">10.1016/j.actaastro.2021.01.021</w:t>
        </w:r>
      </w:hyperlink>
    </w:p>
    <w:p>
      <w:pPr>
        <w:pStyle w:val="BodyText"/>
        <w:spacing w:line="480" w:lineRule="auto"/>
        <w:ind w:firstLine="720"/>
      </w:pPr>
      <w:bookmarkStart w:id="162" w:name="ref-10"/>
      <w:bookmarkEnd w:id="162"/>
      <w:r>
        <w:t xml:space="preserve">10. Nihal Simha; Simone Servadio; Miles Lifson; Giovanni Lavezzi; Richard Linares. Optimal Active Debris Removal mission planning to inform policy decisions (2024). doi:</w:t>
      </w:r>
      <w:r>
        <w:t xml:space="preserve"> </w:t>
      </w:r>
      <w:hyperlink r:id="rId163">
        <w:r>
          <w:rPr>
            <w:rStyle w:val="Hyperlink"/>
          </w:rPr>
          <w:t xml:space="preserve">10.1016/j.actaastro.2024.11.050</w:t>
        </w:r>
      </w:hyperlink>
    </w:p>
    <w:p>
      <w:pPr>
        <w:pStyle w:val="BodyText"/>
        <w:spacing w:line="480" w:lineRule="auto"/>
        <w:ind w:firstLine="720"/>
      </w:pPr>
      <w:bookmarkStart w:id="164" w:name="ref-11"/>
      <w:bookmarkEnd w:id="164"/>
      <w:r>
        <w:t xml:space="preserve">11. Xiao-Shan Yap; Jonas Heiberg; Bernhard Truffer. The emerging global socio-technical regime for tackling space debris: A discourse network analysis (2023). doi:</w:t>
      </w:r>
      <w:r>
        <w:t xml:space="preserve"> </w:t>
      </w:r>
      <w:hyperlink r:id="rId165">
        <w:r>
          <w:rPr>
            <w:rStyle w:val="Hyperlink"/>
          </w:rPr>
          <w:t xml:space="preserve">10.1016/j.actaastro.2023.01.016</w:t>
        </w:r>
      </w:hyperlink>
    </w:p>
    <w:p>
      <w:pPr>
        <w:pStyle w:val="BodyText"/>
        <w:spacing w:line="480" w:lineRule="auto"/>
        <w:ind w:firstLine="720"/>
      </w:pPr>
      <w:bookmarkStart w:id="166" w:name="ref-12"/>
      <w:bookmarkEnd w:id="166"/>
      <w:r>
        <w:t xml:space="preserve">12. Carmen Pardini; Luciano Anselmo. Evaluating the environmental criticality of massive objects in LEO for debris mitigation and remediation (2018). doi:</w:t>
      </w:r>
      <w:r>
        <w:t xml:space="preserve"> </w:t>
      </w:r>
      <w:hyperlink r:id="rId167">
        <w:r>
          <w:rPr>
            <w:rStyle w:val="Hyperlink"/>
          </w:rPr>
          <w:t xml:space="preserve">10.1016/j.actaastro.2018.01.028</w:t>
        </w:r>
      </w:hyperlink>
    </w:p>
    <w:p>
      <w:pPr>
        <w:pStyle w:val="BodyText"/>
        <w:spacing w:line="480" w:lineRule="auto"/>
        <w:ind w:firstLine="720"/>
      </w:pPr>
      <w:bookmarkStart w:id="168" w:name="ref-13"/>
      <w:bookmarkEnd w:id="168"/>
      <w:r>
        <w:t xml:space="preserve">13. Carmen Pardini; Luciano Anselmo. Using the space debris flux to assess the criticality of the environment in low Earth orbit (2022). doi:</w:t>
      </w:r>
      <w:r>
        <w:t xml:space="preserve"> </w:t>
      </w:r>
      <w:hyperlink r:id="rId169">
        <w:r>
          <w:rPr>
            <w:rStyle w:val="Hyperlink"/>
          </w:rPr>
          <w:t xml:space="preserve">10.1016/j.actaastro.2022.05.045</w:t>
        </w:r>
      </w:hyperlink>
    </w:p>
    <w:p>
      <w:pPr>
        <w:pStyle w:val="BodyText"/>
        <w:spacing w:line="480" w:lineRule="auto"/>
        <w:ind w:firstLine="720"/>
      </w:pPr>
      <w:bookmarkStart w:id="170" w:name="ref-14"/>
      <w:bookmarkEnd w:id="170"/>
      <w:r>
        <w:t xml:space="preserve">14. Farouk Abdulhamid; Brendan P. Sullivan; Sergio Terzi. Factory in space: A review of material and manufacturing technologies (2025). doi:</w:t>
      </w:r>
      <w:r>
        <w:t xml:space="preserve"> </w:t>
      </w:r>
      <w:hyperlink r:id="rId171">
        <w:r>
          <w:rPr>
            <w:rStyle w:val="Hyperlink"/>
          </w:rPr>
          <w:t xml:space="preserve">10.1016/j.actaastro.2025.01.007</w:t>
        </w:r>
      </w:hyperlink>
    </w:p>
    <w:p>
      <w:pPr>
        <w:pStyle w:val="BodyText"/>
        <w:spacing w:line="480" w:lineRule="auto"/>
        <w:ind w:firstLine="720"/>
      </w:pPr>
      <w:bookmarkStart w:id="172" w:name="ref-15"/>
      <w:bookmarkEnd w:id="172"/>
      <w:r>
        <w:t xml:space="preserve">15. Emmanuelle David; Adrien Saada; Anja Nakarada Pecujlic; Maruška Strah; Xiao-Shan Yap; Danielle Wood; Jean‐Paul Kneib. Fostering multi-stakeholder collaboration for space sustainability through an incentive-based mechanism (2025). doi:</w:t>
      </w:r>
      <w:r>
        <w:t xml:space="preserve"> </w:t>
      </w:r>
      <w:hyperlink r:id="rId173">
        <w:r>
          <w:rPr>
            <w:rStyle w:val="Hyperlink"/>
          </w:rPr>
          <w:t xml:space="preserve">10.1016/j.actaastro.2025.06.029</w:t>
        </w:r>
      </w:hyperlink>
    </w:p>
    <w:p>
      <w:pPr>
        <w:pStyle w:val="BodyText"/>
        <w:spacing w:line="480" w:lineRule="auto"/>
        <w:ind w:firstLine="720"/>
      </w:pPr>
      <w:bookmarkStart w:id="174" w:name="ref-16"/>
      <w:bookmarkEnd w:id="174"/>
      <w:r>
        <w:t xml:space="preserve">16.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75">
        <w:r>
          <w:rPr>
            <w:rStyle w:val="Hyperlink"/>
          </w:rPr>
          <w:t xml:space="preserve">10.1016/j.actaastro.2025.03.034</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7960218eb0df9fa504897b97f200cd9b1142c0e"/>
    <w:p>
      <w:pPr>
        <w:pStyle w:val="Heading2"/>
        <w:spacing w:line="480" w:lineRule="auto"/>
      </w:pPr>
      <w:r>
        <w:t xml:space="preserve">A.1 Signal Intensity in Debris CONOPs incentive-compatible cooperative remediation: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4.6904</w:t>
            </w:r>
          </w:p>
        </w:tc>
        <w:tc>
          <w:tcPr>
            <w:tcW w:w="0" w:type="auto"/>
          </w:tcPr>
          <w:p>
            <w:pPr>
              <w:spacing w:line="240" w:lineRule="auto" w:before="0" w:after="0"/>
              <w:pStyle w:val="Compact"/>
            </w:pPr>
            <w:r>
              <w:rPr>
                <w:sz w:val="20"/>
                <w:szCs w:val="20"/>
              </w:rPr>
              <w:t xml:space="preserve">0.5208</w:t>
            </w:r>
          </w:p>
        </w:tc>
        <w:tc>
          <w:tcPr>
            <w:tcW w:w="0" w:type="auto"/>
          </w:tcPr>
          <w:p>
            <w:pPr>
              <w:spacing w:line="240" w:lineRule="auto" w:before="0" w:after="0"/>
              <w:pStyle w:val="Compact"/>
            </w:pPr>
            <w:r>
              <w:rPr>
                <w:sz w:val="20"/>
                <w:szCs w:val="20"/>
              </w:rPr>
              <w:t xml:space="preserve">9.0063</w:t>
            </w:r>
          </w:p>
        </w:tc>
        <w:tc>
          <w:tcPr>
            <w:tcW w:w="0" w:type="auto"/>
          </w:tcPr>
          <w:p>
            <w:pPr>
              <w:spacing w:line="240" w:lineRule="auto" w:before="0" w:after="0"/>
              <w:pStyle w:val="Compact"/>
            </w:pPr>
            <w:r>
              <w:rPr>
                <w:sz w:val="20"/>
                <w:szCs w:val="20"/>
              </w:rPr>
              <w:t xml:space="preserve">2.13e-19</w:t>
            </w:r>
          </w:p>
        </w:tc>
        <w:tc>
          <w:tcPr>
            <w:tcW w:w="0" w:type="auto"/>
          </w:tcPr>
          <w:p>
            <w:pPr>
              <w:spacing w:line="240" w:lineRule="auto" w:before="0" w:after="0"/>
              <w:pStyle w:val="Compact"/>
            </w:pPr>
            <w:r>
              <w:rPr>
                <w:sz w:val="20"/>
                <w:szCs w:val="20"/>
              </w:rPr>
              <w:t xml:space="preserve">[3.6697, 5.7111]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0.1379</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1.7473</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[-0.0168, 0.2925]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1.6417</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[-0.0036, 0.0404]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-0.7181</w:t>
            </w:r>
          </w:p>
        </w:tc>
        <w:tc>
          <w:tcPr>
            <w:tcW w:w="0" w:type="auto"/>
          </w:tcPr>
          <w:p>
            <w:pPr>
              <w:spacing w:line="240" w:lineRule="auto" w:before="0" w:after="0"/>
              <w:pStyle w:val="Compact"/>
            </w:pPr>
            <w:r>
              <w:rPr>
                <w:sz w:val="20"/>
                <w:szCs w:val="20"/>
              </w:rPr>
              <w:t xml:space="preserve">0.3312</w:t>
            </w:r>
          </w:p>
        </w:tc>
        <w:tc>
          <w:tcPr>
            <w:tcW w:w="0" w:type="auto"/>
          </w:tcPr>
          <w:p>
            <w:pPr>
              <w:spacing w:line="240" w:lineRule="auto" w:before="0" w:after="0"/>
              <w:pStyle w:val="Compact"/>
            </w:pPr>
            <w:r>
              <w:rPr>
                <w:sz w:val="20"/>
                <w:szCs w:val="20"/>
              </w:rPr>
              <w:t xml:space="preserve">-2.1682</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[-1.3672, -0.069]</w:t>
            </w:r>
          </w:p>
        </w:tc>
      </w:tr>
    </w:tbl>
    <w:p>
      <w:pPr>
        <w:pStyle w:val="BodyText"/>
        <w:spacing w:line="480" w:lineRule="auto"/>
        <w:ind w:firstLine="720"/>
      </w:pPr>
      <w:r>
        <w:t xml:space="preserve">Fit: N = 30 R2 = 0.278 R2_adj = 0.1947 F = 2.341 F_p = 0.0965</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PHD-06/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https://amostech.space/year/2018/satellite-and-debris-characterisation-through-adaptive-optics-corrected-imaging/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https://amostech.space/year/2017/high-altitude-airborne-platform-characterisation-of-adaptive-optic-corrected-ground-based-laser/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https://amostech.space/year/2019/space-environment-management-a-common-sense-framework-for-controlling-orbital-debris-risk/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https://amostech.space/year/2016/comparison-of-envisataes-attitude-simulation-and-real-optical-and-slr-observations-in-order-to-refine-the-satellite-attitude-model/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10.1016/j.actaastro.2021.01.021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10.1016/j.actaastro.2018.01.028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10.1016/j.actaastro.2021.08.051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10.1016/j.actaastro.2023.10.044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10.1016/j.jsse.2020.07.016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b5e7a3b9c99b759761daf6b974908f55ada0204"/>
    <w:p>
      <w:pPr>
        <w:pStyle w:val="Heading2"/>
        <w:spacing w:line="480" w:lineRule="auto"/>
      </w:pPr>
      <w:r>
        <w:t xml:space="preserve">A.2 Attention Accumulation in Debris CONOPs incentive-compatible cooperative remediation: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3.0913</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5.0883</w:t>
            </w:r>
          </w:p>
        </w:tc>
        <w:tc>
          <w:tcPr>
            <w:tcW w:w="0" w:type="auto"/>
          </w:tcPr>
          <w:p>
            <w:pPr>
              <w:spacing w:line="240" w:lineRule="auto" w:before="0" w:after="0"/>
              <w:pStyle w:val="Compact"/>
            </w:pPr>
            <w:r>
              <w:rPr>
                <w:sz w:val="20"/>
                <w:szCs w:val="20"/>
              </w:rPr>
              <w:t xml:space="preserve">3.613e-07</w:t>
            </w:r>
          </w:p>
        </w:tc>
        <w:tc>
          <w:tcPr>
            <w:tcW w:w="0" w:type="auto"/>
          </w:tcPr>
          <w:p>
            <w:pPr>
              <w:spacing w:line="240" w:lineRule="auto" w:before="0" w:after="0"/>
              <w:pStyle w:val="Compact"/>
            </w:pPr>
            <w:r>
              <w:rPr>
                <w:sz w:val="20"/>
                <w:szCs w:val="20"/>
              </w:rPr>
              <w:t xml:space="preserve">[1.9005, 4.282]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-1.2189</w:t>
            </w:r>
          </w:p>
        </w:tc>
        <w:tc>
          <w:tcPr>
            <w:tcW w:w="0" w:type="auto"/>
          </w:tcPr>
          <w:p>
            <w:pPr>
              <w:spacing w:line="240" w:lineRule="auto" w:before="0" w:after="0"/>
              <w:pStyle w:val="Compact"/>
            </w:pPr>
            <w:r>
              <w:rPr>
                <w:sz w:val="20"/>
                <w:szCs w:val="20"/>
              </w:rPr>
              <w:t xml:space="preserve">0.3624</w:t>
            </w:r>
          </w:p>
        </w:tc>
        <w:tc>
          <w:tcPr>
            <w:tcW w:w="0" w:type="auto"/>
          </w:tcPr>
          <w:p>
            <w:pPr>
              <w:spacing w:line="240" w:lineRule="auto" w:before="0" w:after="0"/>
              <w:pStyle w:val="Compact"/>
            </w:pPr>
            <w:r>
              <w:rPr>
                <w:sz w:val="20"/>
                <w:szCs w:val="20"/>
              </w:rPr>
              <w:t xml:space="preserve">-3.3638</w:t>
            </w:r>
          </w:p>
        </w:tc>
        <w:tc>
          <w:tcPr>
            <w:tcW w:w="0" w:type="auto"/>
          </w:tcPr>
          <w:p>
            <w:pPr>
              <w:spacing w:line="240" w:lineRule="auto" w:before="0" w:after="0"/>
              <w:pStyle w:val="Compact"/>
            </w:pPr>
            <w:r>
              <w:rPr>
                <w:sz w:val="20"/>
                <w:szCs w:val="20"/>
              </w:rPr>
              <w:t xml:space="preserve">0.0007688</w:t>
            </w:r>
          </w:p>
        </w:tc>
        <w:tc>
          <w:tcPr>
            <w:tcW w:w="0" w:type="auto"/>
          </w:tcPr>
          <w:p>
            <w:pPr>
              <w:spacing w:line="240" w:lineRule="auto" w:before="0" w:after="0"/>
              <w:pStyle w:val="Compact"/>
            </w:pPr>
            <w:r>
              <w:rPr>
                <w:sz w:val="20"/>
                <w:szCs w:val="20"/>
              </w:rPr>
              <w:t xml:space="preserve">[-1.9292, -0.5087]</w:t>
            </w:r>
          </w:p>
        </w:tc>
      </w:tr>
    </w:tbl>
    <w:p>
      <w:pPr>
        <w:pStyle w:val="BodyText"/>
        <w:spacing w:line="480" w:lineRule="auto"/>
        <w:ind w:firstLine="720"/>
      </w:pPr>
      <w:r>
        <w:t xml:space="preserve">Fit: N = 30 R2 = 0.1759 elasticity_b = -1.2189 progress_ratio_2^b = 0.4296</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PHD-06/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https://amostech.space/year/2018/satellite-and-debris-characterisation-through-adaptive-optics-corrected-imaging/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https://amostech.space/year/2017/high-altitude-airborne-platform-characterisation-of-adaptive-optic-corrected-ground-based-laser/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https://amostech.space/year/2019/space-environment-management-a-common-sense-framework-for-controlling-orbital-debris-risk/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https://amostech.space/year/2016/comparison-of-envisataes-attitude-simulation-and-real-optical-and-slr-observations-in-order-to-refine-the-satellite-attitude-model/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10.1016/j.actaastro.2021.01.021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10.1016/j.actaastro.2018.01.028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10.1016/j.actaastro.2021.08.051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10.1016/j.actaastro.2023.10.044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10.1016/j.jsse.2020.07.016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7" Type="http://schemas.openxmlformats.org/officeDocument/2006/relationships/hyperlink" Target="https://doi.org/10.1016/j.actaastro.2018.01.028" TargetMode="External"/><Relationship Id="rId161" Type="http://schemas.openxmlformats.org/officeDocument/2006/relationships/hyperlink" Target="https://doi.org/10.1016/j.actaastro.2021.01.021" TargetMode="External"/><Relationship Id="rId169" Type="http://schemas.openxmlformats.org/officeDocument/2006/relationships/hyperlink" Target="https://doi.org/10.1016/j.actaastro.2022.05.045" TargetMode="External"/><Relationship Id="rId165" Type="http://schemas.openxmlformats.org/officeDocument/2006/relationships/hyperlink" Target="https://doi.org/10.1016/j.actaastro.2023.01.016" TargetMode="External"/><Relationship Id="rId163" Type="http://schemas.openxmlformats.org/officeDocument/2006/relationships/hyperlink" Target="https://doi.org/10.1016/j.actaastro.2024.11.050" TargetMode="External"/><Relationship Id="rId171" Type="http://schemas.openxmlformats.org/officeDocument/2006/relationships/hyperlink" Target="https://doi.org/10.1016/j.actaastro.2025.01.007" TargetMode="External"/><Relationship Id="rId175" Type="http://schemas.openxmlformats.org/officeDocument/2006/relationships/hyperlink" Target="https://doi.org/10.1016/j.actaastro.2025.03.034" TargetMode="External"/><Relationship Id="rId173" Type="http://schemas.openxmlformats.org/officeDocument/2006/relationships/hyperlink" Target="https://doi.org/10.1016/j.actaastro.2025.06.029" TargetMode="External"/><Relationship Id="rId154" Type="http://schemas.openxmlformats.org/officeDocument/2006/relationships/hyperlink" Target="https://doi.org/10.64861/DNKW1345" TargetMode="External"/><Relationship Id="rId156" Type="http://schemas.openxmlformats.org/officeDocument/2006/relationships/hyperlink" Target="https://doi.org/10.64861/LBPZ7861" TargetMode="External"/><Relationship Id="rId151" Type="http://schemas.openxmlformats.org/officeDocument/2006/relationships/hyperlink" Target="https://doi.org/10.64861/LFFV2455" TargetMode="External"/></Relationships>
</file>

<file path=word/_rels/footnotes.xml.rels><?xml version='1.0' encoding='UTF-8' standalone='yes'?>
<Relationships xmlns="http://schemas.openxmlformats.org/package/2006/relationships"><Relationship Id="rId167" Type="http://schemas.openxmlformats.org/officeDocument/2006/relationships/hyperlink" Target="https://doi.org/10.1016/j.actaastro.2018.01.028" TargetMode="External"/><Relationship Id="rId161" Type="http://schemas.openxmlformats.org/officeDocument/2006/relationships/hyperlink" Target="https://doi.org/10.1016/j.actaastro.2021.01.021" TargetMode="External"/><Relationship Id="rId169" Type="http://schemas.openxmlformats.org/officeDocument/2006/relationships/hyperlink" Target="https://doi.org/10.1016/j.actaastro.2022.05.045" TargetMode="External"/><Relationship Id="rId165" Type="http://schemas.openxmlformats.org/officeDocument/2006/relationships/hyperlink" Target="https://doi.org/10.1016/j.actaastro.2023.01.016" TargetMode="External"/><Relationship Id="rId163" Type="http://schemas.openxmlformats.org/officeDocument/2006/relationships/hyperlink" Target="https://doi.org/10.1016/j.actaastro.2024.11.050" TargetMode="External"/><Relationship Id="rId171" Type="http://schemas.openxmlformats.org/officeDocument/2006/relationships/hyperlink" Target="https://doi.org/10.1016/j.actaastro.2025.01.007" TargetMode="External"/><Relationship Id="rId175" Type="http://schemas.openxmlformats.org/officeDocument/2006/relationships/hyperlink" Target="https://doi.org/10.1016/j.actaastro.2025.03.034" TargetMode="External"/><Relationship Id="rId173" Type="http://schemas.openxmlformats.org/officeDocument/2006/relationships/hyperlink" Target="https://doi.org/10.1016/j.actaastro.2025.06.029" TargetMode="External"/><Relationship Id="rId154" Type="http://schemas.openxmlformats.org/officeDocument/2006/relationships/hyperlink" Target="https://doi.org/10.64861/DNKW1345" TargetMode="External"/><Relationship Id="rId156" Type="http://schemas.openxmlformats.org/officeDocument/2006/relationships/hyperlink" Target="https://doi.org/10.64861/LBPZ7861" TargetMode="External"/><Relationship Id="rId151" Type="http://schemas.openxmlformats.org/officeDocument/2006/relationships/hyperlink" Target="https://doi.org/10.64861/LFFV2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Debris CONOPs: incentive-compatible cooperative remediation</dc:title>
  <dc:creator>Marina Adeyemi (1B-SDA-189)</dc:creator>
  <cp:keywords/>
  <dcterms:created xsi:type="dcterms:W3CDTF">2026-07-03T17:19:18Z</dcterms:created>
  <dcterms:modified xsi:type="dcterms:W3CDTF">2026-07-03T17:19:18Z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