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eec27308591703ba9bf392678b2eb562755c607"/>
    <w:p>
      <w:pPr>
        <w:pStyle w:val="Heading1"/>
      </w:pPr>
      <w:r>
        <w:t xml:space="preserve">Attention Accumulation in SSR Business Case rating-to-behavior: A Learning-Curve Analysis of Citation Growth by Article Age</w:t>
      </w:r>
    </w:p>
    <w:bookmarkStart w:id="61" w:name="introduction"/>
    <w:p>
      <w:pPr>
        <w:pStyle w:val="Heading2"/>
      </w:pPr>
      <w:r>
        <w:t xml:space="preserve">1. Introduction</w:t>
      </w:r>
    </w:p>
    <w:p>
      <w:pPr>
        <w:pStyle w:val="FirstParagraph"/>
      </w:pPr>
      <w:r>
        <w:t xml:space="preserve">This empirical paper supports Lena Yoon (1B-GOV-232) and the dissertation project</w:t>
      </w:r>
      <w:r>
        <w:t xml:space="preserve"> </w:t>
      </w:r>
      <w:r>
        <w:rPr>
          <w:i/>
          <w:iCs/>
        </w:rPr>
        <w:t xml:space="preserve">SSR Business Case: rating-to-behavior</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R2=0.27388950844524274, elasticity_b=-0.3749933800176263, progress_ratio_2^b=0.7711089510234402. The exact term summary is: const coef=0.7791482175277236 p=0.08104944009043284; _ln_x coef=-0.3749933800176263 p=0.08253043791094616.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Todd Harrison, Center for Strategic and International Studies. International Perspectives on Space Weapons (2020). [AMOS]</w:t>
      </w:r>
      <w:r>
        <w:t xml:space="preserve"> </w:t>
      </w:r>
      <w:bookmarkStart w:id="69" w:name="ref-3"/>
      <w:bookmarkEnd w:id="69"/>
      <w:r>
        <w:t xml:space="preserve">3. Matthew Stevenson, LeoLabs; Darren McKnight, LeoLabs; Hugh Lewis, University of Southampton; Chris Kunstadter, AXA XL; Rachit Bhatia, LeoLabs. Identifying the Statistically-Most-Concerning Conjunctions in LEO (2021). [AMOS]</w:t>
      </w:r>
      <w:r>
        <w:t xml:space="preserve"> </w:t>
      </w:r>
      <w:bookmarkStart w:id="70" w:name="ref-4"/>
      <w:bookmarkEnd w:id="70"/>
      <w:r>
        <w:t xml:space="preserve">4. Sergei Nikolaev (Lawrence Livermore National Laboratory), Donald Phillion (Lawrence Livermore National Laboratory), H. Keo Springer (Lawrence Livermore National Laboratory), Willem deVries (Lawrence Livermore National Laboratory), Ming Jiang (Lawrence Livermore National Laboratory), Alex Pertica (Lawrence Livermore National Laboratory), John Henderson (Lawrence Livermore National Laboratory), Matthew Horsley (Lawrence Livermore National Laboratory), Scot Olivier (Lawrence Livermore National Laboratory). Brute Force Modeling of the Kessler Syndrome (2012). [AMOS]</w:t>
      </w:r>
      <w:r>
        <w:t xml:space="preserve"> </w:t>
      </w:r>
      <w:bookmarkStart w:id="71" w:name="ref-5"/>
      <w:bookmarkEnd w:id="71"/>
      <w:r>
        <w:t xml:space="preserve">5. Ben Lane, ExoAnalytic Solutions, Mark Poole, ExoAnalytic Solutions, Matt Camp, ExoAnalytic Solutions, Jeremy Murray-Krezan, AFRL. Using Machine Learning for Advanced Anomaly Detection and Classification (2016). [AMOS]</w:t>
      </w:r>
      <w:r>
        <w:t xml:space="preserve"> </w:t>
      </w:r>
      <w:bookmarkStart w:id="72" w:name="ref-6"/>
      <w:bookmarkEnd w:id="72"/>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73">
        <w:r>
          <w:rPr>
            <w:rStyle w:val="Hyperlink"/>
          </w:rPr>
          <w:t xml:space="preserve">10.64861/OHUO6863</w:t>
        </w:r>
      </w:hyperlink>
      <w:r>
        <w:t xml:space="preserve"> </w:t>
      </w:r>
      <w:bookmarkStart w:id="74" w:name="ref-7"/>
      <w:bookmarkEnd w:id="74"/>
      <w:r>
        <w:t xml:space="preserve">7. Neera Jain, Purdue University; Mariel Borowitz, Sam Nunn School of International Affairs, Georgia Institute of Technology. A System-of-Systems Approach Towards Future Space Traffic Management Autonomy and Policy Co-Design (2023). doi:</w:t>
      </w:r>
      <w:r>
        <w:t xml:space="preserve"> </w:t>
      </w:r>
      <w:hyperlink r:id="rId75">
        <w:r>
          <w:rPr>
            <w:rStyle w:val="Hyperlink"/>
          </w:rPr>
          <w:t xml:space="preserve">10.64861/CKGQ5448</w:t>
        </w:r>
      </w:hyperlink>
      <w:r>
        <w:t xml:space="preserve"> </w:t>
      </w:r>
      <w:bookmarkStart w:id="76" w:name="ref-8"/>
      <w:bookmarkEnd w:id="76"/>
      <w:r>
        <w:t xml:space="preserve">8. Christopher J. Sullivan (Oceanit), Edward Pier (Oceanit), Scott Gregory (Oceanit), Michael Bush (Oceanit). Space Situational Awareness using Market Based Agents (2012).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0.7791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1.7446</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[-0.0962, 1.6545]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0.216</w:t>
            </w:r>
          </w:p>
        </w:tc>
        <w:tc>
          <w:tcPr>
            <w:tcW w:w="0" w:type="auto"/>
          </w:tcPr>
          <w:p>
            <w:pPr>
              <w:spacing w:line="240" w:lineRule="auto" w:before="0" w:after="0"/>
              <w:pStyle w:val="Compact"/>
            </w:pPr>
            <w:r>
              <w:rPr>
                <w:sz w:val="20"/>
                <w:szCs w:val="20"/>
              </w:rPr>
              <w:t xml:space="preserve">-1.7362</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[-0.7983, 0.0483]</w:t>
            </w:r>
          </w:p>
        </w:tc>
      </w:tr>
    </w:tbl>
    <w:p>
      <w:pPr>
        <w:pStyle w:val="BodyText"/>
      </w:pPr>
      <w:r>
        <w:t xml:space="preserve">Fit: N = 30 R2 = 0.2739 elasticity_b = -0.375 progress_ratio_2^b = 0.7711</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PHD-05\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https://amostech.space/year/2012/brute-force-modeling-of-the-kessler-syndrome/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https://amostech.space/year/2016/using-machine-learning-for-advanced-anomaly-detection-and-classification/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https://amostech.space/year/2012/space-situational-awareness-using-market-based-agents/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https://amostech.space/year/2015/improved-space-surveillance-network-ssn-scheduling-using-artificial-intelligence-techniques/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https://amostech.space/year/2015/automatic-rapid-replanning-of-satellite-operations-for-space-situational-awareness-ssa/</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MITRE/Aspen Institute (2022) whole-of-nation framework paper arguing that commercial, civil, and military space sectors share sustainability and governance challenges requiring unified U.S. leadership on norms, streamlined mission authorization, and sustained cross-sector coordination.</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 Sustainability: Economics of Space Debris in Perspective (OECD)</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10.1787/a339de43-en</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0.7791</w:t>
            </w:r>
          </w:p>
        </w:tc>
        <w:tc>
          <w:tcPr>
            <w:tcW w:w="0" w:type="auto"/>
          </w:tcPr>
          <w:p>
            <w:pPr>
              <w:spacing w:line="240" w:lineRule="auto" w:before="0" w:after="0"/>
              <w:pStyle w:val="Compact"/>
            </w:pPr>
            <w:r>
              <w:rPr>
                <w:sz w:val="20"/>
                <w:szCs w:val="20"/>
              </w:rPr>
              <w:t xml:space="preserve">0.4466</w:t>
            </w:r>
          </w:p>
        </w:tc>
        <w:tc>
          <w:tcPr>
            <w:tcW w:w="0" w:type="auto"/>
          </w:tcPr>
          <w:p>
            <w:pPr>
              <w:spacing w:line="240" w:lineRule="auto" w:before="0" w:after="0"/>
              <w:pStyle w:val="Compact"/>
            </w:pPr>
            <w:r>
              <w:rPr>
                <w:sz w:val="20"/>
                <w:szCs w:val="20"/>
              </w:rPr>
              <w:t xml:space="preserve">1.7446</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[-0.0962, 1.6545]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-0.375</w:t>
            </w:r>
          </w:p>
        </w:tc>
        <w:tc>
          <w:tcPr>
            <w:tcW w:w="0" w:type="auto"/>
          </w:tcPr>
          <w:p>
            <w:pPr>
              <w:spacing w:line="240" w:lineRule="auto" w:before="0" w:after="0"/>
              <w:pStyle w:val="Compact"/>
            </w:pPr>
            <w:r>
              <w:rPr>
                <w:sz w:val="20"/>
                <w:szCs w:val="20"/>
              </w:rPr>
              <w:t xml:space="preserve">0.216</w:t>
            </w:r>
          </w:p>
        </w:tc>
        <w:tc>
          <w:tcPr>
            <w:tcW w:w="0" w:type="auto"/>
          </w:tcPr>
          <w:p>
            <w:pPr>
              <w:spacing w:line="240" w:lineRule="auto" w:before="0" w:after="0"/>
              <w:pStyle w:val="Compact"/>
            </w:pPr>
            <w:r>
              <w:rPr>
                <w:sz w:val="20"/>
                <w:szCs w:val="20"/>
              </w:rPr>
              <w:t xml:space="preserve">-1.7362</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[-0.7983, 0.0483]</w:t>
            </w:r>
          </w:p>
        </w:tc>
      </w:tr>
    </w:tbl>
    <w:p>
      <w:pPr>
        <w:pStyle w:val="BodyText"/>
      </w:pPr>
      <w:r>
        <w:t xml:space="preserve">Fit: N = 30 R2 = 0.2739 elasticity_b = -0.375 progress_ratio_2^b = 0.7711</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5" Target="https://doi.org/10.64861/CKGQ5448" TargetMode="External" /><Relationship Type="http://schemas.openxmlformats.org/officeDocument/2006/relationships/hyperlink" Id="rId73" Target="https://doi.org/10.64861/OHUO6863"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64861/CKGQ5448" TargetMode="External" /><Relationship Type="http://schemas.openxmlformats.org/officeDocument/2006/relationships/hyperlink" Id="rId73" Target="https://doi.org/10.64861/OHUO68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2026-06-29T09:45:42Z</dcterms:created>
  <dcterms:modified xsi:type="dcterms:W3CDTF">2026-06-29T09:45:42Z</dcterms:modified>
</cp:coreProperties>
</file>

<file path=docProps/custom.xml><?xml version="1.0" encoding="utf-8"?>
<Properties xmlns="http://schemas.openxmlformats.org/officeDocument/2006/custom-properties" xmlns:vt="http://schemas.openxmlformats.org/officeDocument/2006/docPropsVTypes"/>
</file>