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2de13ff0d745821caceed62ce257a939406fec"/>
    <w:p>
      <w:pPr>
        <w:pStyle w:val="Heading1"/>
      </w:pPr>
      <w:r>
        <w:t xml:space="preserve">Signal Intensity in SSR Business Case rating-to-behavior: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Lena Yoon (1B-GOV-232) and the dissertation project</w:t>
      </w:r>
      <w:r>
        <w:t xml:space="preserve"> </w:t>
      </w:r>
      <w:r>
        <w:rPr>
          <w:i/>
          <w:iCs/>
        </w:rPr>
        <w:t xml:space="preserve">SSR Business Case: rating-to-behavior</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R2=0.25652437147772733, R2_adj=0.17073872203284968, F=7.675207425617432, F_p=0.0007821381177479286. The exact term summary is: const coef=6.875846144272956 p=8.893725464571936e-06; recency_index coef=0.13150490490389502 p=0.5421851446923563; cites_num coef=0.2395271514558316 p=0.49603581910889194; venue_score coef=-1.7424526033073837 p=0.003371006558837238.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r>
        <w:t xml:space="preserve"> </w:t>
      </w:r>
      <w:bookmarkStart w:id="68" w:name="ref-2"/>
      <w:bookmarkEnd w:id="68"/>
      <w:r>
        <w:t xml:space="preserve">2. Todd Harrison, Center for Strategic and International Studies. International Perspectives on Space Weapons (2020). [AMOS]</w:t>
      </w:r>
      <w:r>
        <w:t xml:space="preserve"> </w:t>
      </w:r>
      <w:bookmarkStart w:id="69" w:name="ref-3"/>
      <w:bookmarkEnd w:id="69"/>
      <w:r>
        <w:t xml:space="preserve">3. Matthew Stevenson, LeoLabs; Darren McKnight, LeoLabs; Hugh Lewis, University of Southampton; Chris Kunstadter, AXA XL; Rachit Bhatia, LeoLabs. Identifying the Statistically-Most-Concerning Conjunctions in LEO (2021). [AMOS]</w:t>
      </w:r>
      <w:r>
        <w:t xml:space="preserve"> </w:t>
      </w:r>
      <w:bookmarkStart w:id="70" w:name="ref-4"/>
      <w:bookmarkEnd w:id="70"/>
      <w:r>
        <w:t xml:space="preserve">4. Sergei Nikolaev (Lawrence Livermore National Laboratory), Donald Phillion (Lawrence Livermore National Laboratory), H. Keo Springer (Lawrence Livermore National Laboratory), Willem deVries (Lawrence Livermore National Laboratory), Ming Jiang (Lawrence Livermore National Laboratory), Alex Pertica (Lawrence Livermore National Laboratory), John Henderson (Lawrence Livermore National Laboratory), Matthew Horsley (Lawrence Livermore National Laboratory), Scot Olivier (Lawrence Livermore National Laboratory). Brute Force Modeling of the Kessler Syndrome (2012). [AMOS]</w:t>
      </w:r>
      <w:r>
        <w:t xml:space="preserve"> </w:t>
      </w:r>
      <w:bookmarkStart w:id="71" w:name="ref-5"/>
      <w:bookmarkEnd w:id="71"/>
      <w:r>
        <w:t xml:space="preserve">5. Ben Lane, ExoAnalytic Solutions, Mark Poole, ExoAnalytic Solutions, Matt Camp, ExoAnalytic Solutions, Jeremy Murray-Krezan, AFRL. Using Machine Learning for Advanced Anomaly Detection and Classification (2016). [AMOS]</w:t>
      </w:r>
      <w:r>
        <w:t xml:space="preserve"> </w:t>
      </w:r>
      <w:bookmarkStart w:id="72" w:name="ref-6"/>
      <w:bookmarkEnd w:id="72"/>
      <w:r>
        <w:t xml:space="preserve">6. Yasir Latif, Space Protocol; Anirban Chowdhury, Space Protocol; Samya Bagchi, Space Protocol. On-chain Validation of Tracking Data Messages (TDM) Using Distributed Deep Learning on a Proof of Stake (PoS) Blockchain (2024). doi:</w:t>
      </w:r>
      <w:r>
        <w:t xml:space="preserve"> </w:t>
      </w:r>
      <w:hyperlink r:id="rId73">
        <w:r>
          <w:rPr>
            <w:rStyle w:val="Hyperlink"/>
          </w:rPr>
          <w:t xml:space="preserve">10.64861/OHUO6863</w:t>
        </w:r>
      </w:hyperlink>
      <w:r>
        <w:t xml:space="preserve"> </w:t>
      </w:r>
      <w:bookmarkStart w:id="74" w:name="ref-7"/>
      <w:bookmarkEnd w:id="74"/>
      <w:r>
        <w:t xml:space="preserve">7. Neera Jain, Purdue University; Mariel Borowitz, Sam Nunn School of International Affairs, Georgia Institute of Technology. A System-of-Systems Approach Towards Future Space Traffic Management Autonomy and Policy Co-Design (2023). doi:</w:t>
      </w:r>
      <w:r>
        <w:t xml:space="preserve"> </w:t>
      </w:r>
      <w:hyperlink r:id="rId75">
        <w:r>
          <w:rPr>
            <w:rStyle w:val="Hyperlink"/>
          </w:rPr>
          <w:t xml:space="preserve">10.64861/CKGQ5448</w:t>
        </w:r>
      </w:hyperlink>
      <w:r>
        <w:t xml:space="preserve"> </w:t>
      </w:r>
      <w:bookmarkStart w:id="76" w:name="ref-8"/>
      <w:bookmarkEnd w:id="76"/>
      <w:r>
        <w:t xml:space="preserve">8. Christopher J. Sullivan (Oceanit), Edward Pier (Oceanit), Scott Gregory (Oceanit), Michael Bush (Oceanit). Space Situational Awareness using Market Based Agents (2012).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6.8758</w:t>
            </w:r>
          </w:p>
        </w:tc>
        <w:tc>
          <w:tcPr>
            <w:tcW w:w="0" w:type="auto"/>
          </w:tcPr>
          <w:p>
            <w:pPr>
              <w:spacing w:line="240" w:lineRule="auto" w:before="0" w:after="0"/>
              <w:pStyle w:val="Compact"/>
            </w:pPr>
            <w:r>
              <w:rPr>
                <w:sz w:val="20"/>
                <w:szCs w:val="20"/>
              </w:rPr>
              <w:t xml:space="preserve">1.5478</w:t>
            </w:r>
          </w:p>
        </w:tc>
        <w:tc>
          <w:tcPr>
            <w:tcW w:w="0" w:type="auto"/>
          </w:tcPr>
          <w:p>
            <w:pPr>
              <w:spacing w:line="240" w:lineRule="auto" w:before="0" w:after="0"/>
              <w:pStyle w:val="Compact"/>
            </w:pPr>
            <w:r>
              <w:rPr>
                <w:sz w:val="20"/>
                <w:szCs w:val="20"/>
              </w:rPr>
              <w:t xml:space="preserve">4.4425</w:t>
            </w:r>
          </w:p>
        </w:tc>
        <w:tc>
          <w:tcPr>
            <w:tcW w:w="0" w:type="auto"/>
          </w:tcPr>
          <w:p>
            <w:pPr>
              <w:spacing w:line="240" w:lineRule="auto" w:before="0" w:after="0"/>
              <w:pStyle w:val="Compact"/>
            </w:pPr>
            <w:r>
              <w:rPr>
                <w:sz w:val="20"/>
                <w:szCs w:val="20"/>
              </w:rPr>
              <w:t xml:space="preserve">8.894e-06</w:t>
            </w:r>
          </w:p>
        </w:tc>
        <w:tc>
          <w:tcPr>
            <w:tcW w:w="0" w:type="auto"/>
          </w:tcPr>
          <w:p>
            <w:pPr>
              <w:spacing w:line="240" w:lineRule="auto" w:before="0" w:after="0"/>
              <w:pStyle w:val="Compact"/>
            </w:pPr>
            <w:r>
              <w:rPr>
                <w:sz w:val="20"/>
                <w:szCs w:val="20"/>
              </w:rPr>
              <w:t xml:space="preserve">[3.8423, 9.9094]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0.6095</w:t>
            </w:r>
          </w:p>
        </w:tc>
        <w:tc>
          <w:tcPr>
            <w:tcW w:w="0" w:type="auto"/>
          </w:tcPr>
          <w:p>
            <w:pPr>
              <w:spacing w:line="240" w:lineRule="auto" w:before="0" w:after="0"/>
              <w:pStyle w:val="Compact"/>
            </w:pPr>
            <w:r>
              <w:rPr>
                <w:sz w:val="20"/>
                <w:szCs w:val="20"/>
              </w:rPr>
              <w:t xml:space="preserve">0.5422</w:t>
            </w:r>
          </w:p>
        </w:tc>
        <w:tc>
          <w:tcPr>
            <w:tcW w:w="0" w:type="auto"/>
          </w:tcPr>
          <w:p>
            <w:pPr>
              <w:spacing w:line="240" w:lineRule="auto" w:before="0" w:after="0"/>
              <w:pStyle w:val="Compact"/>
            </w:pPr>
            <w:r>
              <w:rPr>
                <w:sz w:val="20"/>
                <w:szCs w:val="20"/>
              </w:rPr>
              <w:t xml:space="preserve">[-0.2914, 0.5544]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0.2395</w:t>
            </w:r>
          </w:p>
        </w:tc>
        <w:tc>
          <w:tcPr>
            <w:tcW w:w="0" w:type="auto"/>
          </w:tcPr>
          <w:p>
            <w:pPr>
              <w:spacing w:line="240" w:lineRule="auto" w:before="0" w:after="0"/>
              <w:pStyle w:val="Compact"/>
            </w:pPr>
            <w:r>
              <w:rPr>
                <w:sz w:val="20"/>
                <w:szCs w:val="20"/>
              </w:rPr>
              <w:t xml:space="preserve">0.3519</w:t>
            </w:r>
          </w:p>
        </w:tc>
        <w:tc>
          <w:tcPr>
            <w:tcW w:w="0" w:type="auto"/>
          </w:tcPr>
          <w:p>
            <w:pPr>
              <w:spacing w:line="240" w:lineRule="auto" w:before="0" w:after="0"/>
              <w:pStyle w:val="Compact"/>
            </w:pPr>
            <w:r>
              <w:rPr>
                <w:sz w:val="20"/>
                <w:szCs w:val="20"/>
              </w:rPr>
              <w:t xml:space="preserve">0.6807</w:t>
            </w:r>
          </w:p>
        </w:tc>
        <w:tc>
          <w:tcPr>
            <w:tcW w:w="0" w:type="auto"/>
          </w:tcPr>
          <w:p>
            <w:pPr>
              <w:spacing w:line="240" w:lineRule="auto" w:before="0" w:after="0"/>
              <w:pStyle w:val="Compact"/>
            </w:pPr>
            <w:r>
              <w:rPr>
                <w:sz w:val="20"/>
                <w:szCs w:val="20"/>
              </w:rPr>
              <w:t xml:space="preserve">0.496</w:t>
            </w:r>
          </w:p>
        </w:tc>
        <w:tc>
          <w:tcPr>
            <w:tcW w:w="0" w:type="auto"/>
          </w:tcPr>
          <w:p>
            <w:pPr>
              <w:spacing w:line="240" w:lineRule="auto" w:before="0" w:after="0"/>
              <w:pStyle w:val="Compact"/>
            </w:pPr>
            <w:r>
              <w:rPr>
                <w:sz w:val="20"/>
                <w:szCs w:val="20"/>
              </w:rPr>
              <w:t xml:space="preserve">[-0.4501, 0.9292]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-1.7425</w:t>
            </w:r>
          </w:p>
        </w:tc>
        <w:tc>
          <w:tcPr>
            <w:tcW w:w="0" w:type="auto"/>
          </w:tcPr>
          <w:p>
            <w:pPr>
              <w:spacing w:line="240" w:lineRule="auto" w:before="0" w:after="0"/>
              <w:pStyle w:val="Compact"/>
            </w:pPr>
            <w:r>
              <w:rPr>
                <w:sz w:val="20"/>
                <w:szCs w:val="20"/>
              </w:rPr>
              <w:t xml:space="preserve">0.5943</w:t>
            </w:r>
          </w:p>
        </w:tc>
        <w:tc>
          <w:tcPr>
            <w:tcW w:w="0" w:type="auto"/>
          </w:tcPr>
          <w:p>
            <w:pPr>
              <w:spacing w:line="240" w:lineRule="auto" w:before="0" w:after="0"/>
              <w:pStyle w:val="Compact"/>
            </w:pPr>
            <w:r>
              <w:rPr>
                <w:sz w:val="20"/>
                <w:szCs w:val="20"/>
              </w:rPr>
              <w:t xml:space="preserve">-2.9317</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[-2.9074, -0.5776]</w:t>
            </w:r>
          </w:p>
        </w:tc>
      </w:tr>
    </w:tbl>
    <w:p>
      <w:pPr>
        <w:pStyle w:val="BodyText"/>
      </w:pPr>
      <w:r>
        <w:t xml:space="preserve">Fit: N = 30 R2 = 0.2565 R2_adj = 0.1707 F = 7.6752 F_p = 0.0007821</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PHD-05\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https://amostech.space/year/2012/brute-force-modeling-of-the-kessler-syndrome/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https://amostech.space/year/2016/using-machine-learning-for-advanced-anomaly-detection-and-classification/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 Sustainability: Economics of Space Debris in Perspective (OECD)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10.1787/a339de43-en</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6.8758</w:t>
            </w:r>
          </w:p>
        </w:tc>
        <w:tc>
          <w:tcPr>
            <w:tcW w:w="0" w:type="auto"/>
          </w:tcPr>
          <w:p>
            <w:pPr>
              <w:spacing w:line="240" w:lineRule="auto" w:before="0" w:after="0"/>
              <w:pStyle w:val="Compact"/>
            </w:pPr>
            <w:r>
              <w:rPr>
                <w:sz w:val="20"/>
                <w:szCs w:val="20"/>
              </w:rPr>
              <w:t xml:space="preserve">1.5478</w:t>
            </w:r>
          </w:p>
        </w:tc>
        <w:tc>
          <w:tcPr>
            <w:tcW w:w="0" w:type="auto"/>
          </w:tcPr>
          <w:p>
            <w:pPr>
              <w:spacing w:line="240" w:lineRule="auto" w:before="0" w:after="0"/>
              <w:pStyle w:val="Compact"/>
            </w:pPr>
            <w:r>
              <w:rPr>
                <w:sz w:val="20"/>
                <w:szCs w:val="20"/>
              </w:rPr>
              <w:t xml:space="preserve">4.4425</w:t>
            </w:r>
          </w:p>
        </w:tc>
        <w:tc>
          <w:tcPr>
            <w:tcW w:w="0" w:type="auto"/>
          </w:tcPr>
          <w:p>
            <w:pPr>
              <w:spacing w:line="240" w:lineRule="auto" w:before="0" w:after="0"/>
              <w:pStyle w:val="Compact"/>
            </w:pPr>
            <w:r>
              <w:rPr>
                <w:sz w:val="20"/>
                <w:szCs w:val="20"/>
              </w:rPr>
              <w:t xml:space="preserve">8.894e-06</w:t>
            </w:r>
          </w:p>
        </w:tc>
        <w:tc>
          <w:tcPr>
            <w:tcW w:w="0" w:type="auto"/>
          </w:tcPr>
          <w:p>
            <w:pPr>
              <w:spacing w:line="240" w:lineRule="auto" w:before="0" w:after="0"/>
              <w:pStyle w:val="Compact"/>
            </w:pPr>
            <w:r>
              <w:rPr>
                <w:sz w:val="20"/>
                <w:szCs w:val="20"/>
              </w:rPr>
              <w:t xml:space="preserve">[3.8423, 9.9094]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0.6095</w:t>
            </w:r>
          </w:p>
        </w:tc>
        <w:tc>
          <w:tcPr>
            <w:tcW w:w="0" w:type="auto"/>
          </w:tcPr>
          <w:p>
            <w:pPr>
              <w:spacing w:line="240" w:lineRule="auto" w:before="0" w:after="0"/>
              <w:pStyle w:val="Compact"/>
            </w:pPr>
            <w:r>
              <w:rPr>
                <w:sz w:val="20"/>
                <w:szCs w:val="20"/>
              </w:rPr>
              <w:t xml:space="preserve">0.5422</w:t>
            </w:r>
          </w:p>
        </w:tc>
        <w:tc>
          <w:tcPr>
            <w:tcW w:w="0" w:type="auto"/>
          </w:tcPr>
          <w:p>
            <w:pPr>
              <w:spacing w:line="240" w:lineRule="auto" w:before="0" w:after="0"/>
              <w:pStyle w:val="Compact"/>
            </w:pPr>
            <w:r>
              <w:rPr>
                <w:sz w:val="20"/>
                <w:szCs w:val="20"/>
              </w:rPr>
              <w:t xml:space="preserve">[-0.2914, 0.5544]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0.2395</w:t>
            </w:r>
          </w:p>
        </w:tc>
        <w:tc>
          <w:tcPr>
            <w:tcW w:w="0" w:type="auto"/>
          </w:tcPr>
          <w:p>
            <w:pPr>
              <w:spacing w:line="240" w:lineRule="auto" w:before="0" w:after="0"/>
              <w:pStyle w:val="Compact"/>
            </w:pPr>
            <w:r>
              <w:rPr>
                <w:sz w:val="20"/>
                <w:szCs w:val="20"/>
              </w:rPr>
              <w:t xml:space="preserve">0.3519</w:t>
            </w:r>
          </w:p>
        </w:tc>
        <w:tc>
          <w:tcPr>
            <w:tcW w:w="0" w:type="auto"/>
          </w:tcPr>
          <w:p>
            <w:pPr>
              <w:spacing w:line="240" w:lineRule="auto" w:before="0" w:after="0"/>
              <w:pStyle w:val="Compact"/>
            </w:pPr>
            <w:r>
              <w:rPr>
                <w:sz w:val="20"/>
                <w:szCs w:val="20"/>
              </w:rPr>
              <w:t xml:space="preserve">0.6807</w:t>
            </w:r>
          </w:p>
        </w:tc>
        <w:tc>
          <w:tcPr>
            <w:tcW w:w="0" w:type="auto"/>
          </w:tcPr>
          <w:p>
            <w:pPr>
              <w:spacing w:line="240" w:lineRule="auto" w:before="0" w:after="0"/>
              <w:pStyle w:val="Compact"/>
            </w:pPr>
            <w:r>
              <w:rPr>
                <w:sz w:val="20"/>
                <w:szCs w:val="20"/>
              </w:rPr>
              <w:t xml:space="preserve">0.496</w:t>
            </w:r>
          </w:p>
        </w:tc>
        <w:tc>
          <w:tcPr>
            <w:tcW w:w="0" w:type="auto"/>
          </w:tcPr>
          <w:p>
            <w:pPr>
              <w:spacing w:line="240" w:lineRule="auto" w:before="0" w:after="0"/>
              <w:pStyle w:val="Compact"/>
            </w:pPr>
            <w:r>
              <w:rPr>
                <w:sz w:val="20"/>
                <w:szCs w:val="20"/>
              </w:rPr>
              <w:t xml:space="preserve">[-0.4501, 0.9292]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-1.7425</w:t>
            </w:r>
          </w:p>
        </w:tc>
        <w:tc>
          <w:tcPr>
            <w:tcW w:w="0" w:type="auto"/>
          </w:tcPr>
          <w:p>
            <w:pPr>
              <w:spacing w:line="240" w:lineRule="auto" w:before="0" w:after="0"/>
              <w:pStyle w:val="Compact"/>
            </w:pPr>
            <w:r>
              <w:rPr>
                <w:sz w:val="20"/>
                <w:szCs w:val="20"/>
              </w:rPr>
              <w:t xml:space="preserve">0.5943</w:t>
            </w:r>
          </w:p>
        </w:tc>
        <w:tc>
          <w:tcPr>
            <w:tcW w:w="0" w:type="auto"/>
          </w:tcPr>
          <w:p>
            <w:pPr>
              <w:spacing w:line="240" w:lineRule="auto" w:before="0" w:after="0"/>
              <w:pStyle w:val="Compact"/>
            </w:pPr>
            <w:r>
              <w:rPr>
                <w:sz w:val="20"/>
                <w:szCs w:val="20"/>
              </w:rPr>
              <w:t xml:space="preserve">-2.9317</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[-2.9074, -0.5776]</w:t>
            </w:r>
          </w:p>
        </w:tc>
      </w:tr>
    </w:tbl>
    <w:p>
      <w:pPr>
        <w:pStyle w:val="BodyText"/>
      </w:pPr>
      <w:r>
        <w:t xml:space="preserve">Fit: N = 30 R2 = 0.2565 R2_adj = 0.1707 F = 7.6752 F_p = 0.0007821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5" Target="https://doi.org/10.64861/CKGQ5448" TargetMode="External" /><Relationship Type="http://schemas.openxmlformats.org/officeDocument/2006/relationships/hyperlink" Id="rId73" Target="https://doi.org/10.64861/OHUO6863"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CKGQ5448" TargetMode="External" /><Relationship Type="http://schemas.openxmlformats.org/officeDocument/2006/relationships/hyperlink" Id="rId73" Target="https://doi.org/10.64861/OHUO68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2026-06-29T09:45:40Z</dcterms:created>
  <dcterms:modified xsi:type="dcterms:W3CDTF">2026-06-29T09:45:40Z</dcterms:modified>
</cp:coreProperties>
</file>

<file path=docProps/custom.xml><?xml version="1.0" encoding="utf-8"?>
<Properties xmlns="http://schemas.openxmlformats.org/officeDocument/2006/custom-properties" xmlns:vt="http://schemas.openxmlformats.org/officeDocument/2006/docPropsVTypes"/>
</file>