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SSR BUSINESS CASE: RATING-TO-BEHAVIOR</w:t>
      </w:r>
    </w:p>
    <w:p>
      <w:pPr>
        <w:jc w:val="center"/>
      </w:pPr>
    </w:p>
    <w:p>
      <w:pPr>
        <w:jc w:val="center"/>
      </w:pPr>
      <w:r>
        <w:rPr>
          <w:rFonts w:ascii="Times New Roman" w:hAnsi="Times New Roman"/>
          <w:sz w:val="24"/>
        </w:rPr>
        <w:t>by</w:t>
      </w:r>
    </w:p>
    <w:p>
      <w:pPr>
        <w:jc w:val="center"/>
      </w:pPr>
      <w:r>
        <w:rPr>
          <w:rFonts w:ascii="Times New Roman" w:hAnsi="Times New Roman"/>
          <w:b/>
          <w:sz w:val="28"/>
        </w:rPr>
        <w:t>Lena Yoon</w:t>
      </w:r>
    </w:p>
    <w:p>
      <w:pPr>
        <w:jc w:val="center"/>
      </w:pPr>
      <w:r>
        <w:rPr>
          <w:rFonts w:ascii="Times New Roman" w:hAnsi="Times New Roman"/>
          <w:sz w:val="24"/>
        </w:rPr>
        <w:t>1B-GOV-232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introduction"/>
    <w:p>
      <w:pPr>
        <w:pStyle w:val="Heading1"/>
        <w:spacing w:line="480" w:lineRule="auto"/>
      </w:pPr>
      <w:r>
        <w:t xml:space="preserve">Introduction</w:t>
      </w:r>
    </w:p>
    <w:p>
      <w:pPr>
        <w:pStyle w:val="FirstParagraph"/>
        <w:spacing w:line="480" w:lineRule="auto"/>
      </w:pPr>
      <w:r>
        <w:t xml:space="preserve">Space governance tends to arrive late. A risk becomes visible in the technical literature, operators and insurers begin to price it, and only afterward do institutions converge on a rule that names the problem and assigns responsibility for it. The Space Sustainability Rating sits inside that lag. It is a voluntary composite indicator, built to score satellite operators on choices that affect the shared orbital environment, and its designers hope that a score will move behavior before any binding regulation forces the issue</w:t>
      </w:r>
      <w:r>
        <w:t xml:space="preserve"> </w:t>
      </w:r>
      <w:hyperlink w:anchor="ref-9">
        <w:r>
          <w:rPr>
            <w:rStyle w:val="Hyperlink"/>
          </w:rPr>
          <w:t xml:space="preserve">[9]</w:t>
        </w:r>
      </w:hyperlink>
      <w:r>
        <w:t xml:space="preserve">. That hope is a business case. A rating that discloses a score no coherent audience recognizes discloses nothing usable, which is why the legibility of the underlying topic, and not merely the precision of the composite, is the condition on which the whole informational logic of the instrument ultimately turns</w:t>
      </w:r>
      <w:r>
        <w:t xml:space="preserve"> </w:t>
      </w:r>
      <w:hyperlink w:anchor="ref-10">
        <w:r>
          <w:rPr>
            <w:rStyle w:val="Hyperlink"/>
          </w:rPr>
          <w:t xml:space="preserve">[10]</w:t>
        </w:r>
      </w:hyperlink>
      <w:r>
        <w:t xml:space="preserve">.</w:t>
      </w:r>
    </w:p>
    <w:p>
      <w:pPr>
        <w:pStyle w:val="BodyText"/>
        <w:spacing w:line="480" w:lineRule="auto"/>
        <w:ind w:firstLine="720"/>
      </w:pPr>
      <w:r>
        <w:t xml:space="preserve">That is the claim.</w:t>
      </w:r>
    </w:p>
    <w:p>
      <w:pPr>
        <w:pStyle w:val="BodyText"/>
        <w:spacing w:line="480" w:lineRule="auto"/>
        <w:ind w:firstLine="720"/>
      </w:pPr>
      <w:r>
        <w:t xml:space="preserve">It assumes that a rating carries enough informational weight, distributed across the right audiences, to change what operators do. This dissertation asks a narrower and more answerable question underneath that assumption: is the topic that the rating addresses actually legible in the documentary record that the rating community produces and cites?. Read against that ambition, the modest empirical yield reported here is not a retreat from the question but a disciplined narrowing of it, because the documentary precondition can be tested with obtainable evidence whereas the behavioral claim cannot, and honesty about that boundary is what a design-stage project owes its reader</w:t>
      </w:r>
      <w:r>
        <w:t xml:space="preserve"> </w:t>
      </w:r>
      <w:hyperlink w:anchor="ref-3">
        <w:r>
          <w:rPr>
            <w:rStyle w:val="Hyperlink"/>
          </w:rPr>
          <w:t xml:space="preserve">[3]</w:t>
        </w:r>
      </w:hyperlink>
      <w:r>
        <w:t xml:space="preserve">.</w:t>
      </w:r>
    </w:p>
    <w:p>
      <w:pPr>
        <w:pStyle w:val="BodyText"/>
        <w:spacing w:line="480" w:lineRule="auto"/>
        <w:ind w:firstLine="720"/>
      </w:pPr>
      <w:r>
        <w:t xml:space="preserve">This much is firm.</w:t>
      </w:r>
    </w:p>
    <w:p>
      <w:pPr>
        <w:pStyle w:val="BodyText"/>
        <w:spacing w:line="480" w:lineRule="auto"/>
        <w:ind w:firstLine="720"/>
      </w:pPr>
      <w:r>
        <w:t xml:space="preserve">The question sounds modest. It is deliberately so. A doctoral project written at the design stage of a governance instrument faces a temptation to over-claim, to treat the desirability of an outcome as evidence that the instrument will produce it. I resist that temptation by refusing to test the rating’s downstream behavioral effect, which no obtainable dataset in this pipeline can identify. And by testing instead something the available evidence can bear: whether the rating-to-behavior topic leaves a structured trace in source timing, in citation attention, and in the venue families where the work appears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If the topic is a coherent object of scholarly and policy attention, that coherence should show up as measurable structure. If it does not, the honest finding is that the corpus is noisier than the business case presumes, and the burden of proof shifts back onto the instrument’s advocates. What the three readers share, despite their different aims, is a need for evidence whose provenance can be traced from a retrieved record through a deterministic feature to a reported coefficient, so that no interpretive weight rests on an assertion the workbooks cannot independently confirm or reproduce</w:t>
      </w:r>
      <w:r>
        <w:t xml:space="preserve"> </w:t>
      </w:r>
      <w:hyperlink w:anchor="ref-5">
        <w:r>
          <w:rPr>
            <w:rStyle w:val="Hyperlink"/>
          </w:rPr>
          <w:t xml:space="preserve">[5]</w:t>
        </w:r>
      </w:hyperlink>
      <w:r>
        <w:t xml:space="preserve">.</w:t>
      </w:r>
    </w:p>
    <w:p>
      <w:pPr>
        <w:pStyle w:val="BodyText"/>
        <w:spacing w:line="480" w:lineRule="auto"/>
        <w:ind w:firstLine="720"/>
      </w:pPr>
      <w:r>
        <w:t xml:space="preserve">The rest is inference.</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Low Earth orbit is a common-pool resource under strain. The number of active payloads has risen sharply, conjunction assessments have multiplied, and the physical logic of cascading collision, described decades ago and still modeled today, has moved from thought experiment to operational planning concern</w:t>
      </w:r>
      <w:r>
        <w:t xml:space="preserve"> </w:t>
      </w:r>
      <w:hyperlink w:anchor="ref-4">
        <w:r>
          <w:rPr>
            <w:rStyle w:val="Hyperlink"/>
          </w:rPr>
          <w:t xml:space="preserve">[4]</w:t>
        </w:r>
      </w:hyperlink>
      <w:r>
        <w:t xml:space="preserve">. Against that backdrop, several governance responses compete. Some are hard: mission authorization requirements, altitude-band entry rules modeled on aviation airspace classes, debris remediation mandates. Others are soft. The Space Sustainability Rating is the leading soft instrument. Rather than compel, it scores and discloses, betting that transparency plus reputational incentive will shift operator conduct in a direction that pure economic self-interest would not</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Precision matters here. The stakes are concrete.</w:t>
      </w:r>
    </w:p>
    <w:p>
      <w:pPr>
        <w:pStyle w:val="BodyText"/>
        <w:spacing w:line="480" w:lineRule="auto"/>
        <w:ind w:firstLine="720"/>
      </w:pPr>
      <w:r>
        <w:t xml:space="preserve">Why should a reader care whether that bet rests on a legible evidentiary base? Because voluntary instruments are cheap to launch and expensive to sustain. They survive only if the community that builds them shares a stable understanding of the problem they address, and that shared understanding is precisely what a structured documentary trace would reveal. A rating whose intellectual foundation is scattered across incompatible venues, cited at random, and untethered from any recency gradient is a rating that will struggle to command the deference its business case requires.</w:t>
      </w:r>
    </w:p>
    <w:p>
      <w:pPr>
        <w:pStyle w:val="BodyText"/>
        <w:spacing w:line="480" w:lineRule="auto"/>
        <w:ind w:firstLine="720"/>
      </w:pPr>
      <w:r>
        <w:t xml:space="preserve">The stakes are therefore practical rather than abstract. An operator deciding whether to invest in a better sustainability posture, a regulator deciding whether to lean on a voluntary score or legislate around it. And a funder deciding whether the rating deserves continued support all benefit from knowing whether the topic beneath the score is a coherent research object or a convenient label</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There is a second reason the problem matters, internal to how this project is built. Doctoral work in an automated research pipeline can drift toward fluent narrative unmoored from any inspectable computation. I treat that drift as the primary methodological hazard. Every substantive claim in the empirical spine of this dissertation traces to a local source record, a deterministic feature row derived from that record, and an estimator whose output is reported without alteration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contribution is as much about the auditability of the evidentiary chain as it is about the specific coefficients that chain produces.</w:t>
      </w:r>
    </w:p>
    <w:p>
      <w:pPr>
        <w:pStyle w:val="BodyText"/>
        <w:spacing w:line="480" w:lineRule="auto"/>
        <w:ind w:firstLine="720"/>
      </w:pPr>
      <w:r>
        <w:t xml:space="preserve">Nothing is imputed.</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I state one testable proposition and commit to being wrong if the data say so.</w:t>
      </w:r>
    </w:p>
    <w:p>
      <w:pPr>
        <w:pStyle w:val="BodyText"/>
        <w:spacing w:line="480" w:lineRule="auto"/>
        <w:ind w:firstLine="720"/>
      </w:pPr>
      <w:r>
        <w:t xml:space="preserve">That is the whole of it.</w:t>
      </w:r>
    </w:p>
    <w:p>
      <w:pPr>
        <w:pStyle w:val="BodyText"/>
        <w:spacing w:line="480" w:lineRule="auto"/>
        <w:ind w:firstLine="720"/>
      </w:pPr>
      <w:r>
        <w:t xml:space="preserve">The null hypothesis is that the rating-to-behavior topic signal is unrelated to publication recency, to citation attention, and to venue family across the retrieved source corpus. Under this null, a source that mentions the topic more heavily is no more recent, no more cited, and no more concentrated in any particular venue than a source that mentions it lightly. The alternative hypothesis is that the topic signal is systematically related to at least one of those three structural features, so that the corpus carries a detectable organization rather than uniform noise.</w:t>
      </w:r>
    </w:p>
    <w:p>
      <w:pPr>
        <w:pStyle w:val="BodyText"/>
        <w:spacing w:line="480" w:lineRule="auto"/>
        <w:ind w:firstLine="720"/>
      </w:pPr>
      <w:r>
        <w:t xml:space="preserve">The chain stays inspectable.</w:t>
      </w:r>
    </w:p>
    <w:p>
      <w:pPr>
        <w:pStyle w:val="BodyText"/>
        <w:spacing w:line="480" w:lineRule="auto"/>
        <w:ind w:firstLine="720"/>
      </w:pPr>
      <w:r>
        <w:t xml:space="preserve">Two empirical screens operationalize this. The first is an ordinary least squares model that regresses a composite topic-signal score on a recency index, a reported citation count, and an ordinal venue-family score, estimated across thirty retrieved records</w:t>
      </w:r>
      <w:r>
        <w:t xml:space="preserve"> </w:t>
      </w:r>
      <w:hyperlink w:anchor="ref-9">
        <w:r>
          <w:rPr>
            <w:rStyle w:val="Hyperlink"/>
          </w:rPr>
          <w:t xml:space="preserve">[9]</w:t>
        </w:r>
      </w:hyperlink>
      <w:r>
        <w:t xml:space="preserve">. The second is a log-log learning-curve model that regresses citation accumulation on article age across the same thirty records, testing whether attention follows an age-structured curve rather than pooling at random. Neither screen settles the full policy question of whether a rating changes operator behavior. Together they discipline the evidence: they tell the reader which parts of the topic are visible in metadata and which parts remain invisible until a more direct document-coding design is undertaken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Read it narrowly.</w:t>
      </w:r>
    </w:p>
    <w:p>
      <w:pPr>
        <w:pStyle w:val="BodyText"/>
        <w:spacing w:line="480" w:lineRule="auto"/>
        <w:ind w:firstLine="720"/>
      </w:pPr>
      <w:r>
        <w:t xml:space="preserve">The falsifiability is genuine, not decorative. One of the two coefficients I care about most, the venue-family term, could have come back null. It did not. Two of the terms I might have expected to matter, recency and citation count, could have come back strongly signed. They did not. Reporting all three outcomes, including the ones that fail to support a strong reading, is the point. A design that only reports confirmations is not a test.</w:t>
      </w:r>
    </w:p>
    <w:bookmarkEnd w:id="62"/>
    <w:bookmarkStart w:id="63" w:name="scope-and-what-i-do-not-claim"/>
    <w:p>
      <w:pPr>
        <w:pStyle w:val="Heading2"/>
        <w:spacing w:line="480" w:lineRule="auto"/>
      </w:pPr>
      <w:r>
        <w:t xml:space="preserve">Scope and what I do not claim</w:t>
      </w:r>
    </w:p>
    <w:p>
      <w:pPr>
        <w:pStyle w:val="FirstParagraph"/>
        <w:spacing w:line="480" w:lineRule="auto"/>
      </w:pPr>
      <w:r>
        <w:t xml:space="preserve">I do not claim that the Space Sustainability Rating changes behavior. I do not measure operator conduct, disclosure decisions, or any market response to a published score. The dataset here is documentary and bibliometric, and no amount of careful estimation converts documentary structure into a causal behavioral effect. What I claim is bounded to the corpus: the rating-to-behavior topic is legible in venue structure and, on the evidence of the second screen. Only weakly structured by article age, with recency and raw citation count adding little once venue is controlled</w:t>
      </w:r>
      <w:r>
        <w:t xml:space="preserve"> </w:t>
      </w:r>
      <w:hyperlink w:anchor="ref-3">
        <w:r>
          <w:rPr>
            <w:rStyle w:val="Hyperlink"/>
          </w:rPr>
          <w:t xml:space="preserve">[3]</w:t>
        </w:r>
      </w:hyperlink>
      <w:r>
        <w:t xml:space="preserve"> </w:t>
      </w:r>
      <w:hyperlink w:anchor="ref-4">
        <w:r>
          <w:rPr>
            <w:rStyle w:val="Hyperlink"/>
          </w:rPr>
          <w:t xml:space="preserve">[4]</w:t>
        </w:r>
      </w:hyperlink>
      <w:r>
        <w:t xml:space="preserve">. Those are corpus facts. They constrain what an advocate of the instrument can responsibly assert, and they point toward the document-level design that a follow-on project would need.</w:t>
      </w:r>
    </w:p>
    <w:p>
      <w:pPr>
        <w:pStyle w:val="BodyText"/>
        <w:spacing w:line="480" w:lineRule="auto"/>
        <w:ind w:firstLine="720"/>
      </w:pPr>
      <w:r>
        <w:t xml:space="preserve">I also do not treat the local citation counts as universal citation counts. They are index measures parsed from a local brain, zero for many records because the index reported no count, and they should be read as attention proxies internal to this retrieval rather than as field-wide impact</w:t>
      </w:r>
      <w:r>
        <w:t xml:space="preserve"> </w:t>
      </w:r>
      <w:hyperlink w:anchor="ref-6">
        <w:r>
          <w:rPr>
            <w:rStyle w:val="Hyperlink"/>
          </w:rPr>
          <w:t xml:space="preserve">[6]</w:t>
        </w:r>
      </w:hyperlink>
      <w:r>
        <w:t xml:space="preserve">. The venue-family coding is ordinal, with AMOS scored one, Acta Astronautica scored two, and the space-economy family scored three, and I resist any reading that treats a higher venue score as inherently more authoritative. It is a family label, not a quality ranking</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63"/>
    <w:bookmarkStart w:id="64" w:name="roadmap"/>
    <w:p>
      <w:pPr>
        <w:pStyle w:val="Heading2"/>
        <w:spacing w:line="480" w:lineRule="auto"/>
      </w:pPr>
      <w:r>
        <w:t xml:space="preserve">Roadmap</w:t>
      </w:r>
    </w:p>
    <w:p>
      <w:pPr>
        <w:pStyle w:val="FirstParagraph"/>
        <w:spacing w:line="480" w:lineRule="auto"/>
      </w:pPr>
      <w:r>
        <w:t xml:space="preserve">The dissertation proceeds in eight chapters. This introduction has set the problem, the stakes, and the one falsifiable claim. Chapter two situates the project against prior work on space sustainability rating, orbital common-pool governance, and the measurement of scholarly attention, drawing the reference pool into an explicit conversation rather than a citation list</w:t>
      </w:r>
      <w:r>
        <w:t xml:space="preserve"> </w:t>
      </w:r>
      <w:hyperlink w:anchor="ref-9">
        <w:r>
          <w:rPr>
            <w:rStyle w:val="Hyperlink"/>
          </w:rPr>
          <w:t xml:space="preserve">[9]</w:t>
        </w:r>
      </w:hyperlink>
      <w:r>
        <w:t xml:space="preserve"> </w:t>
      </w:r>
      <w:hyperlink w:anchor="ref-12">
        <w:r>
          <w:rPr>
            <w:rStyle w:val="Hyperlink"/>
          </w:rPr>
          <w:t xml:space="preserve">[12]</w:t>
        </w:r>
      </w:hyperlink>
      <w:r>
        <w:t xml:space="preserve">. Chapter three develops the mechanism: why a genuine governance topic should imprint structure on its documentary trace, and what testable predictions follow from that mechanism. Chapter four presents the two estimators and argues why each identifies the structural relationship it targets, including the choice of robust standard errors and the log-log functional form</w:t>
      </w:r>
      <w:r>
        <w:t xml:space="preserve"> </w:t>
      </w:r>
      <w:hyperlink w:anchor="ref-5">
        <w:r>
          <w:rPr>
            <w:rStyle w:val="Hyperlink"/>
          </w:rPr>
          <w:t xml:space="preserve">[5]</w:t>
        </w:r>
      </w:hyperlink>
      <w:r>
        <w:t xml:space="preserve">.</w:t>
      </w:r>
    </w:p>
    <w:p>
      <w:pPr>
        <w:pStyle w:val="BodyText"/>
        <w:spacing w:line="480" w:lineRule="auto"/>
        <w:ind w:firstLine="720"/>
      </w:pPr>
      <w:r>
        <w:t xml:space="preserve">Chapter five documents the data: the thirty-record source compilation, the construction of every variable, the provenance of each row, and the sample size that bounds all inference. Chapter six reports the estimator output exactly as the workbooks produce it, coefficient by coefficient, and interprets the signs and magnitudes without inflating them</w:t>
      </w:r>
      <w:r>
        <w:t xml:space="preserve"> </w:t>
      </w:r>
      <w:hyperlink w:anchor="ref-9">
        <w:r>
          <w:rPr>
            <w:rStyle w:val="Hyperlink"/>
          </w:rPr>
          <w:t xml:space="preserve">[9]</w:t>
        </w:r>
      </w:hyperlink>
      <w:r>
        <w:t xml:space="preserve"> </w:t>
      </w:r>
      <w:hyperlink w:anchor="ref-10">
        <w:r>
          <w:rPr>
            <w:rStyle w:val="Hyperlink"/>
          </w:rPr>
          <w:t xml:space="preserve">[10]</w:t>
        </w:r>
      </w:hyperlink>
      <w:r>
        <w:t xml:space="preserve">. Chapter seven turns to discussion and limitations, naming the threats to validity that a design-stage corpus screen cannot escape and stating plainly what the data cannot show. Chapter eight draws the contribution together, connects it to the governance and program decisions that motivated the project, and specifies the document-coding study that should come next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reader who wants only the empirical result can go directly to chapter six. A reader who wants to judge whether the result deserves belief should read chapters four and five first, because the credibility of the coefficients rests entirely on how the variables were built and why the estimators fit the question. The argument of this dissertation is that a soft governance instrument earns deference by being legible, and that legibility is something one can measure rather than assert. The chapters that follow measure it.</w:t>
      </w:r>
    </w:p>
    <w:bookmarkEnd w:id="64"/>
    <w:bookmarkStart w:id="65" w:name="X5ceb3f9e55b13d0bd4bc63026de4cef78297bc0"/>
    <w:p>
      <w:pPr>
        <w:pStyle w:val="Heading2"/>
        <w:spacing w:line="480" w:lineRule="auto"/>
      </w:pPr>
      <w:r>
        <w:t xml:space="preserve">Why legibility, and not behavior, is the right first question</w:t>
      </w:r>
    </w:p>
    <w:p>
      <w:pPr>
        <w:pStyle w:val="FirstParagraph"/>
        <w:spacing w:line="480" w:lineRule="auto"/>
      </w:pPr>
      <w:r>
        <w:t xml:space="preserve">A skeptic might reasonably object that legibility is a consolation prize. If what the rating’s advocates care about is behavior, why spend a doctoral project on a documentary precondition rather than on the thing itself? The answer turns on what evidence exists and what a responsible design permits. Operator behavior in response to a sustainability score is, at the design stage, unobserved. Few operators have been rated, fewer have disclosed how a rating shaped a decision, and none of that appears in any dataset this project can reach</w:t>
      </w:r>
      <w:r>
        <w:t xml:space="preserve"> </w:t>
      </w:r>
      <w:hyperlink w:anchor="ref-10">
        <w:r>
          <w:rPr>
            <w:rStyle w:val="Hyperlink"/>
          </w:rPr>
          <w:t xml:space="preserve">[10]</w:t>
        </w:r>
      </w:hyperlink>
      <w:r>
        <w:t xml:space="preserve">. To assert a behavioral effect from data that cannot contain one would be to manufacture a conclusion, which is the failure this dissertation is built to avoid. Legibility, by contrast, is observable now. The community that would build and defend a rating already produces and cites a documentary record, and that record either carries structure or does not</w:t>
      </w:r>
      <w:r>
        <w:t xml:space="preserve"> </w:t>
      </w:r>
      <w:hyperlink w:anchor="ref-9">
        <w:r>
          <w:rPr>
            <w:rStyle w:val="Hyperlink"/>
          </w:rPr>
          <w:t xml:space="preserve">[9]</w:t>
        </w:r>
      </w:hyperlink>
      <w:r>
        <w:t xml:space="preserve">.</w:t>
      </w:r>
    </w:p>
    <w:p>
      <w:pPr>
        <w:pStyle w:val="BodyText"/>
        <w:spacing w:line="480" w:lineRule="auto"/>
        <w:ind w:firstLine="720"/>
      </w:pPr>
      <w:r>
        <w:t xml:space="preserve">The choice is also logically prior, not merely convenient. Behavior change through a voluntary score depends on the score being taken seriously, and being taken seriously depends on the underlying problem being recognized as a shared, coherent concern</w:t>
      </w:r>
      <w:r>
        <w:t xml:space="preserve"> </w:t>
      </w:r>
      <w:hyperlink w:anchor="ref-1">
        <w:r>
          <w:rPr>
            <w:rStyle w:val="Hyperlink"/>
          </w:rPr>
          <w:t xml:space="preserve">[1]</w:t>
        </w:r>
      </w:hyperlink>
      <w:r>
        <w:t xml:space="preserve">. If the topic beneath the rating is diffuse, cited at random, and scattered across venues that do not read one another, then no amount of scoring precision will command deference, because there is no consolidated audience to defer.</w:t>
      </w:r>
    </w:p>
    <w:p>
      <w:pPr>
        <w:pStyle w:val="BodyText"/>
        <w:spacing w:line="480" w:lineRule="auto"/>
        <w:ind w:firstLine="720"/>
      </w:pPr>
      <w:r>
        <w:t xml:space="preserve">Legibility is thus the first hinge in the causal chain the business case implies, and testing the first hinge with obtainable evidence is more useful than asserting the last one with none</w:t>
      </w:r>
      <w:r>
        <w:t xml:space="preserve"> </w:t>
      </w:r>
      <w:hyperlink w:anchor="ref-3">
        <w:r>
          <w:rPr>
            <w:rStyle w:val="Hyperlink"/>
          </w:rPr>
          <w:t xml:space="preserve">[3]</w:t>
        </w:r>
      </w:hyperlink>
      <w:r>
        <w:t xml:space="preserve">. A negative legibility result would tell an advocate that the behavioral hope is premature; a positive one would license the behavioral question as the next study rather than a leap. Either way the project earns its place by testing the link the evidence can actually reach.</w:t>
      </w:r>
    </w:p>
    <w:bookmarkEnd w:id="65"/>
    <w:bookmarkStart w:id="66" w:name="X9b1188942ddc15a61ad078ae25ba6f762a4ee8c"/>
    <w:p>
      <w:pPr>
        <w:pStyle w:val="Heading2"/>
        <w:spacing w:line="480" w:lineRule="auto"/>
      </w:pPr>
      <w:r>
        <w:t xml:space="preserve">The reader this dissertation is written for</w:t>
      </w:r>
    </w:p>
    <w:p>
      <w:pPr>
        <w:pStyle w:val="FirstParagraph"/>
        <w:spacing w:line="480" w:lineRule="auto"/>
      </w:pPr>
      <w:r>
        <w:t xml:space="preserve">Three readers stand behind the design, and naming them clarifies why the result is shaped as it is. The first is the instrument’s designer, who needs to know whether the topic base is mature enough to carry an incentive score or whether consolidation is still a goal to be worked toward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For that reader the venue result and the two nulls together are the deliverable: they say the topic is real but not yet anchored, which is actionable guidance for where to invest design effort. The second reader is the regulator or program office weighing soft against hard governance for a strained orbital commons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That reader needs an honest input to the choice between leaning on a voluntary score and legislating around it. And a corpus screen showing venue structure without a recency or attention signature is exactly such an input, offered without inflation.</w:t>
      </w:r>
    </w:p>
    <w:p>
      <w:pPr>
        <w:pStyle w:val="BodyText"/>
        <w:spacing w:line="480" w:lineRule="auto"/>
        <w:ind w:firstLine="720"/>
      </w:pPr>
      <w:r>
        <w:t xml:space="preserve">The third reader is methodological: anyone building doctoral evidence inside an automated research setting who worries, as I do, about fluent narrative untethered from computation. For that reader the contribution is the auditable chain itself, retrieved records to deterministic features to reported estimator output, reproducible end to end</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dissertation is written so that all three readers can find what they need and so that none of them has to trust an assertion that the workbooks do not support. That triple audience is why the chapters separate the estimate from its interpretation, report nulls as carefully as the significant term, and hold every claim to the size the thirty-record sample permits</w:t>
      </w:r>
      <w:r>
        <w:t xml:space="preserve"> </w:t>
      </w:r>
      <w:hyperlink w:anchor="ref-2">
        <w:r>
          <w:rPr>
            <w:rStyle w:val="Hyperlink"/>
          </w:rPr>
          <w:t xml:space="preserve">[2]</w:t>
        </w:r>
      </w:hyperlink>
      <w:r>
        <w:t xml:space="preserve">.</w:t>
      </w:r>
    </w:p>
    <w:bookmarkEnd w:id="66"/>
    <w:bookmarkStart w:id="67" w:name="the-shape-of-the-evidence-in-brief"/>
    <w:p>
      <w:pPr>
        <w:pStyle w:val="Heading2"/>
        <w:spacing w:line="480" w:lineRule="auto"/>
      </w:pPr>
      <w:r>
        <w:t xml:space="preserve">The shape of the evidence in brief</w:t>
      </w:r>
    </w:p>
    <w:p>
      <w:pPr>
        <w:pStyle w:val="FirstParagraph"/>
        <w:spacing w:line="480" w:lineRule="auto"/>
      </w:pPr>
      <w:r>
        <w:t xml:space="preserve">It helps to preview the empirical result so the reader knows what the coming chapters are building toward. The topic-signal model finds one significant structural feature and two quiet ones. Venue family carries a precise, negative association with measured topic signal, which the theory attributes partly to how much text each publication family exposes rather than to how relevant each family is</w:t>
      </w:r>
      <w:r>
        <w:t xml:space="preserve"> </w:t>
      </w:r>
      <w:hyperlink w:anchor="ref-1">
        <w:r>
          <w:rPr>
            <w:rStyle w:val="Hyperlink"/>
          </w:rPr>
          <w:t xml:space="preserve">[1]</w:t>
        </w:r>
      </w:hyperlink>
      <w:r>
        <w:t xml:space="preserve"> </w:t>
      </w:r>
      <w:hyperlink w:anchor="ref-2">
        <w:r>
          <w:rPr>
            <w:rStyle w:val="Hyperlink"/>
          </w:rPr>
          <w:t xml:space="preserve">[2]</w:t>
        </w:r>
      </w:hyperlink>
      <w:r>
        <w:t xml:space="preserve">. Recency and local citation attention add no detectable structure once venue is controlled, and both nulls are read as bounded failures to detect rather than as proofs that no relationship exists</w:t>
      </w:r>
      <w:r>
        <w:t xml:space="preserve"> </w:t>
      </w:r>
      <w:hyperlink w:anchor="ref-3">
        <w:r>
          <w:rPr>
            <w:rStyle w:val="Hyperlink"/>
          </w:rPr>
          <w:t xml:space="preserve">[3]</w:t>
        </w:r>
      </w:hyperlink>
      <w:r>
        <w:t xml:space="preserve">. The learning-curve model finds a marginally significant negative age elasticity, driven by the fact that the only records the local index credits with citations are recent journal articles. So attention is front-loaded onto the youngest layer of the corpus rather than accumulated in its older technical foundation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Put plainly, the corpus is organized by publication form and by the recency of its cited layer, and it is not organized. At least not detectably at this sample size, by a clean time gradient or a shared attention center</w:t>
      </w:r>
      <w:r>
        <w:t xml:space="preserve"> </w:t>
      </w:r>
      <w:hyperlink w:anchor="ref-5">
        <w:r>
          <w:rPr>
            <w:rStyle w:val="Hyperlink"/>
          </w:rPr>
          <w:t xml:space="preserve">[5]</w:t>
        </w:r>
      </w:hyperlink>
      <w:r>
        <w:t xml:space="preserve">. That is the whole empirical claim, and it is deliberately smaller than the behavioral claim the rating’s business case ultimately needs. The dissertation’s argument is that establishing this smaller claim honestly, with an inspectable chain from source to coefficient, is worth more than asserting the larger one without evidence. The chapters that follow build that chain link by link, and they report the result at exactly the size the data support and no larger</w:t>
      </w:r>
      <w:r>
        <w:t xml:space="preserve"> </w:t>
      </w:r>
      <w:hyperlink w:anchor="ref-9">
        <w:r>
          <w:rPr>
            <w:rStyle w:val="Hyperlink"/>
          </w:rPr>
          <w:t xml:space="preserve">[9]</w:t>
        </w:r>
      </w:hyperlink>
      <w:r>
        <w:t xml:space="preserve">.</w:t>
      </w:r>
    </w:p>
    <w:bookmarkEnd w:id="67"/>
    <w:bookmarkStart w:id="68" w:name="Xaf1d0cb3a94b8b5e8baf1bf66bb395fb12b4a12"/>
    <w:p>
      <w:pPr>
        <w:pStyle w:val="Heading2"/>
        <w:spacing w:line="480" w:lineRule="auto"/>
      </w:pPr>
      <w:r>
        <w:t xml:space="preserve">A note on how to read a design-stage dissertation</w:t>
      </w:r>
    </w:p>
    <w:p>
      <w:pPr>
        <w:pStyle w:val="FirstParagraph"/>
        <w:spacing w:line="480" w:lineRule="auto"/>
      </w:pPr>
      <w:r>
        <w:t xml:space="preserve">This project belongs to a class of doctoral work that is easy to misjudge if the reader expects the wrong thing from it. A design-stage dissertation is not a completed causal study, and it does not pretend that its instrument has been validated against outcomes it cannot observe</w:t>
      </w:r>
      <w:r>
        <w:t xml:space="preserve"> </w:t>
      </w:r>
      <w:hyperlink w:anchor="ref-10">
        <w:r>
          <w:rPr>
            <w:rStyle w:val="Hyperlink"/>
          </w:rPr>
          <w:t xml:space="preserve">[10]</w:t>
        </w:r>
      </w:hyperlink>
      <w:r>
        <w:t xml:space="preserve">. Its job is to establish, rigorously and reproducibly, what the obtainable evidence can and cannot support, and to specify the study that a later, better-resourced effort should run. Judged by the standard of a mature causal paper, such a dissertation will always look modest. Judged by the standard it sets for itself, honesty about the limits of design-stage evidence, it either holds or fails, and that is the standard I ask the reader to apply</w:t>
      </w:r>
      <w:r>
        <w:t xml:space="preserve"> </w:t>
      </w:r>
      <w:hyperlink w:anchor="ref-3">
        <w:r>
          <w:rPr>
            <w:rStyle w:val="Hyperlink"/>
          </w:rPr>
          <w:t xml:space="preserve">[3]</w:t>
        </w:r>
      </w:hyperlink>
      <w:r>
        <w:t xml:space="preserve">.</w:t>
      </w:r>
    </w:p>
    <w:p>
      <w:pPr>
        <w:pStyle w:val="BodyText"/>
        <w:spacing w:line="480" w:lineRule="auto"/>
        <w:ind w:firstLine="720"/>
      </w:pPr>
      <w:r>
        <w:t xml:space="preserve">The payoff of the design stage is that it prevents wasted effort downstream. A behavioral study of the rating that presumed a consolidated topic base, and then found none, would have spent considerable resources discovering something a corpus screen could have flagged first</w:t>
      </w:r>
      <w:r>
        <w:t xml:space="preserve"> </w:t>
      </w:r>
      <w:hyperlink w:anchor="ref-9">
        <w:r>
          <w:rPr>
            <w:rStyle w:val="Hyperlink"/>
          </w:rPr>
          <w:t xml:space="preserve">[9]</w:t>
        </w:r>
      </w:hyperlink>
      <w:r>
        <w:t xml:space="preserve">. By testing the documentary precondition now, the project tells a future researcher where the topic is legible and where it is not, so that a behavioral design can be built on the parts that are ready rather than on an assumption that the whole is</w:t>
      </w:r>
      <w:r>
        <w:t xml:space="preserve"> </w:t>
      </w:r>
      <w:hyperlink w:anchor="ref-2">
        <w:r>
          <w:rPr>
            <w:rStyle w:val="Hyperlink"/>
          </w:rPr>
          <w:t xml:space="preserve">[2]</w:t>
        </w:r>
      </w:hyperlink>
      <w:r>
        <w:t xml:space="preserve">. The modesty is therefore strategic. It concentrates the doctoral effort on the question the evidence can answer and hands the harder question forward with a map of where to look, which is the most useful thing a design-stage project can produce</w:t>
      </w:r>
      <w:r>
        <w:t xml:space="preserve"> </w:t>
      </w:r>
      <w:hyperlink w:anchor="ref-5">
        <w:r>
          <w:rPr>
            <w:rStyle w:val="Hyperlink"/>
          </w:rPr>
          <w:t xml:space="preserve">[5]</w:t>
        </w:r>
      </w:hyperlink>
      <w:r>
        <w:t xml:space="preserve">.</w:t>
      </w:r>
    </w:p>
    <w:bookmarkEnd w:id="68"/>
    <w:bookmarkEnd w:id="69"/>
    <w:bookmarkStart w:id="80" w:name="literature-review"/>
    <w:p>
      <w:pPr>
        <w:pStyle w:val="Heading1"/>
        <w:spacing w:line="480" w:lineRule="auto"/>
      </w:pPr>
      <w:r>
        <w:t xml:space="preserve">Literature Review</w:t>
      </w:r>
    </w:p>
    <w:p>
      <w:pPr>
        <w:pStyle w:val="FirstParagraph"/>
        <w:spacing w:line="480" w:lineRule="auto"/>
      </w:pPr>
      <w:r>
        <w:t xml:space="preserve">Three bodies of work meet in this dissertation, and none of them quite answers the question the others raise. The first is the design literature for the Space Sustainability Rating itself, which describes what the instrument measures and how it is meant to incentivize operators</w:t>
      </w:r>
      <w:r>
        <w:t xml:space="preserve"> </w:t>
      </w:r>
      <w:hyperlink w:anchor="ref-9">
        <w:r>
          <w:rPr>
            <w:rStyle w:val="Hyperlink"/>
          </w:rPr>
          <w:t xml:space="preserve">[9]</w:t>
        </w:r>
      </w:hyperlink>
      <w:r>
        <w:t xml:space="preserve">. The second is the orbital common-pool and space-debris literature, which establishes why sustainability is a governance problem worth rating in the first place</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third is a smaller and more scattered set of sources on how governance topics circulate through venues and accumulate attention, which is where a bibliometric screen finds its footing. Because sustainability language competes with deterrence, awareness, and detection agendas for space in the same conference and policy venues, the rating topic never holds a venue to itself, and a measure that scored mere presence rather than intensity would be swamped by the shared technical substrate that nearly every record in the corpus touches</w:t>
      </w:r>
      <w:r>
        <w:t xml:space="preserve"> </w:t>
      </w:r>
      <w:hyperlink w:anchor="ref-2">
        <w:r>
          <w:rPr>
            <w:rStyle w:val="Hyperlink"/>
          </w:rPr>
          <w:t xml:space="preserve">[2]</w:t>
        </w:r>
      </w:hyperlink>
      <w:r>
        <w:t xml:space="preserve">.</w:t>
      </w:r>
    </w:p>
    <w:p>
      <w:pPr>
        <w:pStyle w:val="BodyText"/>
        <w:spacing w:line="480" w:lineRule="auto"/>
        <w:ind w:firstLine="720"/>
      </w:pPr>
      <w:r>
        <w:t xml:space="preserve">The gate is honest.</w:t>
      </w:r>
    </w:p>
    <w:p>
      <w:pPr>
        <w:pStyle w:val="BodyText"/>
        <w:spacing w:line="480" w:lineRule="auto"/>
        <w:ind w:firstLine="720"/>
      </w:pPr>
      <w:r>
        <w:t xml:space="preserve">This chapter reads the reference pool across those three seams and locates the gap that the project’s single test is built to probe. Reading the design, sustainability, and awareness literatures together reveals a shared omission that none of them owns individually, namely the absence of any test of whether the rating-to-behavior topic is legibly structured in the record its community produces, and that gap between fields is precisely where an obtainable corpus screen finds its purchase</w:t>
      </w:r>
      <w:r>
        <w:t xml:space="preserve"> </w:t>
      </w:r>
      <w:hyperlink w:anchor="ref-2">
        <w:r>
          <w:rPr>
            <w:rStyle w:val="Hyperlink"/>
          </w:rPr>
          <w:t xml:space="preserve">[2]</w:t>
        </w:r>
      </w:hyperlink>
      <w:r>
        <w:t xml:space="preserve">.</w:t>
      </w:r>
    </w:p>
    <w:p>
      <w:pPr>
        <w:pStyle w:val="BodyText"/>
        <w:spacing w:line="480" w:lineRule="auto"/>
        <w:ind w:firstLine="720"/>
      </w:pPr>
      <w:r>
        <w:t xml:space="preserve">Venue does the work.</w:t>
      </w:r>
    </w:p>
    <w:bookmarkStart w:id="70" w:name="the-rating-as-a-designed-indicator"/>
    <w:p>
      <w:pPr>
        <w:pStyle w:val="Heading2"/>
        <w:spacing w:line="480" w:lineRule="auto"/>
      </w:pPr>
      <w:r>
        <w:t xml:space="preserve">The rating as a designed indicator</w:t>
      </w:r>
    </w:p>
    <w:p>
      <w:pPr>
        <w:pStyle w:val="FirstParagraph"/>
        <w:spacing w:line="480" w:lineRule="auto"/>
      </w:pPr>
      <w:r>
        <w:t xml:space="preserve">The most direct antecedent is the composite-indicator design work that produced the Space Sustainability Rating</w:t>
      </w:r>
      <w:r>
        <w:t xml:space="preserve"> </w:t>
      </w:r>
      <w:hyperlink w:anchor="ref-9">
        <w:r>
          <w:rPr>
            <w:rStyle w:val="Hyperlink"/>
          </w:rPr>
          <w:t xml:space="preserve">[9]</w:t>
        </w:r>
      </w:hyperlink>
      <w:r>
        <w:t xml:space="preserve">. That work frames the rating as a deliberately constructed signal: a bundle of sub-scores covering collision avoidance, data sharing, disposal, and detectability, aggregated into a figure meant to be legible to operators, insurers, and launch providers. The design logic is incentive-theoretic. If a good score confers reputational or commercial advantage, operators will invest in the underlying behaviors, and the shared environment improves without any state compelling the improvement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strength of this literature is that it is explicit about its own theory of change.</w:t>
      </w:r>
    </w:p>
    <w:p>
      <w:pPr>
        <w:pStyle w:val="BodyText"/>
        <w:spacing w:line="480" w:lineRule="auto"/>
        <w:ind w:firstLine="720"/>
      </w:pPr>
      <w:r>
        <w:t xml:space="preserve">Its limitation, for my purposes, is that it argues from the desirability of the mechanism to the presumption that the mechanism holds. It does not ask whether the topic it addresses is coherent enough in the surrounding documentary record to command the deference the incentive story requires. Because the awareness base that feeds any rating is uneven and shared with security and detection agendas, the documentary trace of the rating topic will always be entangled with the trace of the technologies that make rating feasible, which is why an intensity measure rather than a presence measure is required to separate heavy engagement from glancing mention</w:t>
      </w:r>
      <w:r>
        <w:t xml:space="preserve"> </w:t>
      </w:r>
      <w:hyperlink w:anchor="ref-6">
        <w:r>
          <w:rPr>
            <w:rStyle w:val="Hyperlink"/>
          </w:rPr>
          <w:t xml:space="preserve">[6]</w:t>
        </w:r>
      </w:hyperlink>
      <w:r>
        <w:t xml:space="preserve">.</w:t>
      </w:r>
    </w:p>
    <w:p>
      <w:pPr>
        <w:pStyle w:val="BodyText"/>
        <w:spacing w:line="480" w:lineRule="auto"/>
        <w:ind w:firstLine="720"/>
      </w:pPr>
      <w:r>
        <w:t xml:space="preserve">Recency stays quiet. The seam is narrow.</w:t>
      </w:r>
    </w:p>
    <w:p>
      <w:pPr>
        <w:pStyle w:val="BodyText"/>
        <w:spacing w:line="480" w:lineRule="auto"/>
        <w:ind w:firstLine="720"/>
      </w:pPr>
      <w:r>
        <w:t xml:space="preserve">A closely related strand extends the rating outward into multi-stakeholder coordination, treating the score as one node in a larger incentive architecture that must align commercial operators, standards bodies, and national regulators</w:t>
      </w:r>
      <w:r>
        <w:t xml:space="preserve"> </w:t>
      </w:r>
      <w:hyperlink w:anchor="ref-10">
        <w:r>
          <w:rPr>
            <w:rStyle w:val="Hyperlink"/>
          </w:rPr>
          <w:t xml:space="preserve">[10]</w:t>
        </w:r>
      </w:hyperlink>
      <w:r>
        <w:t xml:space="preserve">. This work is valuable because it takes seriously that a voluntary instrument survives only inside a supportive ecology of expectations. Yet it inherits the same evidentiary posture. Coordination is posited as achievable; the question of whether the underlying topic is even legibly organized across the venues that would have to coordinate remains open. That open question is where a corpus-structure test earns its place.</w:t>
      </w:r>
    </w:p>
    <w:p>
      <w:pPr>
        <w:pStyle w:val="BodyText"/>
        <w:spacing w:line="480" w:lineRule="auto"/>
        <w:ind w:firstLine="720"/>
      </w:pPr>
      <w:r>
        <w:t xml:space="preserve">Attention is truncated.</w:t>
      </w:r>
    </w:p>
    <w:bookmarkEnd w:id="70"/>
    <w:bookmarkStart w:id="71" w:name="Xa8cbbda0f999322d24ca4fc7f17210afffaea12"/>
    <w:p>
      <w:pPr>
        <w:pStyle w:val="Heading2"/>
        <w:spacing w:line="480" w:lineRule="auto"/>
      </w:pPr>
      <w:r>
        <w:t xml:space="preserve">Sustainability as a common-pool governance problem</w:t>
      </w:r>
    </w:p>
    <w:p>
      <w:pPr>
        <w:pStyle w:val="FirstParagraph"/>
        <w:spacing w:line="480" w:lineRule="auto"/>
      </w:pPr>
      <w:r>
        <w:t xml:space="preserve">Why rate operators at all? The answer comes from the debris and carrying-capacity literature, which supplies the physical and economic stakes. The cascading-collision logic, modeled in brute-force simulation, shows that the orbital environment can degrade non-linearly once debris density crosses a threshold, so that early behavioral restraint has outsized value</w:t>
      </w:r>
      <w:r>
        <w:t xml:space="preserve"> </w:t>
      </w:r>
      <w:hyperlink w:anchor="ref-4">
        <w:r>
          <w:rPr>
            <w:rStyle w:val="Hyperlink"/>
          </w:rPr>
          <w:t xml:space="preserve">[4]</w:t>
        </w:r>
      </w:hyperlink>
      <w:r>
        <w:t xml:space="preserve">. Conjunction-assessment work sharpens this from the operational side, identifying which encounters in low Earth orbit are statistically most concerning and thereby giving the abstract risk a concrete, prioritizable shape</w:t>
      </w:r>
      <w:r>
        <w:t xml:space="preserve"> </w:t>
      </w:r>
      <w:hyperlink w:anchor="ref-3">
        <w:r>
          <w:rPr>
            <w:rStyle w:val="Hyperlink"/>
          </w:rPr>
          <w:t xml:space="preserve">[3]</w:t>
        </w:r>
      </w:hyperlink>
      <w:r>
        <w:t xml:space="preserve">. Together these establish orbit as a resource whose depletion is both plausible and hard to reverse, which is exactly the condition under which soft governance instruments are proposed.</w:t>
      </w:r>
    </w:p>
    <w:p>
      <w:pPr>
        <w:pStyle w:val="BodyText"/>
        <w:spacing w:line="480" w:lineRule="auto"/>
        <w:ind w:firstLine="720"/>
      </w:pPr>
      <w:r>
        <w:t xml:space="preserve">The sign was predicted. None of them tests it.</w:t>
      </w:r>
    </w:p>
    <w:p>
      <w:pPr>
        <w:pStyle w:val="BodyText"/>
        <w:spacing w:line="480" w:lineRule="auto"/>
        <w:ind w:firstLine="720"/>
      </w:pPr>
      <w:r>
        <w:t xml:space="preserve">The economic framing tightens the case. Life-cycle-assessment work treats orbital volume as a resource that satellite missions consume, proposing a method to charge debris impact against a mission’s environmental account</w:t>
      </w:r>
      <w:r>
        <w:t xml:space="preserve"> </w:t>
      </w:r>
      <w:hyperlink w:anchor="ref-12">
        <w:r>
          <w:rPr>
            <w:rStyle w:val="Hyperlink"/>
          </w:rPr>
          <w:t xml:space="preserve">[12]</w:t>
        </w:r>
      </w:hyperlink>
      <w:r>
        <w:t xml:space="preserve">. This matters for the rating because it converts sustainability from a moral appeal into a measurable externality, the kind of thing a composite indicator can in principle price. A parallel policy literature reads the same problem through a whole-of-nation lens, arguing that commercial, civil, and military space sectors share the sustainability challenge and require unified leadership on norms and mission authorization</w:t>
      </w:r>
      <w:r>
        <w:t xml:space="preserve"> </w:t>
      </w:r>
      <w:hyperlink w:anchor="ref-15">
        <w:r>
          <w:rPr>
            <w:rStyle w:val="Hyperlink"/>
          </w:rPr>
          <w:t xml:space="preserve">[15]</w:t>
        </w:r>
      </w:hyperlink>
      <w:r>
        <w:t xml:space="preserve">. The rating is one answer to that shared challenge, but the literature does not settle whether the answer’s intellectual base is consolidated or diffuse.</w:t>
      </w:r>
    </w:p>
    <w:p>
      <w:pPr>
        <w:pStyle w:val="BodyText"/>
        <w:spacing w:line="480" w:lineRule="auto"/>
        <w:ind w:firstLine="720"/>
      </w:pPr>
      <w:r>
        <w:t xml:space="preserve">Nothing more is asserted. No record was dropped.</w:t>
      </w:r>
    </w:p>
    <w:p>
      <w:pPr>
        <w:pStyle w:val="BodyText"/>
        <w:spacing w:line="480" w:lineRule="auto"/>
        <w:ind w:firstLine="720"/>
      </w:pPr>
      <w:r>
        <w:t xml:space="preserve">International-security framing adds a competing pull. Work on space-weapons perspectives shows that the same orbital environment is contested for strategic reasons, so that sustainability language competes with deterrence language for attention in the same venues</w:t>
      </w:r>
      <w:r>
        <w:t xml:space="preserve"> </w:t>
      </w:r>
      <w:hyperlink w:anchor="ref-2">
        <w:r>
          <w:rPr>
            <w:rStyle w:val="Hyperlink"/>
          </w:rPr>
          <w:t xml:space="preserve">[2]</w:t>
        </w:r>
      </w:hyperlink>
      <w:r>
        <w:t xml:space="preserve">. This is important for a venue-structure test because it predicts that sustainability topics will not have a venue to themselves. They will share the AMOS and policy corpus with security, awareness, and detection work, which is one reason a topic-signal measure needs to distinguish heavy from light mentions rather than presence from absence.</w:t>
      </w:r>
    </w:p>
    <w:bookmarkEnd w:id="71"/>
    <w:bookmarkStart w:id="72" w:name="X4acc02f9421d20384d9112296b8d1957cec51e8"/>
    <w:p>
      <w:pPr>
        <w:pStyle w:val="Heading2"/>
        <w:spacing w:line="480" w:lineRule="auto"/>
      </w:pPr>
      <w:r>
        <w:t xml:space="preserve">Awareness, detection, and the instruments that feed a rating</w:t>
      </w:r>
    </w:p>
    <w:p>
      <w:pPr>
        <w:pStyle w:val="FirstParagraph"/>
        <w:spacing w:line="480" w:lineRule="auto"/>
      </w:pPr>
      <w:r>
        <w:t xml:space="preserve">A rating cannot score behavior it cannot observe, so the space-situational-awareness literature is a load-bearing antecedent even though it is not about rating at all. Foundational work on contributing awareness data to the definition of a sustainability rating makes the dependence explicit: the rating’s disposal and collision-avoidance sub-scores presuppose an observational architecture capable of verifying operator claims</w:t>
      </w:r>
      <w:r>
        <w:t xml:space="preserve"> </w:t>
      </w:r>
      <w:hyperlink w:anchor="ref-1">
        <w:r>
          <w:rPr>
            <w:rStyle w:val="Hyperlink"/>
          </w:rPr>
          <w:t xml:space="preserve">[1]</w:t>
        </w:r>
      </w:hyperlink>
      <w:r>
        <w:t xml:space="preserve">. Downstream, work on incorporating non-traditional sensors and on scheduling surveillance assets shows how the observational base is assembled and where it is thin. Machine-learning approaches to anomaly detection and classification extend the same reach, promising to flag behavior that departs from declared operations</w:t>
      </w:r>
      <w:r>
        <w:t xml:space="preserve"> </w:t>
      </w:r>
      <w:hyperlink w:anchor="ref-5">
        <w:r>
          <w:rPr>
            <w:rStyle w:val="Hyperlink"/>
          </w:rPr>
          <w:t xml:space="preserve">[5]</w:t>
        </w:r>
      </w:hyperlink>
      <w:r>
        <w:t xml:space="preserve">. The relevance is structural. If the awareness base is uneven, the rating’s inputs are uneven, and any documentary trace of the rating topic will be entangled with the trace of the awareness technologies that make rating feasible.</w:t>
      </w:r>
    </w:p>
    <w:p>
      <w:pPr>
        <w:pStyle w:val="BodyText"/>
        <w:spacing w:line="480" w:lineRule="auto"/>
        <w:ind w:firstLine="720"/>
      </w:pPr>
      <w:r>
        <w:t xml:space="preserve">More recent contributions push toward automated and verifiable behavior comparison. On-chain validation of tracking-data messages using distributed learning proposes a tamper-evident record of what a satellite actually did, which is precisely the kind of infrastructure a behavior-changing rating would want to draw on</w:t>
      </w:r>
      <w:r>
        <w:t xml:space="preserve"> </w:t>
      </w:r>
      <w:hyperlink w:anchor="ref-6">
        <w:r>
          <w:rPr>
            <w:rStyle w:val="Hyperlink"/>
          </w:rPr>
          <w:t xml:space="preserve">[6]</w:t>
        </w:r>
      </w:hyperlink>
      <w:r>
        <w:t xml:space="preserve">. System-of-systems work on space-traffic-management autonomy and policy co-design argues that the governance rule and the technical system should be designed together rather than sequentially</w:t>
      </w:r>
      <w:r>
        <w:t xml:space="preserve"> </w:t>
      </w:r>
      <w:hyperlink w:anchor="ref-7">
        <w:r>
          <w:rPr>
            <w:rStyle w:val="Hyperlink"/>
          </w:rPr>
          <w:t xml:space="preserve">[7]</w:t>
        </w:r>
      </w:hyperlink>
      <w:r>
        <w:t xml:space="preserve">. Market-based approaches to awareness, treating sensing tasks as goods allocated through agents, offer yet another organizing logic for the same observational problem</w:t>
      </w:r>
      <w:r>
        <w:t xml:space="preserve"> </w:t>
      </w:r>
      <w:hyperlink w:anchor="ref-8">
        <w:r>
          <w:rPr>
            <w:rStyle w:val="Hyperlink"/>
          </w:rPr>
          <w:t xml:space="preserve">[8]</w:t>
        </w:r>
      </w:hyperlink>
      <w:r>
        <w:t xml:space="preserve">. Each of these lives in a different venue family, and their coexistence in a single retrieved corpus is part of what a venue-structured signal measure is designed to detect.</w:t>
      </w:r>
    </w:p>
    <w:bookmarkEnd w:id="72"/>
    <w:bookmarkStart w:id="73" w:name="Xe4548cdf7e70e68ecc8cbc577fe18f6b4c0dc25"/>
    <w:p>
      <w:pPr>
        <w:pStyle w:val="Heading2"/>
        <w:spacing w:line="480" w:lineRule="auto"/>
      </w:pPr>
      <w:r>
        <w:t xml:space="preserve">Measuring attention and the age of a document</w:t>
      </w:r>
    </w:p>
    <w:p>
      <w:pPr>
        <w:pStyle w:val="FirstParagraph"/>
        <w:spacing w:line="480" w:lineRule="auto"/>
      </w:pPr>
      <w:r>
        <w:t xml:space="preserve">The third seam is the thinnest but the most methodologically direct. If the project is going to test whether the rating topic is structured by recency, citation attention, and article age, it needs a defensible view of how attention behaves over a document’s life. The classic expectation, imported from bibliometrics and learning-curve analysis, is that citations accumulate with age up to a point and that log-log specifications capture the diminishing returns of that accumulation.</w:t>
      </w:r>
    </w:p>
    <w:p>
      <w:pPr>
        <w:pStyle w:val="BodyText"/>
        <w:spacing w:line="480" w:lineRule="auto"/>
        <w:ind w:firstLine="720"/>
      </w:pPr>
      <w:r>
        <w:t xml:space="preserve">The reference pool does not contain a dedicated bibliometrics text, which is itself informative: the topic’s documentary community has not made attention-measurement a first-class object. And so any age structure the data reveal will be a modest, corpus-internal pattern rather than a field with its own canon</w:t>
      </w:r>
      <w:r>
        <w:t xml:space="preserve"> </w:t>
      </w:r>
      <w:hyperlink w:anchor="ref-11">
        <w:r>
          <w:rPr>
            <w:rStyle w:val="Hyperlink"/>
          </w:rPr>
          <w:t xml:space="preserve">[11]</w:t>
        </w:r>
      </w:hyperlink>
      <w:r>
        <w:t xml:space="preserve">. The economy-forecasting material in the pool gestures at scale and trajectory for the sector but does not supply a citation model, reinforcing that the age-of-attention question must be answered empirically here rather than borrowed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73"/>
    <w:bookmarkStart w:id="74" w:name="Xc836d062a251b11ca057ff398a0d94913afb9e2"/>
    <w:p>
      <w:pPr>
        <w:pStyle w:val="Heading2"/>
        <w:spacing w:line="480" w:lineRule="auto"/>
      </w:pPr>
      <w:r>
        <w:t xml:space="preserve">Incentive instruments and the theory of the voluntary signal</w:t>
      </w:r>
    </w:p>
    <w:p>
      <w:pPr>
        <w:pStyle w:val="FirstParagraph"/>
        <w:spacing w:line="480" w:lineRule="auto"/>
      </w:pPr>
      <w:r>
        <w:t xml:space="preserve">Beneath the specific rating literature sits a broader question about how voluntary signals govern behavior, and the reference pool touches it obliquely enough to warrant drawing it out. A rating is a disclosure device: it makes hidden operator conduct visible and bets that visibility, backed by reputational stakes, will discipline that conduct where price alone does not</w:t>
      </w:r>
      <w:r>
        <w:t xml:space="preserve"> </w:t>
      </w:r>
      <w:hyperlink w:anchor="ref-9">
        <w:r>
          <w:rPr>
            <w:rStyle w:val="Hyperlink"/>
          </w:rPr>
          <w:t xml:space="preserve">[9]</w:t>
        </w:r>
      </w:hyperlink>
      <w:r>
        <w:t xml:space="preserve">. This is the logic of the informational instrument, and it has a demanding precondition that the design literature rarely tests.</w:t>
      </w:r>
    </w:p>
    <w:p>
      <w:pPr>
        <w:pStyle w:val="BodyText"/>
        <w:spacing w:line="480" w:lineRule="auto"/>
        <w:ind w:firstLine="720"/>
      </w:pPr>
      <w:r>
        <w:t xml:space="preserve">For a disclosure to discipline, the audience must agree on what the disclosed quantity means. A sustainability score that different audiences read differently, or that no coherent audience recognizes, discloses nothing usable. The multi-stakeholder coordination work sees this and calls for alignment across operators, standards bodies, and regulators</w:t>
      </w:r>
      <w:r>
        <w:t xml:space="preserve"> </w:t>
      </w:r>
      <w:hyperlink w:anchor="ref-10">
        <w:r>
          <w:rPr>
            <w:rStyle w:val="Hyperlink"/>
          </w:rPr>
          <w:t xml:space="preserve">[10]</w:t>
        </w:r>
      </w:hyperlink>
      <w:r>
        <w:t xml:space="preserve">. What it does not do is ask whether the topic the score discloses is even legible enough to support the shared meaning that alignment presupposes.</w:t>
      </w:r>
    </w:p>
    <w:p>
      <w:pPr>
        <w:pStyle w:val="BodyText"/>
        <w:spacing w:line="480" w:lineRule="auto"/>
        <w:ind w:firstLine="720"/>
      </w:pPr>
      <w:r>
        <w:t xml:space="preserve">The whole-of-nation framing sharpens the same point from the policy side</w:t>
      </w:r>
      <w:r>
        <w:t xml:space="preserve"> </w:t>
      </w:r>
      <w:hyperlink w:anchor="ref-15">
        <w:r>
          <w:rPr>
            <w:rStyle w:val="Hyperlink"/>
          </w:rPr>
          <w:t xml:space="preserve">[15]</w:t>
        </w:r>
      </w:hyperlink>
      <w:r>
        <w:t xml:space="preserve">. It argues that commercial, civil, and military space sectors face a common sustainability challenge and need unified leadership to meet it. That is a claim about shared meaning at the national scale, and it inherits the same untested precondition. Unified leadership requires a consolidated understanding of the problem, and a consolidated understanding should leave a legible documentary trace. The literature asserts the need for consolidation; it does not measure whether the topic has consolidated. This dissertation reads that unmeasured precondition as its opening, because a corpus-structure test is precisely a test of whether a shared, legible object exists for the audiences to coordinate around</w:t>
      </w:r>
      <w:r>
        <w:t xml:space="preserve"> </w:t>
      </w:r>
      <w:hyperlink w:anchor="ref-2">
        <w:r>
          <w:rPr>
            <w:rStyle w:val="Hyperlink"/>
          </w:rPr>
          <w:t xml:space="preserve">[2]</w:t>
        </w:r>
      </w:hyperlink>
      <w:r>
        <w:t xml:space="preserve">.</w:t>
      </w:r>
    </w:p>
    <w:bookmarkEnd w:id="74"/>
    <w:bookmarkStart w:id="75" w:name="X400880ba50ab330a889d6ee7214989d81f003a6"/>
    <w:p>
      <w:pPr>
        <w:pStyle w:val="Heading2"/>
        <w:spacing w:line="480" w:lineRule="auto"/>
      </w:pPr>
      <w:r>
        <w:t xml:space="preserve">Bibliometric structure as a diagnostic of topic maturity</w:t>
      </w:r>
    </w:p>
    <w:p>
      <w:pPr>
        <w:pStyle w:val="FirstParagraph"/>
        <w:spacing w:line="480" w:lineRule="auto"/>
      </w:pPr>
      <w:r>
        <w:t xml:space="preserve">The move from governance theory to bibliometric measurement needs a justification, and the reference pool supplies its logic even where it does not supply a dedicated method text. The reasoning is that a maturing research topic imprints characteristic structure on its literature. Attention concentrates on shared anchors, recent work clusters as the topic goes live, and the topic settles into venue families with recognizable profiles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These are not exotic claims; they are the standard expectations of how scholarly communities organize around a subject. What is novel here is applying them diagnostically to a governance topic at the design stage of an instrument, treating the presence or absence of structure as evidence about whether the topic is ready to carry that instrument.</w:t>
      </w:r>
    </w:p>
    <w:p>
      <w:pPr>
        <w:pStyle w:val="BodyText"/>
        <w:spacing w:line="480" w:lineRule="auto"/>
        <w:ind w:firstLine="720"/>
      </w:pPr>
      <w:r>
        <w:t xml:space="preserve">The economy-forecasting and sector-trajectory material in the pool reinforces why this diagnostic matters rather than supplying the diagnostic itself</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Those sources describe a space economy growing in scale and consequence, which raises the stakes of getting governance right but says nothing about whether the specific rating-to-behavior topic has cohered. The life-cycle-assessment work is closer to a measurement model, converting orbital resource use into an accountable quantity, and it shows that the field can build rigorous measures when it chooses to</w:t>
      </w:r>
      <w:r>
        <w:t xml:space="preserve"> </w:t>
      </w:r>
      <w:hyperlink w:anchor="ref-12">
        <w:r>
          <w:rPr>
            <w:rStyle w:val="Hyperlink"/>
          </w:rPr>
          <w:t xml:space="preserve">[12]</w:t>
        </w:r>
      </w:hyperlink>
      <w:r>
        <w:t xml:space="preserve">. The gap the present project fills is that no one has turned a comparable measurement discipline on the topic’s own documentary record. The bibliometric screen does exactly that, and the reference pool’s mix of stakes-setting policy material and rigorous domain measurement is the backdrop against which the screen’s modesty and its necessity both stand out</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75"/>
    <w:bookmarkStart w:id="76" w:name="X8a1d49ba8c195494a36f996ba5da136a8d01107"/>
    <w:p>
      <w:pPr>
        <w:pStyle w:val="Heading2"/>
        <w:spacing w:line="480" w:lineRule="auto"/>
      </w:pPr>
      <w:r>
        <w:t xml:space="preserve">What the awareness literature implies for measurement</w:t>
      </w:r>
    </w:p>
    <w:p>
      <w:pPr>
        <w:pStyle w:val="FirstParagraph"/>
        <w:spacing w:line="480" w:lineRule="auto"/>
      </w:pPr>
      <w:r>
        <w:t xml:space="preserve">One more implication runs from the awareness literature into the design of the topic-signal measure. Because a rating’s inputs depend on an observational base that is uneven and shared with security and detection agendas, the documentary trace of the rating topic will not be clean</w:t>
      </w:r>
      <w:r>
        <w:t xml:space="preserve"> </w:t>
      </w:r>
      <w:hyperlink w:anchor="ref-1">
        <w:r>
          <w:rPr>
            <w:rStyle w:val="Hyperlink"/>
          </w:rPr>
          <w:t xml:space="preserve">[1]</w:t>
        </w:r>
      </w:hyperlink>
      <w:r>
        <w:t xml:space="preserve"> </w:t>
      </w:r>
      <w:hyperlink w:anchor="ref-5">
        <w:r>
          <w:rPr>
            <w:rStyle w:val="Hyperlink"/>
          </w:rPr>
          <w:t xml:space="preserve">[5]</w:t>
        </w:r>
      </w:hyperlink>
      <w:r>
        <w:t xml:space="preserve">. It will be entangled with the trace of the awareness technologies that make rating feasible, from sensor incorporation to anomaly detection to tamper-evident tracking records</w:t>
      </w:r>
      <w:r>
        <w:t xml:space="preserve"> </w:t>
      </w:r>
      <w:hyperlink w:anchor="ref-6">
        <w:r>
          <w:rPr>
            <w:rStyle w:val="Hyperlink"/>
          </w:rPr>
          <w:t xml:space="preserve">[6]</w:t>
        </w:r>
      </w:hyperlink>
      <w:r>
        <w:t xml:space="preserve">.</w:t>
      </w:r>
    </w:p>
    <w:p>
      <w:pPr>
        <w:pStyle w:val="BodyText"/>
        <w:spacing w:line="480" w:lineRule="auto"/>
        <w:ind w:firstLine="720"/>
      </w:pPr>
      <w:r>
        <w:t xml:space="preserve">A measure that scored topic presence as a binary would drown in this entanglement, because nearly every technical record touches the shared awareness substrate. A measure that scores topic intensity, counting how heavily a record engages the rating-to-behavior theme across its metadata, can separate heavy engagement from glancing mention even inside an entangled corpus</w:t>
      </w:r>
      <w:r>
        <w:t xml:space="preserve"> </w:t>
      </w:r>
      <w:hyperlink w:anchor="ref-2">
        <w:r>
          <w:rPr>
            <w:rStyle w:val="Hyperlink"/>
          </w:rPr>
          <w:t xml:space="preserve">[2]</w:t>
        </w:r>
      </w:hyperlink>
      <w:r>
        <w:t xml:space="preserve">. The literature’s entanglement is thus not only a substantive finding about the field; it is a design constraint that shaped how the outcome variable had to be built, a point chapter five develops in full.</w:t>
      </w:r>
    </w:p>
    <w:bookmarkEnd w:id="76"/>
    <w:bookmarkStart w:id="77" w:name="the-gap-and-how-the-test-addresses-it"/>
    <w:p>
      <w:pPr>
        <w:pStyle w:val="Heading2"/>
        <w:spacing w:line="480" w:lineRule="auto"/>
      </w:pPr>
      <w:r>
        <w:t xml:space="preserve">The gap and how the test addresses it</w:t>
      </w:r>
    </w:p>
    <w:p>
      <w:pPr>
        <w:pStyle w:val="FirstParagraph"/>
        <w:spacing w:line="480" w:lineRule="auto"/>
      </w:pPr>
      <w:r>
        <w:t xml:space="preserve">Read together, the literature establishes three things and leaves one thing unasked. It establishes that the rating is a deliberately designed incentive instrument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orbital sustainability is a genuine common-pool problem with measurable externalities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and that the observational base feeding any rating is real but uneven and shared with security and awareness agendas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 What it does not ask is whether the rating-to-behavior topic is legible as a structured object in the very corpus its community produces and cites. The design literature presumes coherence; the sustainability literature supplies stakes; the awareness literature supplies inputs. None of them tests whether the topic imprints measurable structure on source timing, attention, and venue.</w:t>
      </w:r>
    </w:p>
    <w:p>
      <w:pPr>
        <w:pStyle w:val="BodyText"/>
        <w:spacing w:line="480" w:lineRule="auto"/>
        <w:ind w:firstLine="720"/>
      </w:pPr>
      <w:r>
        <w:t xml:space="preserve">That is the gap. It is narrow, and it is exactly the width of an obtainable dataset. The dissertation does not attempt the behavioral question the rating’s advocates ultimately care about, because the documentary record cannot identify it. It attempts the prior question that the record can answer: given thirty retrieved source records spanning AMOS, Acta Astronautica, and the space-economy family, does the topic signal vary systematically with recency. Citation count, and venue, and does citation accumulation follow an age curve</w:t>
      </w:r>
      <w:r>
        <w:t xml:space="preserve"> </w:t>
      </w:r>
      <w:hyperlink w:anchor="ref-3">
        <w:r>
          <w:rPr>
            <w:rStyle w:val="Hyperlink"/>
          </w:rPr>
          <w:t xml:space="preserve">[3]</w:t>
        </w:r>
      </w:hyperlink>
      <w:r>
        <w:t xml:space="preserve"> </w:t>
      </w:r>
      <w:hyperlink w:anchor="ref-5">
        <w:r>
          <w:rPr>
            <w:rStyle w:val="Hyperlink"/>
          </w:rPr>
          <w:t xml:space="preserve">[5]</w:t>
        </w:r>
      </w:hyperlink>
      <w:r>
        <w:t xml:space="preserve">? A structured answer would tell an advocate that the topic has a legible base worth building an incentive instrument on.</w:t>
      </w:r>
    </w:p>
    <w:p>
      <w:pPr>
        <w:pStyle w:val="BodyText"/>
        <w:spacing w:line="480" w:lineRule="auto"/>
        <w:ind w:firstLine="720"/>
      </w:pPr>
      <w:r>
        <w:t xml:space="preserve">A null or weak answer would tell the same advocate that the base is diffuse and that the burden of demonstrating coherence has not yet been met. Either way the project converts an unexamined presumption in the design literature into a falsifiable corpus test, which is the contribution the following chapters develop and report</w:t>
      </w:r>
      <w:r>
        <w:t xml:space="preserve"> </w:t>
      </w:r>
      <w:hyperlink w:anchor="ref-9">
        <w:r>
          <w:rPr>
            <w:rStyle w:val="Hyperlink"/>
          </w:rPr>
          <w:t xml:space="preserve">[9]</w:t>
        </w:r>
      </w:hyperlink>
      <w:r>
        <w:t xml:space="preserve"> </w:t>
      </w:r>
      <w:hyperlink w:anchor="ref-7">
        <w:r>
          <w:rPr>
            <w:rStyle w:val="Hyperlink"/>
          </w:rPr>
          <w:t xml:space="preserve">[7]</w:t>
        </w:r>
      </w:hyperlink>
      <w:r>
        <w:t xml:space="preserve">.</w:t>
      </w:r>
    </w:p>
    <w:bookmarkEnd w:id="77"/>
    <w:bookmarkStart w:id="78" w:name="X80bd873e5af8d708acd6fdb3a99364136f8cc15"/>
    <w:p>
      <w:pPr>
        <w:pStyle w:val="Heading2"/>
        <w:spacing w:line="480" w:lineRule="auto"/>
      </w:pPr>
      <w:r>
        <w:t xml:space="preserve">What the reference pool reveals by its own structure</w:t>
      </w:r>
    </w:p>
    <w:p>
      <w:pPr>
        <w:pStyle w:val="FirstParagraph"/>
        <w:spacing w:line="480" w:lineRule="auto"/>
      </w:pPr>
      <w:r>
        <w:t xml:space="preserve">There is a final reading of the literature worth making explicit, one that treats the reference pool not as a set of claims but as an object with structure of its own. The pool spans conference proceedings, a peer-reviewed journal, and a scatter of policy and economics material, and that spread is itself a small piece of evidence about the topic</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5">
        <w:r>
          <w:rPr>
            <w:rStyle w:val="Hyperlink"/>
          </w:rPr>
          <w:t xml:space="preserve">[15]</w:t>
        </w:r>
      </w:hyperlink>
      <w:r>
        <w:t xml:space="preserve">. A topic with a mature, self-contained literature would tend to concentrate in a canonical venue with a recognizable citation core. This topic does not. Its sources are distributed across families that do not obviously cite one another. With the technical awareness work in the conference family and the incentive-design work in the journal family, and the policy framing in a loose economics-and-governance cluster</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That distribution foreshadows the empirical result rather than merely describing the pool. If the topic’s own reference set is venue-fragmented, then a formal screen of a larger retrieval is likely to find venue structure doing the organizing work, which is exactly what chapter six reports</w:t>
      </w:r>
      <w:r>
        <w:t xml:space="preserve"> </w:t>
      </w:r>
      <w:hyperlink w:anchor="ref-3">
        <w:r>
          <w:rPr>
            <w:rStyle w:val="Hyperlink"/>
          </w:rPr>
          <w:t xml:space="preserve">[3]</w:t>
        </w:r>
      </w:hyperlink>
      <w:r>
        <w:t xml:space="preserve">. The literature review thus does double duty. It situates the project’s claims against prior work, and it previews, through the shape of its own citations, the corpus fact the models will later quantify. Reading the pool this way turns the reference list from a formality into a first, informal observation, one the deterministic screen then tests with the discipline the informal reading lacks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8"/>
    <w:bookmarkStart w:id="79" w:name="Xa61dc0bdcd07d734955d5c0439f16f34fdde387"/>
    <w:p>
      <w:pPr>
        <w:pStyle w:val="Heading2"/>
        <w:spacing w:line="480" w:lineRule="auto"/>
      </w:pPr>
      <w:r>
        <w:t xml:space="preserve">What remains genuinely open after the review</w:t>
      </w:r>
    </w:p>
    <w:p>
      <w:pPr>
        <w:pStyle w:val="FirstParagraph"/>
        <w:spacing w:line="480" w:lineRule="auto"/>
      </w:pPr>
      <w:r>
        <w:t xml:space="preserve">Closing the review honestly means naming what the prior work leaves genuinely open rather than tidily resolved. The design literature does not establish that its topic base is consolidated; it assumes 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sustainability and debris literature establishes stakes but not topic maturity</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awareness literature establishes inputs but also establishes entanglement, warning that any documentary trace of the rating topic will be mixed with the trace of the technologies that observe it</w:t>
      </w:r>
      <w:r>
        <w:t xml:space="preserve"> </w:t>
      </w:r>
      <w:hyperlink w:anchor="ref-1">
        <w:r>
          <w:rPr>
            <w:rStyle w:val="Hyperlink"/>
          </w:rPr>
          <w:t xml:space="preserve">[1]</w:t>
        </w:r>
      </w:hyperlink>
      <w:r>
        <w:t xml:space="preserve"> </w:t>
      </w:r>
      <w:hyperlink w:anchor="ref-6">
        <w:r>
          <w:rPr>
            <w:rStyle w:val="Hyperlink"/>
          </w:rPr>
          <w:t xml:space="preserve">[6]</w:t>
        </w:r>
      </w:hyperlink>
      <w:r>
        <w:t xml:space="preserve">. And the thin attention-measurement seam offers expectations about how citations behave without supplying a topic-specific model</w:t>
      </w:r>
      <w:r>
        <w:t xml:space="preserve"> </w:t>
      </w:r>
      <w:hyperlink w:anchor="ref-11">
        <w:r>
          <w:rPr>
            <w:rStyle w:val="Hyperlink"/>
          </w:rPr>
          <w:t xml:space="preserve">[11]</w:t>
        </w:r>
      </w:hyperlink>
      <w:r>
        <w:t xml:space="preserve">.</w:t>
      </w:r>
    </w:p>
    <w:p>
      <w:pPr>
        <w:pStyle w:val="BodyText"/>
        <w:spacing w:line="480" w:lineRule="auto"/>
        <w:ind w:firstLine="720"/>
      </w:pPr>
      <w:r>
        <w:t xml:space="preserve">Each body of work contributes something and withholds the same thing: none tests whether the rating-to-behavior topic is legibly structured in the record its own community produces. That shared omission is not a gap in any one literature but a gap between them, the kind that opens precisely where fields meet and no one owns the seam</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chapters that follow take ownership of that seam with a single, falsifiable, reproducible test, and they report what the test finds without borrowing the surrounding literatures’ unearned confidence</w:t>
      </w:r>
      <w:r>
        <w:t xml:space="preserve"> </w:t>
      </w:r>
      <w:hyperlink w:anchor="ref-15">
        <w:r>
          <w:rPr>
            <w:rStyle w:val="Hyperlink"/>
          </w:rPr>
          <w:t xml:space="preserve">[15]</w:t>
        </w:r>
      </w:hyperlink>
      <w:r>
        <w:t xml:space="preserve">.</w:t>
      </w:r>
    </w:p>
    <w:p>
      <w:pPr>
        <w:pStyle w:val="BodyText"/>
        <w:spacing w:line="480" w:lineRule="auto"/>
        <w:ind w:firstLine="720"/>
      </w:pPr>
      <w:r>
        <w:t xml:space="preserve">This positioning also explains why the review draws on technical, governance, and economic sources together rather than confining itself to the rating literature narrowly construed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2">
        <w:r>
          <w:rPr>
            <w:rStyle w:val="Hyperlink"/>
          </w:rPr>
          <w:t xml:space="preserve">[12]</w:t>
        </w:r>
      </w:hyperlink>
      <w:r>
        <w:t xml:space="preserve">. The topic sits at the intersection of what can be observed, what should be governed, and what is economically at stake. And a review that read only the design papers would miss the entanglement and the fragmentation that the wider pool reveals</w:t>
      </w:r>
      <w:r>
        <w:t xml:space="preserve"> </w:t>
      </w:r>
      <w:hyperlink w:anchor="ref-9">
        <w:r>
          <w:rPr>
            <w:rStyle w:val="Hyperlink"/>
          </w:rPr>
          <w:t xml:space="preserve">[9]</w:t>
        </w:r>
      </w:hyperlink>
      <w:r>
        <w:t xml:space="preserve">. By reading across the three seams, the chapter establishes that the rating’s topic is not a self-contained research program but a convergence zone, and convergence zones are exactly where legibility is least guaranteed and most worth measuring</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9"/>
    <w:bookmarkEnd w:id="80"/>
    <w:bookmarkStart w:id="92" w:name="theoretical-framework-and-hypotheses"/>
    <w:p>
      <w:pPr>
        <w:pStyle w:val="Heading1"/>
        <w:spacing w:line="480" w:lineRule="auto"/>
      </w:pPr>
      <w:r>
        <w:t xml:space="preserve">Theoretical Framework and Hypotheses</w:t>
      </w:r>
    </w:p>
    <w:p>
      <w:pPr>
        <w:pStyle w:val="FirstParagraph"/>
        <w:spacing w:line="480" w:lineRule="auto"/>
      </w:pPr>
      <w:r>
        <w:t xml:space="preserve">The business case for a sustainability rating rests on a chain of assumptions, and the chain has a weak first link. Before a rating can change behavior, the topic it addresses must be a coherent object that a community recognizes, discusses, and returns to. This chapter builds the theory that connects that recognition to something measurable, and it converts the theory into predictions that the data can refute. The core idea is simple to state and demanding to test: a governance topic that has genuinely consolidated leaves a structured trace in the documentary record, and the shape of that trace is diagnostic of how far the consolidation has gone</w:t>
      </w:r>
      <w:r>
        <w:t xml:space="preserve"> </w:t>
      </w:r>
      <w:hyperlink w:anchor="ref-3">
        <w:r>
          <w:rPr>
            <w:rStyle w:val="Hyperlink"/>
          </w:rPr>
          <w:t xml:space="preserve">[3]</w:t>
        </w:r>
      </w:hyperlink>
      <w:r>
        <w:t xml:space="preserve">.</w:t>
      </w:r>
    </w:p>
    <w:bookmarkStart w:id="81" w:name="X0ba7ff10d70b8470ca09404ddf536998f1a50f3"/>
    <w:p>
      <w:pPr>
        <w:pStyle w:val="Heading2"/>
        <w:spacing w:line="480" w:lineRule="auto"/>
      </w:pPr>
      <w:r>
        <w:t xml:space="preserve">From behavioral hope to documentary evidence</w:t>
      </w:r>
    </w:p>
    <w:p>
      <w:pPr>
        <w:pStyle w:val="FirstParagraph"/>
        <w:spacing w:line="480" w:lineRule="auto"/>
      </w:pPr>
      <w:r>
        <w:t xml:space="preserve">Consider what the rating’s advocates actually need to be true. They need operators to treat a score as informative, which requires that the sustainability problem be legible to operators as a shared problem rather than a bespoke concern. Legibility of that kind is produced socially, through repeated engagement in venues where the relevant actors read one another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When a topic consolidates, three things tend to happen to its documentary trace</w:t>
      </w:r>
      <w:r>
        <w:t xml:space="preserve"> </w:t>
      </w:r>
      <w:hyperlink w:anchor="ref-2">
        <w:r>
          <w:rPr>
            <w:rStyle w:val="Hyperlink"/>
          </w:rPr>
          <w:t xml:space="preserve">[2]</w:t>
        </w:r>
      </w:hyperlink>
      <w:r>
        <w:t xml:space="preserve">.</w:t>
      </w:r>
    </w:p>
    <w:p>
      <w:pPr>
        <w:pStyle w:val="BodyText"/>
        <w:spacing w:line="480" w:lineRule="auto"/>
        <w:ind w:firstLine="720"/>
      </w:pPr>
      <w:r>
        <w:t xml:space="preserve">The logic is plain.</w:t>
      </w:r>
    </w:p>
    <w:p>
      <w:pPr>
        <w:pStyle w:val="BodyText"/>
        <w:spacing w:line="480" w:lineRule="auto"/>
        <w:ind w:firstLine="720"/>
      </w:pPr>
      <w:r>
        <w:t xml:space="preserve">Recent work concentrates on it, because a live topic draws current effort. Attention concentrates on it, because a consolidating community cites shared anchors. And venue structure emerges, because the topic finds homes and the homes acquire characteristic profiles. The theory does not require all three to move together. It requires that at least one carry structure if the topic is real, and it treats the pattern across all three as a map of where consolidation has and has not reached.</w:t>
      </w:r>
    </w:p>
    <w:p>
      <w:pPr>
        <w:pStyle w:val="BodyText"/>
        <w:spacing w:line="480" w:lineRule="auto"/>
        <w:ind w:firstLine="720"/>
      </w:pPr>
      <w:r>
        <w:t xml:space="preserve">This reframing is the project’s central theoretical move. It does not measure behavior, which the available evidence cannot reach, and it does not measure the quality of the rating’s design, which is a matter of engineering judgment rather than corpus structure. It measures legibility, on the reasoning that a topic no one can find a stable documentary shape for is a poor foundation for an incentive instrument</w:t>
      </w:r>
      <w:r>
        <w:t xml:space="preserve"> </w:t>
      </w:r>
      <w:hyperlink w:anchor="ref-1">
        <w:r>
          <w:rPr>
            <w:rStyle w:val="Hyperlink"/>
          </w:rPr>
          <w:t xml:space="preserve">[1]</w:t>
        </w:r>
      </w:hyperlink>
      <w:r>
        <w:t xml:space="preserve"> </w:t>
      </w:r>
      <w:hyperlink w:anchor="ref-3">
        <w:r>
          <w:rPr>
            <w:rStyle w:val="Hyperlink"/>
          </w:rPr>
          <w:t xml:space="preserve">[3]</w:t>
        </w:r>
      </w:hyperlink>
      <w:r>
        <w:t xml:space="preserve">. Legibility is upstream of behavior. If it fails, the behavioral hope is premature; if it holds, the behavioral hope becomes a researchable next question rather than a leap.</w:t>
      </w:r>
    </w:p>
    <w:p>
      <w:pPr>
        <w:pStyle w:val="BodyText"/>
        <w:spacing w:line="480" w:lineRule="auto"/>
        <w:ind w:firstLine="720"/>
      </w:pPr>
      <w:r>
        <w:t xml:space="preserve">The estimand is descriptive.</w:t>
      </w:r>
    </w:p>
    <w:bookmarkEnd w:id="81"/>
    <w:bookmarkStart w:id="82" w:name="X140b1a388a438de357e28e16e02bea1181747c4"/>
    <w:p>
      <w:pPr>
        <w:pStyle w:val="Heading2"/>
        <w:spacing w:line="480" w:lineRule="auto"/>
      </w:pPr>
      <w:r>
        <w:t xml:space="preserve">Mechanism one: recency and the currency of a live topic</w:t>
      </w:r>
    </w:p>
    <w:p>
      <w:pPr>
        <w:pStyle w:val="FirstParagraph"/>
        <w:spacing w:line="480" w:lineRule="auto"/>
      </w:pPr>
      <w:r>
        <w:t xml:space="preserve">Consider recency first. This mechanism links topic salience to publication timing. A governance concern that has recently crystallized should show heavier topic signal in more recent records, because current authors write toward current problems and reach for current framings</w:t>
      </w:r>
      <w:r>
        <w:t xml:space="preserve"> </w:t>
      </w:r>
      <w:hyperlink w:anchor="ref-3">
        <w:r>
          <w:rPr>
            <w:rStyle w:val="Hyperlink"/>
          </w:rPr>
          <w:t xml:space="preserve">[3]</w:t>
        </w:r>
      </w:hyperlink>
      <w:r>
        <w:t xml:space="preserve">. If the rating-to-behavior topic is a live concern, records from the last several years should carry more topic-relevant content than older records that predate the framing. The mechanism is not deterministic. Older foundational papers can be dense with topic signal precisely because they defined the problem, and recent papers can be thin because they address adjacent concerns. The prediction is therefore about central tendency, not about every record, and it is stated as a partial association that holds after other structure is accounted for.</w:t>
      </w:r>
    </w:p>
    <w:p>
      <w:pPr>
        <w:pStyle w:val="BodyText"/>
        <w:spacing w:line="480" w:lineRule="auto"/>
        <w:ind w:firstLine="720"/>
      </w:pPr>
      <w:r>
        <w:t xml:space="preserve">The point is provenance. That claim is bounded. Each mechanism can fail.</w:t>
      </w:r>
    </w:p>
    <w:p>
      <w:pPr>
        <w:pStyle w:val="BodyText"/>
        <w:spacing w:line="480" w:lineRule="auto"/>
        <w:ind w:firstLine="720"/>
      </w:pPr>
      <w:r>
        <w:t xml:space="preserve">There is a competing possibility built into the theory, and naming it is what makes the test honest. If topic signal is flat across time, that flatness is evidence that the topic did not crystallize on a datable schedule. It might be perennial, discussed at low intensity across the whole span, or it might be a label applied retrospectively to work that was about something else. Either reading weakens the claim that the rating addresses a freshly consolidated problem. The recency mechanism thus generates a falsifiable expectation whose failure is informative rather than merely disappointing.</w:t>
      </w:r>
    </w:p>
    <w:p>
      <w:pPr>
        <w:pStyle w:val="BodyText"/>
        <w:spacing w:line="480" w:lineRule="auto"/>
        <w:ind w:firstLine="720"/>
      </w:pPr>
      <w:r>
        <w:t xml:space="preserve">The null is informative.</w:t>
      </w:r>
    </w:p>
    <w:bookmarkEnd w:id="82"/>
    <w:bookmarkStart w:id="83" w:name="X1d18ae7ac6fac0acf56a3af3f8f50f064b4e7a6"/>
    <w:p>
      <w:pPr>
        <w:pStyle w:val="Heading2"/>
        <w:spacing w:line="480" w:lineRule="auto"/>
      </w:pPr>
      <w:r>
        <w:t xml:space="preserve">Mechanism two: attention as a proxy for shared anchoring</w:t>
      </w:r>
    </w:p>
    <w:p>
      <w:pPr>
        <w:pStyle w:val="FirstParagraph"/>
        <w:spacing w:line="480" w:lineRule="auto"/>
      </w:pPr>
      <w:r>
        <w:t xml:space="preserve">Attention comes next. This mechanism links topic salience to citation attention. When a community consolidates around a topic, it develops shared reference points that later work cites, so records that sit near the topic’s center should attract more attention than peripheral records</w:t>
      </w:r>
      <w:r>
        <w:t xml:space="preserve"> </w:t>
      </w:r>
      <w:hyperlink w:anchor="ref-2">
        <w:r>
          <w:rPr>
            <w:rStyle w:val="Hyperlink"/>
          </w:rPr>
          <w:t xml:space="preserve">[2]</w:t>
        </w:r>
      </w:hyperlink>
      <w:r>
        <w:t xml:space="preserve"> </w:t>
      </w:r>
      <w:hyperlink w:anchor="ref-5">
        <w:r>
          <w:rPr>
            <w:rStyle w:val="Hyperlink"/>
          </w:rPr>
          <w:t xml:space="preserve">[5]</w:t>
        </w:r>
      </w:hyperlink>
      <w:r>
        <w:t xml:space="preserve">. Citation count, even measured locally and imperfectly, is a proxy for that anchoring. Heavier topic signal should therefore co-move with higher attention if the topic has a recognized center of gravity.</w:t>
      </w:r>
    </w:p>
    <w:p>
      <w:pPr>
        <w:pStyle w:val="BodyText"/>
        <w:spacing w:line="480" w:lineRule="auto"/>
        <w:ind w:firstLine="720"/>
      </w:pPr>
      <w:r>
        <w:t xml:space="preserve">This mechanism carries an important caveat that the theory must absorb. The attention measure available here is a local index count, zero for most records because the index reported no count, and non-zero only for the newest journal entries</w:t>
      </w:r>
      <w:r>
        <w:t xml:space="preserve"> </w:t>
      </w:r>
      <w:hyperlink w:anchor="ref-6">
        <w:r>
          <w:rPr>
            <w:rStyle w:val="Hyperlink"/>
          </w:rPr>
          <w:t xml:space="preserve">[6]</w:t>
        </w:r>
      </w:hyperlink>
      <w:r>
        <w:t xml:space="preserve">. That truncation means the mechanism can be tested only weakly. If attention and topic signal co-move, the evidence for anchoring is suggestive; if they do not, the null result is contaminated by the sparsity of the attention measure and should not be read as strong evidence against anchoring. The theory thus predicts a positive but likely imprecise association, and it commits in advance to reading imprecision as a limit of the instrument rather than as a substantive finding.</w:t>
      </w:r>
    </w:p>
    <w:p>
      <w:pPr>
        <w:pStyle w:val="BodyText"/>
        <w:spacing w:line="480" w:lineRule="auto"/>
        <w:ind w:firstLine="720"/>
      </w:pPr>
      <w:r>
        <w:t xml:space="preserve">Sign and size, both. Form drives the signal.</w:t>
      </w:r>
    </w:p>
    <w:bookmarkEnd w:id="83"/>
    <w:bookmarkStart w:id="84" w:name="X5b42e12a1c3e9c1af0a3f66747e95930bb75db0"/>
    <w:p>
      <w:pPr>
        <w:pStyle w:val="Heading2"/>
        <w:spacing w:line="480" w:lineRule="auto"/>
      </w:pPr>
      <w:r>
        <w:t xml:space="preserve">Mechanism three: venue family as a structural signature</w:t>
      </w:r>
    </w:p>
    <w:p>
      <w:pPr>
        <w:pStyle w:val="FirstParagraph"/>
        <w:spacing w:line="480" w:lineRule="auto"/>
      </w:pPr>
      <w:r>
        <w:t xml:space="preserve">The third mechanism is the sharpest. Topics do not float free of venues; they settle into publication families, and those families carry characteristic profiles of length, formality, and metadata density</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corpus here spans three families, ordered as an ordinal scale: AMOS conference proceedings, Acta Astronautica journal articles, and a heterogeneous space-economy family that includes policy notes, working papers, and forecasting material. The mechanism predicts that topic signal will differ systematically across these families, because the same topic is expressed differently depending on where it appears.</w:t>
      </w:r>
    </w:p>
    <w:p>
      <w:pPr>
        <w:pStyle w:val="BodyText"/>
        <w:spacing w:line="480" w:lineRule="auto"/>
        <w:ind w:firstLine="720"/>
      </w:pPr>
      <w:r>
        <w:t xml:space="preserve">Which direction should the difference run? That is a theoretical claim worth stating precisely. Conference and journal records in this corpus carry rich textual metadata, titles, snippets, keyword fields, from which a topic-signal measure draws heavily. The space-economy family, by contrast, is populated in part by short policy labels and forecasting stubs with sparse text, so a text-derived signal will register lower there even when the underlying document is squarely on topic</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prediction is therefore that higher venue-family scores associate with lower measured topic signal, not because the space-economy work is less relevant but because its documentary form yields less measurable text. This is the mechanism most likely to produce a precise, signed coefficient, and it is the one whose result most directly tests whether venue structure organizes the corpus.</w:t>
      </w:r>
    </w:p>
    <w:bookmarkEnd w:id="84"/>
    <w:bookmarkStart w:id="85" w:name="X4ed8b4cef062f318667e3feec12987349ca3550"/>
    <w:p>
      <w:pPr>
        <w:pStyle w:val="Heading2"/>
        <w:spacing w:line="480" w:lineRule="auto"/>
      </w:pPr>
      <w:r>
        <w:t xml:space="preserve">Mechanism four: age and the accumulation of citations</w:t>
      </w:r>
    </w:p>
    <w:p>
      <w:pPr>
        <w:pStyle w:val="FirstParagraph"/>
        <w:spacing w:line="480" w:lineRule="auto"/>
      </w:pPr>
      <w:r>
        <w:t xml:space="preserve">The second empirical screen rests on a distinct mechanism about how attention accrues over a document’s life. Learning-curve reasoning holds that citations accumulate with age, rapidly at first and then more slowly, so that the relationship between citation count and article age is well described in log-log form with a slope that captures the elasticity of attention to age</w:t>
      </w:r>
      <w:r>
        <w:t xml:space="preserve"> </w:t>
      </w:r>
      <w:hyperlink w:anchor="ref-4">
        <w:r>
          <w:rPr>
            <w:rStyle w:val="Hyperlink"/>
          </w:rPr>
          <w:t xml:space="preserve">[4]</w:t>
        </w:r>
      </w:hyperlink>
      <w:r>
        <w:t xml:space="preserve">. In a healthy, actively cited literature, that slope is positive: older documents have had more time to gather citations. The mechanism predicts a positive age elasticity if the topic literature behaves like a normal accumulating field.</w:t>
      </w:r>
    </w:p>
    <w:p>
      <w:pPr>
        <w:pStyle w:val="BodyText"/>
        <w:spacing w:line="480" w:lineRule="auto"/>
        <w:ind w:firstLine="720"/>
      </w:pPr>
      <w:r>
        <w:t xml:space="preserve">Here too the theory anticipates its own failure mode. If the newest records carry the only non-zero citation counts, the age-citation relationship can invert, with recent journal entries showing more attention than decade-old conference papers that the local index never credited</w:t>
      </w:r>
      <w:r>
        <w:t xml:space="preserve"> </w:t>
      </w:r>
      <w:hyperlink w:anchor="ref-6">
        <w:r>
          <w:rPr>
            <w:rStyle w:val="Hyperlink"/>
          </w:rPr>
          <w:t xml:space="preserve">[6]</w:t>
        </w:r>
      </w:hyperlink>
      <w:r>
        <w:t xml:space="preserve">. An inverted or flat slope would then signal not a violation of learning-curve logic in general but a truncated, front-loaded attention measure specific to this corpus. The prediction is a positive elasticity under the normal-accumulation account and an inverted or weak elasticity under the truncated-measurement account, and the data are allowed to choose between them.</w:t>
      </w:r>
    </w:p>
    <w:bookmarkEnd w:id="85"/>
    <w:bookmarkStart w:id="86" w:name="how-the-mechanisms-interact"/>
    <w:p>
      <w:pPr>
        <w:pStyle w:val="Heading2"/>
        <w:spacing w:line="480" w:lineRule="auto"/>
      </w:pPr>
      <w:r>
        <w:t xml:space="preserve">How the mechanisms interact</w:t>
      </w:r>
    </w:p>
    <w:p>
      <w:pPr>
        <w:pStyle w:val="FirstParagraph"/>
        <w:spacing w:line="480" w:lineRule="auto"/>
      </w:pPr>
      <w:r>
        <w:t xml:space="preserve">These four mechanisms are not independent, and the theory has to say how they combine before the hypotheses can be read correctly. Recency and venue are the most entangled pair. The newest records in the corpus are the journal and space-economy entries, so a raw time trend and a venue-family axis carry overlapping information</w:t>
      </w:r>
      <w:r>
        <w:t xml:space="preserve"> </w:t>
      </w:r>
      <w:hyperlink w:anchor="ref-2">
        <w:r>
          <w:rPr>
            <w:rStyle w:val="Hyperlink"/>
          </w:rPr>
          <w:t xml:space="preserve">[2]</w:t>
        </w:r>
      </w:hyperlink>
      <w:r>
        <w:t xml:space="preserve"> </w:t>
      </w:r>
      <w:hyperlink w:anchor="ref-3">
        <w:r>
          <w:rPr>
            <w:rStyle w:val="Hyperlink"/>
          </w:rPr>
          <w:t xml:space="preserve">[3]</w:t>
        </w:r>
      </w:hyperlink>
      <w:r>
        <w:t xml:space="preserve">. This is why the recency prediction is stated as a partial effect net of venue rather than as a simple correlation with year.</w:t>
      </w:r>
    </w:p>
    <w:p>
      <w:pPr>
        <w:pStyle w:val="BodyText"/>
        <w:spacing w:line="480" w:lineRule="auto"/>
        <w:ind w:firstLine="720"/>
      </w:pPr>
      <w:r>
        <w:t xml:space="preserve">If recency and venue were tested in isolation, each would borrow structure from the other, and the resulting story would be an artifact of their overlap. Estimating them jointly forces each coefficient to earn its own identifying variation, and the theory expects that when it does. Venue will retain a signed effect while recency will not, because the venue axis carries the text-density difference that the topic-signal measure is most sensitive to</w:t>
      </w:r>
      <w:r>
        <w:t xml:space="preserve"> </w:t>
      </w:r>
      <w:hyperlink w:anchor="ref-1">
        <w:r>
          <w:rPr>
            <w:rStyle w:val="Hyperlink"/>
          </w:rPr>
          <w:t xml:space="preserve">[1]</w:t>
        </w:r>
      </w:hyperlink>
      <w:r>
        <w:t xml:space="preserve">.</w:t>
      </w:r>
    </w:p>
    <w:p>
      <w:pPr>
        <w:pStyle w:val="BodyText"/>
        <w:spacing w:line="480" w:lineRule="auto"/>
        <w:ind w:firstLine="720"/>
      </w:pPr>
      <w:r>
        <w:t xml:space="preserve">Attention interacts with both time variables through the truncation of the citation measure. Because only the newest records carry non-zero citations, attention is nearly collinear with extreme recency, and the age elasticity in the second model is driven by the same handful of records</w:t>
      </w:r>
      <w:r>
        <w:t xml:space="preserve"> </w:t>
      </w:r>
      <w:hyperlink w:anchor="ref-6">
        <w:r>
          <w:rPr>
            <w:rStyle w:val="Hyperlink"/>
          </w:rPr>
          <w:t xml:space="preserve">[6]</w:t>
        </w:r>
      </w:hyperlink>
      <w:r>
        <w:t xml:space="preserve">. The theory therefore predicts a specific joint pattern rather than four separate effects: a signed venue term, a quiet recency term, a quiet attention term, and a negative age elasticity. All of them consistent with a corpus whose measurable attention is front-loaded onto a young, text-rich journal layer while its older technical foundation registers as uncited and, in the sparse space-economy family, as low-signal</w:t>
      </w:r>
      <w:r>
        <w:t xml:space="preserve"> </w:t>
      </w:r>
      <w:hyperlink w:anchor="ref-4">
        <w:r>
          <w:rPr>
            <w:rStyle w:val="Hyperlink"/>
          </w:rPr>
          <w:t xml:space="preserve">[4]</w:t>
        </w:r>
      </w:hyperlink>
      <w:r>
        <w:t xml:space="preserve"> </w:t>
      </w:r>
      <w:hyperlink w:anchor="ref-5">
        <w:r>
          <w:rPr>
            <w:rStyle w:val="Hyperlink"/>
          </w:rPr>
          <w:t xml:space="preserve">[5]</w:t>
        </w:r>
      </w:hyperlink>
      <w:r>
        <w:t xml:space="preserve">. Reading the mechanisms as a system, rather than as a checklist, is what lets the results in chapter six cohere into one picture instead of four disconnected findings.</w:t>
      </w:r>
    </w:p>
    <w:bookmarkEnd w:id="86"/>
    <w:bookmarkStart w:id="87" w:name="Xf7cc68c459d246504739ebf62a8092530ad622c"/>
    <w:p>
      <w:pPr>
        <w:pStyle w:val="Heading2"/>
        <w:spacing w:line="480" w:lineRule="auto"/>
      </w:pPr>
      <w:r>
        <w:t xml:space="preserve">Why a structured trace is evidence and not proof</w:t>
      </w:r>
    </w:p>
    <w:p>
      <w:pPr>
        <w:pStyle w:val="FirstParagraph"/>
        <w:spacing w:line="480" w:lineRule="auto"/>
      </w:pPr>
      <w:r>
        <w:t xml:space="preserve">The theory makes a careful epistemic claim, and stating its limits is part of building it honestly. A structured documentary trace is evidence that a topic has cohered; it is not proof that the topic is correct, important, or ready to govern behavior</w:t>
      </w:r>
      <w:r>
        <w:t xml:space="preserve"> </w:t>
      </w:r>
      <w:hyperlink w:anchor="ref-9">
        <w:r>
          <w:rPr>
            <w:rStyle w:val="Hyperlink"/>
          </w:rPr>
          <w:t xml:space="preserve">[9]</w:t>
        </w:r>
      </w:hyperlink>
      <w:r>
        <w:t xml:space="preserve">. A community can consolidate around a framing that later proves wrong, and venue structure can reflect the sociology of publication as much as the substance of a problem. The screen detects organization, not validity. This is why the dissertation frames legibility as a precondition rather than a guarantee: a legible topic clears the first bar the business case requires. But clearing it does not establish that a rating built on the topic will change conduct</w:t>
      </w:r>
      <w:r>
        <w:t xml:space="preserve"> </w:t>
      </w:r>
      <w:hyperlink w:anchor="ref-10">
        <w:r>
          <w:rPr>
            <w:rStyle w:val="Hyperlink"/>
          </w:rPr>
          <w:t xml:space="preserve">[10]</w:t>
        </w:r>
      </w:hyperlink>
      <w:r>
        <w:t xml:space="preserve">.</w:t>
      </w:r>
    </w:p>
    <w:p>
      <w:pPr>
        <w:pStyle w:val="BodyText"/>
        <w:spacing w:line="480" w:lineRule="auto"/>
        <w:ind w:firstLine="720"/>
      </w:pPr>
      <w:r>
        <w:t xml:space="preserve">The converse is equally bounded. A weak or absent structural signal is evidence that the topic has not yet cohered in the retrieved corpus, but it is not proof that the topic is incoherent in the field at large</w:t>
      </w:r>
      <w:r>
        <w:t xml:space="preserve"> </w:t>
      </w:r>
      <w:hyperlink w:anchor="ref-3">
        <w:r>
          <w:rPr>
            <w:rStyle w:val="Hyperlink"/>
          </w:rPr>
          <w:t xml:space="preserve">[3]</w:t>
        </w:r>
      </w:hyperlink>
      <w:r>
        <w:t xml:space="preserve">. The corpus is a specific retrieval of finite size, and a null at thirty records is a bounded null, sensitive to sample and to selection. The theory therefore commits to asymmetric humility. A significant signal licenses the modest claim that structure exists in this corpus; a null licenses only the claim that this corpus does not reveal structure at this power. Neither result is inflated into a universal statement, and the mechanisms are designed so that every prediction they generate can be read within these limits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7"/>
    <w:bookmarkStart w:id="88" w:name="X9d4193a76b41e2fb18061e42627298b7537e24e"/>
    <w:p>
      <w:pPr>
        <w:pStyle w:val="Heading2"/>
        <w:spacing w:line="480" w:lineRule="auto"/>
      </w:pPr>
      <w:r>
        <w:t xml:space="preserve">Distinguishing the two accounts of the age slope</w:t>
      </w:r>
    </w:p>
    <w:p>
      <w:pPr>
        <w:pStyle w:val="FirstParagraph"/>
        <w:spacing w:line="480" w:lineRule="auto"/>
      </w:pPr>
      <w:r>
        <w:t xml:space="preserve">Because the age elasticity can come back negative for two very different reasons, the theory must specify in advance how to tell them apart, or the result will be uninterpretable. Under the first account, a negative slope would mean the topic literature genuinely loses citations as it ages, which would be an unusual and substantively interesting finding about the field’s attention dynamics</w:t>
      </w:r>
      <w:r>
        <w:t xml:space="preserve"> </w:t>
      </w:r>
      <w:hyperlink w:anchor="ref-4">
        <w:r>
          <w:rPr>
            <w:rStyle w:val="Hyperlink"/>
          </w:rPr>
          <w:t xml:space="preserve">[4]</w:t>
        </w:r>
      </w:hyperlink>
      <w:r>
        <w:t xml:space="preserve">. Under the second account, a negative slope would mean only that the local citation index credits recent journal records and ignores older conference work, so that the slope reflects index coverage rather than field behavior</w:t>
      </w:r>
      <w:r>
        <w:t xml:space="preserve"> </w:t>
      </w:r>
      <w:hyperlink w:anchor="ref-6">
        <w:r>
          <w:rPr>
            <w:rStyle w:val="Hyperlink"/>
          </w:rPr>
          <w:t xml:space="preserve">[6]</w:t>
        </w:r>
      </w:hyperlink>
      <w:r>
        <w:t xml:space="preserve">. These accounts predict the same sign, so sign alone cannot separate them.</w:t>
      </w:r>
    </w:p>
    <w:p>
      <w:pPr>
        <w:pStyle w:val="BodyText"/>
        <w:spacing w:line="480" w:lineRule="auto"/>
        <w:ind w:firstLine="720"/>
      </w:pPr>
      <w:r>
        <w:t xml:space="preserve">What tells the two apart? The distribution of the citation variable itself. If non-zero citations appear only on the newest records while every older record sits at zero, the truncation account is the correct reading, because there is no accumulated older attention for the slope to have measured</w:t>
      </w:r>
      <w:r>
        <w:t xml:space="preserve"> </w:t>
      </w:r>
      <w:hyperlink w:anchor="ref-5">
        <w:r>
          <w:rPr>
            <w:rStyle w:val="Hyperlink"/>
          </w:rPr>
          <w:t xml:space="preserve">[5]</w:t>
        </w:r>
      </w:hyperlink>
      <w:r>
        <w:t xml:space="preserve">. If instead citations were spread across ages with older records genuinely carrying fewer, the field-behavior account would gain support. The theory commits to inspecting that distribution before interpreting the slope, which chapter five documents and chapter six applies. Pre-specifying this discrimination rule is what keeps the age result from being read as a dramatic finding about the literature when it is, on the evidence, a modest statement about the measure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8"/>
    <w:bookmarkStart w:id="89" w:name="hypotheses"/>
    <w:p>
      <w:pPr>
        <w:pStyle w:val="Heading2"/>
        <w:spacing w:line="480" w:lineRule="auto"/>
      </w:pPr>
      <w:r>
        <w:t xml:space="preserve">Hypotheses</w:t>
      </w:r>
    </w:p>
    <w:p>
      <w:pPr>
        <w:pStyle w:val="FirstParagraph"/>
        <w:spacing w:line="480" w:lineRule="auto"/>
      </w:pPr>
      <w:r>
        <w:t xml:space="preserve">The mechanisms yield a single primary hypothesis pair and a set of directional expectations that structure interpretation.</w:t>
      </w:r>
    </w:p>
    <w:p>
      <w:pPr>
        <w:pStyle w:val="BodyText"/>
        <w:spacing w:line="480" w:lineRule="auto"/>
        <w:ind w:firstLine="720"/>
      </w:pPr>
      <w:r>
        <w:t xml:space="preserve">Start with the null. It holds that the topic signal is unrelated to publication recency, citation attention, and venue family across the retrieved corpus, so that whatever variation exists in topic signal is noise with respect to these three structural features</w:t>
      </w:r>
      <w:r>
        <w:t xml:space="preserve"> </w:t>
      </w:r>
      <w:hyperlink w:anchor="ref-3">
        <w:r>
          <w:rPr>
            <w:rStyle w:val="Hyperlink"/>
          </w:rPr>
          <w:t xml:space="preserve">[3]</w:t>
        </w:r>
      </w:hyperlink>
      <w:r>
        <w:t xml:space="preserve">. The primary alternative holds that the topic signal is systematically related to at least one of the three, so that the corpus carries detectable organization.</w:t>
      </w:r>
    </w:p>
    <w:p>
      <w:pPr>
        <w:pStyle w:val="BodyText"/>
        <w:spacing w:line="480" w:lineRule="auto"/>
        <w:ind w:firstLine="720"/>
      </w:pPr>
      <w:r>
        <w:t xml:space="preserve">Within the alternative, three directional expectations follow from the mechanisms. Recency is expected to associate positively with topic signal, though possibly weakly, if the topic is a live concern. Citation attention is expected to associate positively with topic signal, though the sparse attention measure may render the association imprecise</w:t>
      </w:r>
      <w:r>
        <w:t xml:space="preserve"> </w:t>
      </w:r>
      <w:hyperlink w:anchor="ref-5">
        <w:r>
          <w:rPr>
            <w:rStyle w:val="Hyperlink"/>
          </w:rPr>
          <w:t xml:space="preserve">[5]</w:t>
        </w:r>
      </w:hyperlink>
      <w:r>
        <w:t xml:space="preserve"> </w:t>
      </w:r>
      <w:hyperlink w:anchor="ref-6">
        <w:r>
          <w:rPr>
            <w:rStyle w:val="Hyperlink"/>
          </w:rPr>
          <w:t xml:space="preserve">[6]</w:t>
        </w:r>
      </w:hyperlink>
      <w:r>
        <w:t xml:space="preserve">. Venue family is expected to associate negatively with measured topic signal under the metadata-density argument, and this is the expectation most likely to be precisely estimated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For the second screen, the null holds that citation accumulation is unrelated to article age in the topic literature, and the alternative holds that accumulation follows a measurable age-based curve</w:t>
      </w:r>
      <w:r>
        <w:t xml:space="preserve"> </w:t>
      </w:r>
      <w:hyperlink w:anchor="ref-4">
        <w:r>
          <w:rPr>
            <w:rStyle w:val="Hyperlink"/>
          </w:rPr>
          <w:t xml:space="preserve">[4]</w:t>
        </w:r>
      </w:hyperlink>
      <w:r>
        <w:t xml:space="preserve">. The directional expectation is a positive age elasticity under normal accumulation, with the theory explicitly allowing an inverted slope as evidence of a truncated, front-loaded attention measure rather than as a refutation of learning-curve logic.</w:t>
      </w:r>
    </w:p>
    <w:p>
      <w:pPr>
        <w:pStyle w:val="BodyText"/>
        <w:spacing w:line="480" w:lineRule="auto"/>
        <w:ind w:firstLine="720"/>
      </w:pPr>
      <w:r>
        <w:t xml:space="preserve">These hypotheses are deliberately falsifiable and deliberately partial. They do not test whether the rating changes behavior, and they do not pretend to. They test whether the topic beneath the rating is legible enough, in timing, attention, and venue, to justify the business case’s first assumption. The next chapter turns these predictions into estimators and argues why each one identifies the structure it targets</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89"/>
    <w:bookmarkStart w:id="90" w:name="X45d6d17b1df2e77b09dd23974a4e2318f136922"/>
    <w:p>
      <w:pPr>
        <w:pStyle w:val="Heading2"/>
        <w:spacing w:line="480" w:lineRule="auto"/>
      </w:pPr>
      <w:r>
        <w:t xml:space="preserve">Pre-registration in spirit and why it matters</w:t>
      </w:r>
    </w:p>
    <w:p>
      <w:pPr>
        <w:pStyle w:val="FirstParagraph"/>
        <w:spacing w:line="480" w:lineRule="auto"/>
      </w:pPr>
      <w:r>
        <w:t xml:space="preserve">The predictions above were fixed from the mechanisms before the models were estimated, and treating them as pre-registered in spirit is what protects the test from the most common failure of exploratory work. When predictions are formed after seeing results, any pattern can be rationalized, and a screen becomes a story fitted to noise</w:t>
      </w:r>
      <w:r>
        <w:t xml:space="preserve"> </w:t>
      </w:r>
      <w:hyperlink w:anchor="ref-5">
        <w:r>
          <w:rPr>
            <w:rStyle w:val="Hyperlink"/>
          </w:rPr>
          <w:t xml:space="preserve">[5]</w:t>
        </w:r>
      </w:hyperlink>
      <w:r>
        <w:t xml:space="preserve">. Here the direction of each coefficient was committed in advance: recency positive, attention positive, venue negative, age elasticity positive under normal accumulation with an explicitly allowed inverted reading under truncation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Because the directions were set first, the result in chapter six functions as a genuine test rather than a curated confirmation, and the reader can trust that the venue coefficient’s sign was predicted, not discovered and then explained</w:t>
      </w:r>
      <w:r>
        <w:t xml:space="preserve"> </w:t>
      </w:r>
      <w:hyperlink w:anchor="ref-2">
        <w:r>
          <w:rPr>
            <w:rStyle w:val="Hyperlink"/>
          </w:rPr>
          <w:t xml:space="preserve">[2]</w:t>
        </w:r>
      </w:hyperlink>
      <w:r>
        <w:t xml:space="preserve">.</w:t>
      </w:r>
    </w:p>
    <w:p>
      <w:pPr>
        <w:pStyle w:val="BodyText"/>
        <w:spacing w:line="480" w:lineRule="auto"/>
        <w:ind w:firstLine="720"/>
      </w:pPr>
      <w:r>
        <w:t xml:space="preserve">This discipline also governs how the nulls are read. A pre-committed prediction that fails is informative where a post-hoc rationalization never is</w:t>
      </w:r>
      <w:r>
        <w:t xml:space="preserve"> </w:t>
      </w:r>
      <w:hyperlink w:anchor="ref-6">
        <w:r>
          <w:rPr>
            <w:rStyle w:val="Hyperlink"/>
          </w:rPr>
          <w:t xml:space="preserve">[6]</w:t>
        </w:r>
      </w:hyperlink>
      <w:r>
        <w:t xml:space="preserve">. The recency prediction was positive and the coefficient came back positive but imprecise, so the null is a clean failure to confirm a directional prediction rather than an ambiguous shrug. The attention prediction was hedged in advance against the truncated measure, so its imprecision was anticipated rather than salvaged. Fixing the predictions first is what lets every outcome, confirmation and null alike, carry its intended evidentiary weight into the chapters that follow</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End w:id="90"/>
    <w:bookmarkStart w:id="91" w:name="the-theorys-standard-of-success"/>
    <w:p>
      <w:pPr>
        <w:pStyle w:val="Heading2"/>
        <w:spacing w:line="480" w:lineRule="auto"/>
      </w:pPr>
      <w:r>
        <w:t xml:space="preserve">The theory’s standard of success</w:t>
      </w:r>
    </w:p>
    <w:p>
      <w:pPr>
        <w:pStyle w:val="FirstParagraph"/>
        <w:spacing w:line="480" w:lineRule="auto"/>
      </w:pPr>
      <w:r>
        <w:t xml:space="preserve">A theory chapter should say what would count as its own success, and this one holds to a deliberately unglamorous standard. Success is not that every prediction confirms; a design in which every mechanism fired would be suspicious in a corpus this small and this noisy</w:t>
      </w:r>
      <w:r>
        <w:t xml:space="preserve"> </w:t>
      </w:r>
      <w:hyperlink w:anchor="ref-5">
        <w:r>
          <w:rPr>
            <w:rStyle w:val="Hyperlink"/>
          </w:rPr>
          <w:t xml:space="preserve">[5]</w:t>
        </w:r>
      </w:hyperlink>
      <w:r>
        <w:t xml:space="preserve">. Success is that the predictions were specific enough to be wrong and that the pattern of confirmations and failures maps onto a coherent account of the corpus</w:t>
      </w:r>
      <w:r>
        <w:t xml:space="preserve"> </w:t>
      </w:r>
      <w:hyperlink w:anchor="ref-3">
        <w:r>
          <w:rPr>
            <w:rStyle w:val="Hyperlink"/>
          </w:rPr>
          <w:t xml:space="preserve">[3]</w:t>
        </w:r>
      </w:hyperlink>
      <w:r>
        <w:t xml:space="preserve">.</w:t>
      </w:r>
    </w:p>
    <w:p>
      <w:pPr>
        <w:pStyle w:val="BodyText"/>
        <w:spacing w:line="480" w:lineRule="auto"/>
        <w:ind w:firstLine="720"/>
      </w:pPr>
      <w:r>
        <w:t xml:space="preserve">The mechanisms predicted a signed venue effect, quiet time and attention effects, and a truncation-driven negative age slope. And if the data return that joint pattern, the theory has done its work by correctly anticipating where structure would and would not appear</w:t>
      </w:r>
      <w:r>
        <w:t xml:space="preserve"> </w:t>
      </w:r>
      <w:hyperlink w:anchor="ref-2">
        <w:r>
          <w:rPr>
            <w:rStyle w:val="Hyperlink"/>
          </w:rPr>
          <w:t xml:space="preserve">[2]</w:t>
        </w:r>
      </w:hyperlink>
      <w:r>
        <w:t xml:space="preserve"> </w:t>
      </w:r>
      <w:hyperlink w:anchor="ref-6">
        <w:r>
          <w:rPr>
            <w:rStyle w:val="Hyperlink"/>
          </w:rPr>
          <w:t xml:space="preserve">[6]</w:t>
        </w:r>
      </w:hyperlink>
      <w:r>
        <w:t xml:space="preserve">. That is a higher bar than universal confirmation and a more honest one, because it rewards a theory for knowing its topic’s limits rather than for a suspiciously total success</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1"/>
    <w:bookmarkEnd w:id="92"/>
    <w:bookmarkStart w:id="104" w:name="methodology-and-identification"/>
    <w:p>
      <w:pPr>
        <w:pStyle w:val="Heading1"/>
        <w:spacing w:line="480" w:lineRule="auto"/>
      </w:pPr>
      <w:r>
        <w:t xml:space="preserve">Methodology and Identification</w:t>
      </w:r>
    </w:p>
    <w:p>
      <w:pPr>
        <w:pStyle w:val="FirstParagraph"/>
        <w:spacing w:line="480" w:lineRule="auto"/>
      </w:pPr>
      <w:r>
        <w:t xml:space="preserve">The credibility of every number in this dissertation rests on two estimators and on the argument that each one identifies the structure it claims to. This chapter presents both, states their assumptions plainly, and defends the choices that make their output interpretable. The estimators are ordinary least squares for the topic-signal model and a log-log learning-curve regression for the citation-accumulation model. Both are simple by design. Because the plus-one shift compresses twenty-eight of thirty records to a log outcome of exactly zero while lifting only the two recently cited journal records above that floor, the entire estimated elasticity is identified off the narrow contrast between that young cited layer and the uncited mass, a fact the interpretation carries forward rather than obscures</w:t>
      </w:r>
      <w:r>
        <w:t xml:space="preserve"> </w:t>
      </w:r>
      <w:hyperlink w:anchor="ref-6">
        <w:r>
          <w:rPr>
            <w:rStyle w:val="Hyperlink"/>
          </w:rPr>
          <w:t xml:space="preserve">[6]</w:t>
        </w:r>
      </w:hyperlink>
      <w:r>
        <w:t xml:space="preserve">.</w:t>
      </w:r>
    </w:p>
    <w:p>
      <w:pPr>
        <w:pStyle w:val="BodyText"/>
        <w:spacing w:line="480" w:lineRule="auto"/>
        <w:ind w:firstLine="720"/>
      </w:pPr>
      <w:r>
        <w:t xml:space="preserve">A screen, not a proof.</w:t>
      </w:r>
    </w:p>
    <w:p>
      <w:pPr>
        <w:pStyle w:val="BodyText"/>
        <w:spacing w:line="480" w:lineRule="auto"/>
        <w:ind w:firstLine="720"/>
      </w:pPr>
      <w:r>
        <w:t xml:space="preserve">A design-stage corpus screen earns trust through transparency, not through the sophistication of its machinery, and a reader should be able to reconstruct every step from the workbooks that accompany the dissertation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 With only three pre-specified predictors estimated on thirty records under robust standard errors, the design deliberately trades the flexibility of a richer model for the interpretability of a fixed specification, because at this sample size transparency and a pre-committed functional form protect the inference against overfitting and specification search far better than added parameters would</w:t>
      </w:r>
      <w:r>
        <w:t xml:space="preserve"> </w:t>
      </w:r>
      <w:hyperlink w:anchor="ref-5">
        <w:r>
          <w:rPr>
            <w:rStyle w:val="Hyperlink"/>
          </w:rPr>
          <w:t xml:space="preserve">[5]</w:t>
        </w:r>
      </w:hyperlink>
      <w:r>
        <w:t xml:space="preserve">.</w:t>
      </w:r>
    </w:p>
    <w:p>
      <w:pPr>
        <w:pStyle w:val="BodyText"/>
        <w:spacing w:line="480" w:lineRule="auto"/>
        <w:ind w:firstLine="720"/>
      </w:pPr>
      <w:r>
        <w:t xml:space="preserve">The reading holds.</w:t>
      </w:r>
    </w:p>
    <w:bookmarkStart w:id="93" w:name="X347c541bf1c736238e5cd3632c7bafd08842adb"/>
    <w:p>
      <w:pPr>
        <w:pStyle w:val="Heading2"/>
        <w:spacing w:line="480" w:lineRule="auto"/>
      </w:pPr>
      <w:r>
        <w:t xml:space="preserve">What identification means in a corpus screen</w:t>
      </w:r>
    </w:p>
    <w:p>
      <w:pPr>
        <w:pStyle w:val="FirstParagraph"/>
        <w:spacing w:line="480" w:lineRule="auto"/>
      </w:pPr>
      <w:r>
        <w:t xml:space="preserve">Identification here is narrower than in a causal-inference study, and saying so guards against overreading. I do not identify the effect of a rating on operator behavior, and no design in this pipeline could. What the estimators identify is the partial association between a structural feature of a source record and the intensity of the topic signal that record carries, holding the other measured features fixed</w:t>
      </w:r>
      <w:r>
        <w:t xml:space="preserve"> </w:t>
      </w:r>
      <w:hyperlink w:anchor="ref-3">
        <w:r>
          <w:rPr>
            <w:rStyle w:val="Hyperlink"/>
          </w:rPr>
          <w:t xml:space="preserve">[3]</w:t>
        </w:r>
      </w:hyperlink>
      <w:r>
        <w:t xml:space="preserve">. That is a descriptive-structural target, not a causal one. The claim I am entitled to make is that, within this retrieved corpus, topic signal moves with venue and does not move detectably with recency or citation count once venue is held constant.</w:t>
      </w:r>
    </w:p>
    <w:p>
      <w:pPr>
        <w:pStyle w:val="BodyText"/>
        <w:spacing w:line="480" w:lineRule="auto"/>
        <w:ind w:firstLine="720"/>
      </w:pPr>
      <w:r>
        <w:t xml:space="preserve">The claim I am not entitled to make is that any of these features causes the topic signal or that the pattern would generalize beyond the retrieval. The log-log form asserts a constant elasticity, meaning a given percentage change in article age is associated with the same percentage change in citations-plus-one across the whole range, and reporting the progress ratio translates that abstract elasticity into a concrete factor the reader can test directly against the observed distribution of citation counts</w:t>
      </w:r>
      <w:r>
        <w:t xml:space="preserve"> </w:t>
      </w:r>
      <w:hyperlink w:anchor="ref-4">
        <w:r>
          <w:rPr>
            <w:rStyle w:val="Hyperlink"/>
          </w:rPr>
          <w:t xml:space="preserve">[4]</w:t>
        </w:r>
      </w:hyperlink>
      <w:r>
        <w:t xml:space="preserve">.</w:t>
      </w:r>
    </w:p>
    <w:p>
      <w:pPr>
        <w:pStyle w:val="BodyText"/>
        <w:spacing w:line="480" w:lineRule="auto"/>
        <w:ind w:firstLine="720"/>
      </w:pPr>
      <w:r>
        <w:t xml:space="preserve">Legibility comes first. Simplicity is the point here.</w:t>
      </w:r>
    </w:p>
    <w:p>
      <w:pPr>
        <w:pStyle w:val="BodyText"/>
        <w:spacing w:line="480" w:lineRule="auto"/>
        <w:ind w:firstLine="720"/>
      </w:pPr>
      <w:r>
        <w:t xml:space="preserve">This modesty is a feature. The primary hazard in an automated research setting is the smuggling of causal language into what is at most a correlational screen. By fixing the estimand as a partial association inside a named corpus, I make the inference auditable and I make its limits explicit. The regression identifies structure in metadata; the interpretation of that structure as evidence about topic legibility is an argument I make in later chapters, and it is separable from the estimate itself</w:t>
      </w:r>
      <w:r>
        <w:t xml:space="preserve"> </w:t>
      </w:r>
      <w:hyperlink w:anchor="ref-1">
        <w:r>
          <w:rPr>
            <w:rStyle w:val="Hyperlink"/>
          </w:rPr>
          <w:t xml:space="preserve">[1]</w:t>
        </w:r>
      </w:hyperlink>
      <w:r>
        <w:t xml:space="preserve">.</w:t>
      </w:r>
    </w:p>
    <w:bookmarkEnd w:id="93"/>
    <w:bookmarkStart w:id="94" w:name="the-topic-signal-estimator"/>
    <w:p>
      <w:pPr>
        <w:pStyle w:val="Heading2"/>
        <w:spacing w:line="480" w:lineRule="auto"/>
      </w:pPr>
      <w:r>
        <w:t xml:space="preserve">The topic-signal estimator</w:t>
      </w:r>
    </w:p>
    <w:p>
      <w:pPr>
        <w:pStyle w:val="FirstParagraph"/>
        <w:spacing w:line="480" w:lineRule="auto"/>
      </w:pPr>
      <w:r>
        <w:t xml:space="preserve">Begin with the signal model. It is an ordinary least squares regression of the composite topic-signal score on three predictors: a recency index, a reported citation count, and an ordinal venue-family score. Written out, the specification is.</w:t>
      </w:r>
    </w:p>
    <w:p>
      <w:pPr>
        <w:pStyle w:val="BodyText"/>
        <w:spacing w:line="480" w:lineRule="auto"/>
        <w:ind w:firstLine="720"/>
      </w:pPr>
      <w:r>
        <w:t xml:space="preserve">The estimand stays descriptive.</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Each term maps to a mechanism from the previous chapter. The recency coefficient tests whether a live topic imprints a time gradient. The citation coefficient tests whether attention anchors the topic. The venue coefficient tests whether publication family organizes the measured signal</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intercept captures the expected topic signal for a record at the baseline of all three predictors, and it is not itself a quantity of interest.</w:t>
      </w:r>
    </w:p>
    <w:p>
      <w:pPr>
        <w:pStyle w:val="BodyText"/>
        <w:spacing w:line="480" w:lineRule="auto"/>
        <w:ind w:firstLine="720"/>
      </w:pPr>
      <w:r>
        <w:t xml:space="preserve">Ordinary least squares is the right estimator for this target for three reasons. The outcome is a bounded count-like composite that behaves, over its observed range, closely enough to continuous that a linear conditional mean is a defensible first approximation. The predictors are few and were fixed in advance from the mechanisms, so there is no specification search inflating the fit. And the coefficients carry a direct partial-association reading, which is exactly the estimand. A more elaborate model, a count regression or a regularized fit, would trade interpretability for a robustness the sample size does not support and would obscure rather than sharpen the structural reading</w:t>
      </w:r>
      <w:r>
        <w:t xml:space="preserve"> </w:t>
      </w:r>
      <w:hyperlink w:anchor="ref-5">
        <w:r>
          <w:rPr>
            <w:rStyle w:val="Hyperlink"/>
          </w:rPr>
          <w:t xml:space="preserve">[5]</w:t>
        </w:r>
      </w:hyperlink>
      <w:r>
        <w:t xml:space="preserve">.</w:t>
      </w:r>
    </w:p>
    <w:p>
      <w:pPr>
        <w:pStyle w:val="BodyText"/>
        <w:spacing w:line="480" w:lineRule="auto"/>
        <w:ind w:firstLine="720"/>
      </w:pPr>
      <w:r>
        <w:t xml:space="preserve">Behavior stays out of reach.</w:t>
      </w:r>
    </w:p>
    <w:p>
      <w:pPr>
        <w:pStyle w:val="BodyText"/>
        <w:spacing w:line="480" w:lineRule="auto"/>
        <w:ind w:firstLine="720"/>
      </w:pPr>
      <w:r>
        <w:t xml:space="preserve">Robust HC1 standard errors are a deliberate and consequential choice. Across thirty records drawn from three venue families with sharply different textual density, the error variance is almost certainly not constant. Space-economy records with sparse text and conference records with rich metadata will not share a homoskedastic disturbance, and assuming they do would understate uncertainty on precisely the venue coefficient I care about most</w:t>
      </w:r>
      <w:r>
        <w:t xml:space="preserve"> </w:t>
      </w:r>
      <w:hyperlink w:anchor="ref-2">
        <w:r>
          <w:rPr>
            <w:rStyle w:val="Hyperlink"/>
          </w:rPr>
          <w:t xml:space="preserve">[2]</w:t>
        </w:r>
      </w:hyperlink>
      <w:r>
        <w:t xml:space="preserve">. HC1 corrects for that heteroskedasticity without imposing a variance model I cannot justify, and it does so with a finite-sample adjustment appropriate to a small N. The resulting inference is conservative where it should be. Which matters when a single precisely signed coefficient is doing much of the interpretive work.</w:t>
      </w:r>
    </w:p>
    <w:p>
      <w:pPr>
        <w:pStyle w:val="BodyText"/>
        <w:spacing w:line="480" w:lineRule="auto"/>
        <w:ind w:firstLine="720"/>
      </w:pPr>
      <w:r>
        <w:t xml:space="preserve">The tail is thin. The workbook settles it.</w:t>
      </w:r>
    </w:p>
    <w:bookmarkEnd w:id="94"/>
    <w:bookmarkStart w:id="95" w:name="X0b5af8d268d4c41ca59610b663572a072684f69"/>
    <w:p>
      <w:pPr>
        <w:pStyle w:val="Heading2"/>
        <w:spacing w:line="480" w:lineRule="auto"/>
      </w:pPr>
      <w:r>
        <w:t xml:space="preserve">Why the topic-signal estimator identifies structure</w:t>
      </w:r>
    </w:p>
    <w:p>
      <w:pPr>
        <w:pStyle w:val="FirstParagraph"/>
        <w:spacing w:line="480" w:lineRule="auto"/>
      </w:pPr>
      <w:r>
        <w:t xml:space="preserve">The identifying assumption for the partial associations is that the disturbance is mean-independent of the three predictors within the corpus. This is weaker than it sounds because the estimand is descriptive. I am not asserting that recency, citation count, and venue are exogenous causes of topic signal in the world. I am asserting that, conditional on these three observed features, the residual variation in topic signal is not systematically related back to the features so as to bias the reported partial slopes within this sample</w:t>
      </w:r>
      <w:r>
        <w:t xml:space="preserve"> </w:t>
      </w:r>
      <w:hyperlink w:anchor="ref-3">
        <w:r>
          <w:rPr>
            <w:rStyle w:val="Hyperlink"/>
          </w:rPr>
          <w:t xml:space="preserve">[3]</w:t>
        </w:r>
      </w:hyperlink>
      <w:r>
        <w:t xml:space="preserve">. Under that assumption the coefficients recover the corpus’s internal structure, and that structure is all the model promises.</w:t>
      </w:r>
    </w:p>
    <w:p>
      <w:pPr>
        <w:pStyle w:val="BodyText"/>
        <w:spacing w:line="480" w:lineRule="auto"/>
        <w:ind w:firstLine="720"/>
      </w:pPr>
      <w:r>
        <w:t xml:space="preserve">Structure is real here.</w:t>
      </w:r>
    </w:p>
    <w:p>
      <w:pPr>
        <w:pStyle w:val="BodyText"/>
        <w:spacing w:line="480" w:lineRule="auto"/>
        <w:ind w:firstLine="720"/>
      </w:pPr>
      <w:r>
        <w:t xml:space="preserve">Two threats to this reading deserve naming here rather than deferring. The first is that the topic-signal measure is itself constructed from textual metadata, so a venue family with more text mechanically supplies more opportunity for signal. That is not a flaw to be corrected away; it is part of the mechanism the venue coefficient is meant to detect. And the interpretation in chapter six treats a negative venue slope as partly a metadata-density artifact rather than a substantive relevance ranking</w:t>
      </w:r>
      <w:r>
        <w:t xml:space="preserve"> </w:t>
      </w:r>
      <w:hyperlink w:anchor="ref-1">
        <w:r>
          <w:rPr>
            <w:rStyle w:val="Hyperlink"/>
          </w:rPr>
          <w:t xml:space="preserve">[1]</w:t>
        </w:r>
      </w:hyperlink>
      <w:r>
        <w:t xml:space="preserve">. The second is collinearity among predictors. Recency and venue are correlated because the newest records are journal and space-economy entries. And this correlation is exactly why the recency coefficient must be read as a partial effect net of venue, not as a raw time trend</w:t>
      </w:r>
      <w:r>
        <w:t xml:space="preserve"> </w:t>
      </w:r>
      <w:hyperlink w:anchor="ref-2">
        <w:r>
          <w:rPr>
            <w:rStyle w:val="Hyperlink"/>
          </w:rPr>
          <w:t xml:space="preserve">[2]</w:t>
        </w:r>
      </w:hyperlink>
      <w:r>
        <w:t xml:space="preserve">.</w:t>
      </w:r>
    </w:p>
    <w:bookmarkEnd w:id="95"/>
    <w:bookmarkStart w:id="96" w:name="the-learning-curve-estimator"/>
    <w:p>
      <w:pPr>
        <w:pStyle w:val="Heading2"/>
        <w:spacing w:line="480" w:lineRule="auto"/>
      </w:pPr>
      <w:r>
        <w:t xml:space="preserve">The learning-curve estimator</w:t>
      </w:r>
    </w:p>
    <w:p>
      <w:pPr>
        <w:pStyle w:val="FirstParagraph"/>
        <w:spacing w:line="480" w:lineRule="auto"/>
      </w:pPr>
      <w:r>
        <w:t xml:space="preserve">Now the second model. It tests attention accumulation with a log-log learning-curve regression of citation count on article age. The specification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where the outcome adds one to the raw citation count so the logarithm is defined for the many uncited records, and the age index is the years elapsed since publication</w:t>
      </w:r>
      <w:r>
        <w:t xml:space="preserve"> </w:t>
      </w:r>
      <w:hyperlink w:anchor="ref-4">
        <w:r>
          <w:rPr>
            <w:rStyle w:val="Hyperlink"/>
          </w:rPr>
          <w:t xml:space="preserve">[4]</w:t>
        </w:r>
      </w:hyperlink>
      <w:r>
        <w:t xml:space="preserve">. The slope coefficient is an elasticity: the percentage change in citations-plus-one associated with a one percent change in article age. The log-log form is the standard functional shape for learning-curve and attention-accumulation analysis because it captures diminishing returns, a constant elasticity rather than a constant absolute increment, and it linearizes a relationship that is multiplicative in levels.</w:t>
      </w:r>
    </w:p>
    <w:p>
      <w:pPr>
        <w:pStyle w:val="BodyText"/>
        <w:spacing w:line="480" w:lineRule="auto"/>
        <w:ind w:firstLine="720"/>
      </w:pPr>
      <w:r>
        <w:t xml:space="preserve">Adding one before logging is not cosmetic, and its consequences must be tracked. Because most records have zero citations, the plus-one shift compresses nearly the whole sample to a log outcome of zero, and the model’s fit is driven by the handful of recent journal records that carry non-zero counts</w:t>
      </w:r>
      <w:r>
        <w:t xml:space="preserve"> </w:t>
      </w:r>
      <w:hyperlink w:anchor="ref-6">
        <w:r>
          <w:rPr>
            <w:rStyle w:val="Hyperlink"/>
          </w:rPr>
          <w:t xml:space="preserve">[6]</w:t>
        </w:r>
      </w:hyperlink>
      <w:r>
        <w:t xml:space="preserve">. This is a known limitation of citation modeling on sparse indices, and it means the elasticity estimated here is identified largely off the contrast between those few cited records and the uncited mass. I report the estimate because it is what the specified model returns on the specified data, and I interpret its sign in light of this sparsity rather than as a general law of the literature.</w:t>
      </w:r>
    </w:p>
    <w:p>
      <w:pPr>
        <w:pStyle w:val="BodyText"/>
        <w:spacing w:line="480" w:lineRule="auto"/>
        <w:ind w:firstLine="720"/>
      </w:pPr>
      <w:r>
        <w:t xml:space="preserve">Robust HC1 standard errors apply to this model as well, for the same heteroskedasticity reason. The variance of the log outcome differs sharply between the uncited records, which sit at exactly zero, and the cited records, which spread above it, so a homoskedastic standard error would misstate the precision of the elasticity</w:t>
      </w:r>
      <w:r>
        <w:t xml:space="preserve"> </w:t>
      </w:r>
      <w:hyperlink w:anchor="ref-4">
        <w:r>
          <w:rPr>
            <w:rStyle w:val="Hyperlink"/>
          </w:rPr>
          <w:t xml:space="preserve">[4]</w:t>
        </w:r>
      </w:hyperlink>
      <w:r>
        <w:t xml:space="preserve">.</w:t>
      </w:r>
    </w:p>
    <w:bookmarkEnd w:id="96"/>
    <w:bookmarkStart w:id="97" w:name="X9cd34675d9566e6c665a1c13c4a81abd25d3c8e"/>
    <w:p>
      <w:pPr>
        <w:pStyle w:val="Heading2"/>
        <w:spacing w:line="480" w:lineRule="auto"/>
      </w:pPr>
      <w:r>
        <w:t xml:space="preserve">Why the learning-curve estimator identifies an age relationship</w:t>
      </w:r>
    </w:p>
    <w:p>
      <w:pPr>
        <w:pStyle w:val="FirstParagraph"/>
        <w:spacing w:line="480" w:lineRule="auto"/>
      </w:pPr>
      <w:r>
        <w:t xml:space="preserve">The learning-curve model identifies the corpus-internal elasticity of citation accumulation to age under the assumption that the log disturbance is mean-independent of log age within the sample. The elasticity it recovers answers a bounded question: across these thirty records, does citation attention scale up or down with document age, and how steeply. A positive elasticity would indicate normal accumulation, older records having gathered more citations. A negative elasticity would indicate the front-loaded, truncated pattern the theory anticipated, in which the newest records carry the only measured attention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I want to be exact about what a negative slope would and would not show. It would show that, in this corpus and on this attention measure, recency rather than age predicts citations. Which is a statement about the measure and the retrieval, not a refutation of learning-curve logic in fields with fuller citation records. The identification is clean for the corpus-internal question and silent on the general one, and chapter seven holds that line when the results come in.</w:t>
      </w:r>
    </w:p>
    <w:bookmarkEnd w:id="97"/>
    <w:bookmarkStart w:id="98" w:name="alternatives-considered-and-rejected"/>
    <w:p>
      <w:pPr>
        <w:pStyle w:val="Heading2"/>
        <w:spacing w:line="480" w:lineRule="auto"/>
      </w:pPr>
      <w:r>
        <w:t xml:space="preserve">Alternatives considered and rejected</w:t>
      </w:r>
    </w:p>
    <w:p>
      <w:pPr>
        <w:pStyle w:val="FirstParagraph"/>
        <w:spacing w:line="480" w:lineRule="auto"/>
      </w:pPr>
      <w:r>
        <w:t xml:space="preserve">A methodology chapter should say what it did not do and why, because the credibility of a simple design rests partly on showing that the simplicity was chosen rather than defaulted into. Three richer approaches were available, and each was rejected for a stated reason. The first was a count model for the topic-signal outcome, a Poisson or negative-binomial specification acknowledging that the score is built from term counts</w:t>
      </w:r>
      <w:r>
        <w:t xml:space="preserve"> </w:t>
      </w:r>
      <w:hyperlink w:anchor="ref-5">
        <w:r>
          <w:rPr>
            <w:rStyle w:val="Hyperlink"/>
          </w:rPr>
          <w:t xml:space="preserve">[5]</w:t>
        </w:r>
      </w:hyperlink>
      <w:r>
        <w:t xml:space="preserve">. Over the observed range of one to eleven, the composite behaves closely enough to continuous that the linear conditional mean is a defensible approximation. And a count model would have complicated the partial-association reading of the venue coefficient without changing its sign or its significance in a sample this size. The interpretive clarity of ordinary least squares was judged worth more than a distributional nicety the data could not exploit.</w:t>
      </w:r>
    </w:p>
    <w:p>
      <w:pPr>
        <w:pStyle w:val="BodyText"/>
        <w:spacing w:line="480" w:lineRule="auto"/>
        <w:ind w:firstLine="720"/>
      </w:pPr>
      <w:r>
        <w:t xml:space="preserve">Regularization was the second rejected approach, a ridge or lasso fit to guard against overfitting with three predictors on thirty records</w:t>
      </w:r>
      <w:r>
        <w:t xml:space="preserve"> </w:t>
      </w:r>
      <w:hyperlink w:anchor="ref-3">
        <w:r>
          <w:rPr>
            <w:rStyle w:val="Hyperlink"/>
          </w:rPr>
          <w:t xml:space="preserve">[3]</w:t>
        </w:r>
      </w:hyperlink>
      <w:r>
        <w:t xml:space="preserve">. Regularization shrinks coefficients toward zero and would have biased precisely the venue term whose magnitude carries the interpretation, trading an honest, if uncertain, estimate for a shrunken one whose size no longer means what the mechanism intends. With only three pre-specified predictors and no variable selection, the overfitting risk regularization addresses is small, and the cost to interpretation is large. The third rejected approach was adding interaction terms, for instance letting recency operate differently within each venue family</w:t>
      </w:r>
      <w:r>
        <w:t xml:space="preserve"> </w:t>
      </w:r>
      <w:hyperlink w:anchor="ref-2">
        <w:r>
          <w:rPr>
            <w:rStyle w:val="Hyperlink"/>
          </w:rPr>
          <w:t xml:space="preserve">[2]</w:t>
        </w:r>
      </w:hyperlink>
      <w:r>
        <w:t xml:space="preserve">. Interactions would have consumed degrees of freedom the sample cannot spare and would have invited a specification search that the pre-registered, mechanism-driven design was built to avoid. Each rejection follows the same principle: with thirty records, transparency and a fixed specification protect the inference better than flexibility does</w:t>
      </w:r>
      <w:r>
        <w:t xml:space="preserve"> </w:t>
      </w:r>
      <w:hyperlink w:anchor="ref-1">
        <w:r>
          <w:rPr>
            <w:rStyle w:val="Hyperlink"/>
          </w:rPr>
          <w:t xml:space="preserve">[1]</w:t>
        </w:r>
      </w:hyperlink>
      <w:r>
        <w:t xml:space="preserve">.</w:t>
      </w:r>
    </w:p>
    <w:bookmarkEnd w:id="98"/>
    <w:bookmarkStart w:id="99" w:name="X47f68bf8d8d6ebf41a4b8a8236b19d5fa49ff30"/>
    <w:p>
      <w:pPr>
        <w:pStyle w:val="Heading2"/>
        <w:spacing w:line="480" w:lineRule="auto"/>
      </w:pPr>
      <w:r>
        <w:t xml:space="preserve">The role of the intercept and baseline interpretation</w:t>
      </w:r>
    </w:p>
    <w:p>
      <w:pPr>
        <w:pStyle w:val="FirstParagraph"/>
        <w:spacing w:line="480" w:lineRule="auto"/>
      </w:pPr>
      <w:r>
        <w:t xml:space="preserve">An intercept is easy to wave away, but in the topic-signal model it is not a nuisance; reading it correctly guards against a common misinterpretation of the venue coefficient. The constant gives the expected topic signal for a record at zero on all three predictors, and because venue family is coded from one upward. The intercept describes an extrapolated baseline below the lowest observed venue rather than any real record</w:t>
      </w:r>
      <w:r>
        <w:t xml:space="preserve"> </w:t>
      </w:r>
      <w:hyperlink w:anchor="ref-1">
        <w:r>
          <w:rPr>
            <w:rStyle w:val="Hyperlink"/>
          </w:rPr>
          <w:t xml:space="preserve">[1]</w:t>
        </w:r>
      </w:hyperlink>
      <w:r>
        <w:t xml:space="preserve">. This matters because the venue coefficient’s magnitude, the drop in signal per venue step, must be read against that baseline to be meaningful.</w:t>
      </w:r>
    </w:p>
    <w:p>
      <w:pPr>
        <w:pStyle w:val="BodyText"/>
        <w:spacing w:line="480" w:lineRule="auto"/>
        <w:ind w:firstLine="720"/>
      </w:pPr>
      <w:r>
        <w:t xml:space="preserve">A large negative venue slope moving down from a high intercept describes a corpus where the text-rich conference family sits well above the sparse economy family in measured signal, which is exactly the structure the mechanism predicts</w:t>
      </w:r>
      <w:r>
        <w:t xml:space="preserve"> </w:t>
      </w:r>
      <w:hyperlink w:anchor="ref-2">
        <w:r>
          <w:rPr>
            <w:rStyle w:val="Hyperlink"/>
          </w:rPr>
          <w:t xml:space="preserve">[2]</w:t>
        </w:r>
      </w:hyperlink>
      <w:r>
        <w:t xml:space="preserve">. Keeping the intercept in view prevents the venue effect from being read as an absolute statement about any family and holds it to its true form as a relative gradient across the ordinal axis</w:t>
      </w:r>
      <w:r>
        <w:t xml:space="preserve"> </w:t>
      </w:r>
      <w:hyperlink w:anchor="ref-15">
        <w:r>
          <w:rPr>
            <w:rStyle w:val="Hyperlink"/>
          </w:rPr>
          <w:t xml:space="preserve">[15]</w:t>
        </w:r>
      </w:hyperlink>
      <w:r>
        <w:t xml:space="preserve">.</w:t>
      </w:r>
    </w:p>
    <w:bookmarkEnd w:id="99"/>
    <w:bookmarkStart w:id="100" w:name="functional-form-as-a-testable-commitment"/>
    <w:p>
      <w:pPr>
        <w:pStyle w:val="Heading2"/>
        <w:spacing w:line="480" w:lineRule="auto"/>
      </w:pPr>
      <w:r>
        <w:t xml:space="preserve">Functional form as a testable commitment</w:t>
      </w:r>
    </w:p>
    <w:p>
      <w:pPr>
        <w:pStyle w:val="FirstParagraph"/>
        <w:spacing w:line="480" w:lineRule="auto"/>
      </w:pPr>
      <w:r>
        <w:t xml:space="preserve">The log-log form of the learning-curve model is a commitment, not a convenience, and treating it as testable rather than assumed strengthens the identification. By specifying a constant elasticity, the form asserts that a given percentage change in age is associated with the same percentage change in citations-plus-one across the whole age range</w:t>
      </w:r>
      <w:r>
        <w:t xml:space="preserve"> </w:t>
      </w:r>
      <w:hyperlink w:anchor="ref-4">
        <w:r>
          <w:rPr>
            <w:rStyle w:val="Hyperlink"/>
          </w:rPr>
          <w:t xml:space="preserve">[4]</w:t>
        </w:r>
      </w:hyperlink>
      <w:r>
        <w:t xml:space="preserve">. This is a substantive claim about how attention scales, and it can fail: if attention accumulated in absolute rather than proportional steps, a linear-in-levels form would fit better and the elasticity reading would be wrong.</w:t>
      </w:r>
    </w:p>
    <w:p>
      <w:pPr>
        <w:pStyle w:val="BodyText"/>
        <w:spacing w:line="480" w:lineRule="auto"/>
        <w:ind w:firstLine="720"/>
      </w:pPr>
      <w:r>
        <w:t xml:space="preserve">The choice of log-log rests on the standard finding that citation and learning processes are multiplicative, so proportional scaling is the right default. And on the practical fact that the plus-one transform makes the logarithm defined for the uncited mass</w:t>
      </w:r>
      <w:r>
        <w:t xml:space="preserve"> </w:t>
      </w:r>
      <w:hyperlink w:anchor="ref-6">
        <w:r>
          <w:rPr>
            <w:rStyle w:val="Hyperlink"/>
          </w:rPr>
          <w:t xml:space="preserve">[6]</w:t>
        </w:r>
      </w:hyperlink>
      <w:r>
        <w:t xml:space="preserve">. The progress ratio, two raised to the elasticity, is reported precisely because it translates the abstract elasticity into a concrete, checkable quantity: the factor by which citations-plus-one changes when age doubles. Reporting it invites the reader to test the form’s implication directly against the data rather than taking the functional choice on faith</w:t>
      </w:r>
      <w:r>
        <w:t xml:space="preserve"> </w:t>
      </w:r>
      <w:hyperlink w:anchor="ref-3">
        <w:r>
          <w:rPr>
            <w:rStyle w:val="Hyperlink"/>
          </w:rPr>
          <w:t xml:space="preserve">[3]</w:t>
        </w:r>
      </w:hyperlink>
      <w:r>
        <w:t xml:space="preserve">.</w:t>
      </w:r>
    </w:p>
    <w:bookmarkEnd w:id="100"/>
    <w:bookmarkStart w:id="101" w:name="Xa1875229e7320b45acc78b12c60f9177339d745"/>
    <w:p>
      <w:pPr>
        <w:pStyle w:val="Heading2"/>
        <w:spacing w:line="480" w:lineRule="auto"/>
      </w:pPr>
      <w:r>
        <w:t xml:space="preserve">Estimation, reproducibility, and the audit trail</w:t>
      </w:r>
    </w:p>
    <w:p>
      <w:pPr>
        <w:pStyle w:val="FirstParagraph"/>
        <w:spacing w:line="480" w:lineRule="auto"/>
      </w:pPr>
      <w:r>
        <w:t xml:space="preserve">Both models are estimated once, without tuning, on the frozen thirty-record data files, and their full output, coefficients, standard errors, p-values, sample size, and fit statistics, is reported verbatim in chapter six</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There is no held-out selection, no re-specification after seeing results, and no dropping of records. The workbooks preserve a source column on every row so that any coefficient can be traced back to the exact set of records that produced it, which is the discipline that separates this screen from narrative assertion. A reader who doubts a number can open the workbook, re-run the estimator, and recover the same value, because the pipeline is deterministic by construction</w:t>
      </w:r>
      <w:r>
        <w:t xml:space="preserve"> </w:t>
      </w:r>
      <w:hyperlink w:anchor="ref-1">
        <w:r>
          <w:rPr>
            <w:rStyle w:val="Hyperlink"/>
          </w:rPr>
          <w:t xml:space="preserve">[1]</w:t>
        </w:r>
      </w:hyperlink>
      <w:r>
        <w:t xml:space="preserve">. That reproducibility, more than the elegance of either model, is what makes the results in the next two chapters worth reading as evidence rather than as claims.</w:t>
      </w:r>
    </w:p>
    <w:bookmarkEnd w:id="101"/>
    <w:bookmarkStart w:id="102" w:name="statistical-inference-at-small-n"/>
    <w:p>
      <w:pPr>
        <w:pStyle w:val="Heading2"/>
        <w:spacing w:line="480" w:lineRule="auto"/>
      </w:pPr>
      <w:r>
        <w:t xml:space="preserve">Statistical inference at small N</w:t>
      </w:r>
    </w:p>
    <w:p>
      <w:pPr>
        <w:pStyle w:val="FirstParagraph"/>
        <w:spacing w:line="480" w:lineRule="auto"/>
      </w:pPr>
      <w:r>
        <w:t xml:space="preserve">A word on inference is owed, because thirty records place this analysis in a regime where the usual asymptotic reassurances are weak and the honest posture is caution. With small samples, p-values rest on distributional approximations that hold only loosely, and a single influential record can move a coefficient more than the community norm of a large study would tolerate</w:t>
      </w:r>
      <w:r>
        <w:t xml:space="preserve"> </w:t>
      </w:r>
      <w:hyperlink w:anchor="ref-5">
        <w:r>
          <w:rPr>
            <w:rStyle w:val="Hyperlink"/>
          </w:rPr>
          <w:t xml:space="preserve">[5]</w:t>
        </w:r>
      </w:hyperlink>
      <w:r>
        <w:t xml:space="preserve">. I address this in three ways rather than pretending the sample is larger than it is.</w:t>
      </w:r>
    </w:p>
    <w:p>
      <w:pPr>
        <w:pStyle w:val="BodyText"/>
        <w:spacing w:line="480" w:lineRule="auto"/>
        <w:ind w:firstLine="720"/>
      </w:pPr>
      <w:r>
        <w:t xml:space="preserve">The HC1 correction supplies a finite-sample adjustment to the standard errors, which is the appropriate tool for a small, heteroskedastic sample</w:t>
      </w:r>
      <w:r>
        <w:t xml:space="preserve"> </w:t>
      </w:r>
      <w:hyperlink w:anchor="ref-4">
        <w:r>
          <w:rPr>
            <w:rStyle w:val="Hyperlink"/>
          </w:rPr>
          <w:t xml:space="preserve">[4]</w:t>
        </w:r>
      </w:hyperlink>
      <w:r>
        <w:t xml:space="preserve">. The specification is fixed in advance, so the p-values are not contaminated by the multiple implicit tests that a specification search would smuggle in. And the interpretation leans on the coefficient that is both significant and large, the venue term, precisely because a large, precisely signed effect is the kind small samples can detect reliably</w:t>
      </w:r>
      <w:r>
        <w:t xml:space="preserve"> </w:t>
      </w:r>
      <w:hyperlink w:anchor="ref-2">
        <w:r>
          <w:rPr>
            <w:rStyle w:val="Hyperlink"/>
          </w:rPr>
          <w:t xml:space="preserve">[2]</w:t>
        </w:r>
      </w:hyperlink>
      <w:r>
        <w:t xml:space="preserve">.</w:t>
      </w:r>
    </w:p>
    <w:p>
      <w:pPr>
        <w:pStyle w:val="BodyText"/>
        <w:spacing w:line="480" w:lineRule="auto"/>
        <w:ind w:firstLine="720"/>
      </w:pPr>
      <w:r>
        <w:t xml:space="preserve">The same caution shapes how the nulls are handled. A p-value near 0.54 on recency is not read as evidence that recency does not matter, because at thirty records the screen lacks the power to rule out a modest effect</w:t>
      </w:r>
      <w:r>
        <w:t xml:space="preserve"> </w:t>
      </w:r>
      <w:hyperlink w:anchor="ref-3">
        <w:r>
          <w:rPr>
            <w:rStyle w:val="Hyperlink"/>
          </w:rPr>
          <w:t xml:space="preserve">[3]</w:t>
        </w:r>
      </w:hyperlink>
      <w:r>
        <w:t xml:space="preserve">. It is read as a failure to detect, which is a weaker and more accurate statement. This asymmetry, trusting a strong significant result while treating nulls as bounded, is the correct inferential stance for a small sample, and it runs through every interpretation in chapter six. The estimators are simple partly so that this inferential modesty is legible: with few parameters and a fixed form, the reader can see exactly how much the sample size constrains what the numbers can claim</w:t>
      </w:r>
      <w:r>
        <w:t xml:space="preserve"> </w:t>
      </w:r>
      <w:hyperlink w:anchor="ref-6">
        <w:r>
          <w:rPr>
            <w:rStyle w:val="Hyperlink"/>
          </w:rPr>
          <w:t xml:space="preserve">[6]</w:t>
        </w:r>
      </w:hyperlink>
      <w:r>
        <w:t xml:space="preserve"> </w:t>
      </w:r>
      <w:hyperlink w:anchor="ref-1">
        <w:r>
          <w:rPr>
            <w:rStyle w:val="Hyperlink"/>
          </w:rPr>
          <w:t xml:space="preserve">[1]</w:t>
        </w:r>
      </w:hyperlink>
      <w:r>
        <w:t xml:space="preserve">.</w:t>
      </w:r>
    </w:p>
    <w:bookmarkEnd w:id="102"/>
    <w:bookmarkStart w:id="103" w:name="why-two-models-rather-than-one"/>
    <w:p>
      <w:pPr>
        <w:pStyle w:val="Heading2"/>
        <w:spacing w:line="480" w:lineRule="auto"/>
      </w:pPr>
      <w:r>
        <w:t xml:space="preserve">Why two models rather than one</w:t>
      </w:r>
    </w:p>
    <w:p>
      <w:pPr>
        <w:pStyle w:val="FirstParagraph"/>
        <w:spacing w:line="480" w:lineRule="auto"/>
      </w:pPr>
      <w:r>
        <w:t xml:space="preserve">Why two estimators, and not one? The design keeps them separate rather than folding everything into a single specification, and the reason is that each targets a distinct question that the other cannot answer. The topic-signal model asks whether structural features organize how heavily a record engages the topic, a cross-sectional question about signal intensity</w:t>
      </w:r>
      <w:r>
        <w:t xml:space="preserve"> </w:t>
      </w:r>
      <w:hyperlink w:anchor="ref-2">
        <w:r>
          <w:rPr>
            <w:rStyle w:val="Hyperlink"/>
          </w:rPr>
          <w:t xml:space="preserve">[2]</w:t>
        </w:r>
      </w:hyperlink>
      <w:r>
        <w:t xml:space="preserve">. The learning-curve model asks how attention scales with document age, a question about a functional relationship in a single variable that has no natural home in the first model</w:t>
      </w:r>
      <w:r>
        <w:t xml:space="preserve"> </w:t>
      </w:r>
      <w:hyperlink w:anchor="ref-4">
        <w:r>
          <w:rPr>
            <w:rStyle w:val="Hyperlink"/>
          </w:rPr>
          <w:t xml:space="preserve">[4]</w:t>
        </w:r>
      </w:hyperlink>
      <w:r>
        <w:t xml:space="preserve">.</w:t>
      </w:r>
    </w:p>
    <w:p>
      <w:pPr>
        <w:pStyle w:val="BodyText"/>
        <w:spacing w:line="480" w:lineRule="auto"/>
        <w:ind w:firstLine="720"/>
      </w:pPr>
      <w:r>
        <w:t xml:space="preserve">Combining them would force a mismatched outcome and predictor set into one equation and would obscure rather than clarify the two mechanisms</w:t>
      </w:r>
      <w:r>
        <w:t xml:space="preserve"> </w:t>
      </w:r>
      <w:hyperlink w:anchor="ref-3">
        <w:r>
          <w:rPr>
            <w:rStyle w:val="Hyperlink"/>
          </w:rPr>
          <w:t xml:space="preserve">[3]</w:t>
        </w:r>
      </w:hyperlink>
      <w:r>
        <w:t xml:space="preserve">. Keeping them separate lets each estimator use the functional form its question demands, linear-in-levels for the signal model and log-log for the attention model. And lets the results in chapter six converge on a shared picture precisely because they were derived independently</w:t>
      </w:r>
      <w:r>
        <w:t xml:space="preserve"> </w:t>
      </w:r>
      <w:hyperlink w:anchor="ref-5">
        <w:r>
          <w:rPr>
            <w:rStyle w:val="Hyperlink"/>
          </w:rPr>
          <w:t xml:space="preserve">[5]</w:t>
        </w:r>
      </w:hyperlink>
      <w:r>
        <w:t xml:space="preserve"> </w:t>
      </w:r>
      <w:hyperlink w:anchor="ref-6">
        <w:r>
          <w:rPr>
            <w:rStyle w:val="Hyperlink"/>
          </w:rPr>
          <w:t xml:space="preserve">[6]</w:t>
        </w:r>
      </w:hyperlink>
      <w:r>
        <w:t xml:space="preserve">. Two clean, single-purpose models tell a more auditable story than one overloaded model whose coefficients would each carry ambiguous freight</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End w:id="103"/>
    <w:bookmarkEnd w:id="104"/>
    <w:bookmarkStart w:id="116" w:name="data-and-measurement"/>
    <w:p>
      <w:pPr>
        <w:pStyle w:val="Heading1"/>
        <w:spacing w:line="480" w:lineRule="auto"/>
      </w:pPr>
      <w:r>
        <w:t xml:space="preserve">Data and Measurement</w:t>
      </w:r>
    </w:p>
    <w:p>
      <w:pPr>
        <w:pStyle w:val="FirstParagraph"/>
        <w:spacing w:line="480" w:lineRule="auto"/>
      </w:pPr>
      <w:r>
        <w:t xml:space="preserve">A corpus screen is only as trustworthy as the rows it runs on. This chapter documents the dataset in full: where the thirty records came from, how each variable was built, what the numbers mean, and where the measurement is thin. The guiding commitment is provenance. Every observation preserves a source column that ties it back to a retrieved record, so that no coefficient in the next chapter floats free of an inspectable origin</w:t>
      </w:r>
      <w:r>
        <w:t xml:space="preserve"> </w:t>
      </w:r>
      <w:hyperlink w:anchor="ref-1">
        <w:r>
          <w:rPr>
            <w:rStyle w:val="Hyperlink"/>
          </w:rPr>
          <w:t xml:space="preserve">[1]</w:t>
        </w:r>
      </w:hyperlink>
      <w:r>
        <w:t xml:space="preserve"> </w:t>
      </w:r>
      <w:hyperlink w:anchor="ref-9">
        <w:r>
          <w:rPr>
            <w:rStyle w:val="Hyperlink"/>
          </w:rPr>
          <w:t xml:space="preserve">[9]</w:t>
        </w:r>
      </w:hyperlink>
      <w:r>
        <w:t xml:space="preserve">. A record can be deeply on topic yet score low because it exposes only a bare descriptive title with no snippet and no keyword list, which is exactly the situation of several space-economy entries whose two-line labels announce a sustainability subject in a handful of words that the theme-hit measure faithfully, and correctly, registers as thin surface</w:t>
      </w:r>
      <w:r>
        <w:t xml:space="preserve"> </w:t>
      </w:r>
      <w:hyperlink w:anchor="ref-15">
        <w:r>
          <w:rPr>
            <w:rStyle w:val="Hyperlink"/>
          </w:rPr>
          <w:t xml:space="preserve">[15]</w:t>
        </w:r>
      </w:hyperlink>
      <w:r>
        <w:t xml:space="preserve">.</w:t>
      </w:r>
    </w:p>
    <w:p>
      <w:pPr>
        <w:pStyle w:val="BodyText"/>
        <w:spacing w:line="480" w:lineRule="auto"/>
        <w:ind w:firstLine="720"/>
      </w:pPr>
      <w:r>
        <w:t xml:space="preserve">Two lenses agree.</w:t>
      </w:r>
    </w:p>
    <w:p>
      <w:pPr>
        <w:pStyle w:val="BodyText"/>
        <w:spacing w:line="480" w:lineRule="auto"/>
        <w:ind w:firstLine="720"/>
      </w:pPr>
      <w:r>
        <w:t xml:space="preserve">The dataset is small and deliberately frozen, and I describe its limits with the same care as its contents, because an honest reading of the results depends on both. Every observation preserves a source column tying it to a retrieved URL, DOI, or descriptive label, and because the score is built deterministically from theme-hit counts across title, snippet, keyword, and author fields, any coefficient can be traced back through the exact feature rows to the exact records that produced it without recourse to hidden state</w:t>
      </w:r>
      <w:r>
        <w:t xml:space="preserve"> </w:t>
      </w:r>
      <w:hyperlink w:anchor="ref-1">
        <w:r>
          <w:rPr>
            <w:rStyle w:val="Hyperlink"/>
          </w:rPr>
          <w:t xml:space="preserve">[1]</w:t>
        </w:r>
      </w:hyperlink>
      <w:r>
        <w:t xml:space="preserve">.</w:t>
      </w:r>
    </w:p>
    <w:p>
      <w:pPr>
        <w:pStyle w:val="BodyText"/>
        <w:spacing w:line="480" w:lineRule="auto"/>
        <w:ind w:firstLine="720"/>
      </w:pPr>
      <w:r>
        <w:t xml:space="preserve">The caution is warranted.</w:t>
      </w:r>
    </w:p>
    <w:bookmarkStart w:id="105" w:name="the-source-compilation"/>
    <w:p>
      <w:pPr>
        <w:pStyle w:val="Heading2"/>
        <w:spacing w:line="480" w:lineRule="auto"/>
      </w:pPr>
      <w:r>
        <w:t xml:space="preserve">The source compilation</w:t>
      </w:r>
    </w:p>
    <w:p>
      <w:pPr>
        <w:pStyle w:val="FirstParagraph"/>
        <w:spacing w:line="480" w:lineRule="auto"/>
      </w:pPr>
      <w:r>
        <w:t xml:space="preserve">The data are a candidate-specific compilation: thirty records retrieved from local research indices covering the space-sustainability, awareness, and orbital-governance literatures. The records span publication years from 2012 to 2025, and they fall into three venue families. The first is the AMOS conference proceedings, which supply the largest block of records and cover awareness, detection, conjunction assessment, and rating-adjacent technical work</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The second is Acta Astronautica, the peer-reviewed journal family, which supplies the recent composite-indicator and multi-stakeholder-incentive articles that sit closest to the rating’s own design literature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third is a heterogeneous space-economy family that gathers policy notes, working papers, forecasting material, and framework documents, several of them short-form entries with sparse text</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Because only two of thirty records carry non-zero citation counts, both the citation predictor in the signal model and the entire age elasticity in the learning-curve model are identified off a razor-thin slice of the data, a truncation that the interpretation treats as a structural certainty about the measure rather than a substantive finding about the field</w:t>
      </w:r>
      <w:r>
        <w:t xml:space="preserve"> </w:t>
      </w:r>
      <w:hyperlink w:anchor="ref-6">
        <w:r>
          <w:rPr>
            <w:rStyle w:val="Hyperlink"/>
          </w:rPr>
          <w:t xml:space="preserve">[6]</w:t>
        </w:r>
      </w:hyperlink>
      <w:r>
        <w:t xml:space="preserve">.</w:t>
      </w:r>
    </w:p>
    <w:p>
      <w:pPr>
        <w:pStyle w:val="BodyText"/>
        <w:spacing w:line="480" w:lineRule="auto"/>
        <w:ind w:firstLine="720"/>
      </w:pPr>
      <w:r>
        <w:t xml:space="preserve">That gap is the opening. Provenance is the rule.</w:t>
      </w:r>
    </w:p>
    <w:p>
      <w:pPr>
        <w:pStyle w:val="BodyText"/>
        <w:spacing w:line="480" w:lineRule="auto"/>
        <w:ind w:firstLine="720"/>
      </w:pPr>
      <w:r>
        <w:t xml:space="preserve">Each record enters the estimation files as one row. The two workbooks share the same thirty records but expose different variables suited to their respective models. The topic-signal file carries the outcome and its three predictors; the learning-curve file carries the citation and age variables. Because both draw on the identical underlying retrieval, the sample size is fixed at thirty for both models, and that number bounds every inference reported later</w:t>
      </w:r>
      <w:r>
        <w:t xml:space="preserve"> </w:t>
      </w:r>
      <w:hyperlink w:anchor="ref-6">
        <w:r>
          <w:rPr>
            <w:rStyle w:val="Hyperlink"/>
          </w:rPr>
          <w:t xml:space="preserve">[6]</w:t>
        </w:r>
      </w:hyperlink>
      <w:r>
        <w:t xml:space="preserve">. Thirty is small. I do not disguise this. It is enough to detect a strong, precisely signed structural relationship and not enough to resolve a weak one, and the interpretation in chapter six respects that boundary at every step.</w:t>
      </w:r>
    </w:p>
    <w:p>
      <w:pPr>
        <w:pStyle w:val="BodyText"/>
        <w:spacing w:line="480" w:lineRule="auto"/>
        <w:ind w:firstLine="720"/>
      </w:pPr>
      <w:r>
        <w:t xml:space="preserve">The base is thin. The map is drawn.</w:t>
      </w:r>
    </w:p>
    <w:bookmarkEnd w:id="105"/>
    <w:bookmarkStart w:id="106" w:name="constructing-the-topic-signal-score"/>
    <w:p>
      <w:pPr>
        <w:pStyle w:val="Heading2"/>
        <w:spacing w:line="480" w:lineRule="auto"/>
      </w:pPr>
      <w:r>
        <w:t xml:space="preserve">Constructing the topic-signal score</w:t>
      </w:r>
    </w:p>
    <w:p>
      <w:pPr>
        <w:pStyle w:val="FirstParagraph"/>
        <w:spacing w:line="480" w:lineRule="auto"/>
      </w:pPr>
      <w:r>
        <w:t xml:space="preserve">The outcome variable, the composite topic-signal score, is a deterministic count assembled from candidate-theme term hits across four metadata fields of each record: the title, the retrieved snippet, the keyword field, and the author metadata</w:t>
      </w:r>
      <w:r>
        <w:t xml:space="preserve"> </w:t>
      </w:r>
      <w:hyperlink w:anchor="ref-1">
        <w:r>
          <w:rPr>
            <w:rStyle w:val="Hyperlink"/>
          </w:rPr>
          <w:t xml:space="preserve">[1]</w:t>
        </w:r>
      </w:hyperlink>
      <w:r>
        <w:t xml:space="preserve">. A record that repeatedly invokes the rating-to-behavior theme across those fields scores high; a record that touches it only glancingly scores low. The construction is mechanical and reproducible: the same record always yields the same score, and the source column lets any reader confirm which record produced which value. The observed scores range from a low of one, for records that barely register the theme, to a high of eleven, for records saturated with it</w:t>
      </w:r>
      <w:r>
        <w:t xml:space="preserve"> </w:t>
      </w:r>
      <w:hyperlink w:anchor="ref-9">
        <w:r>
          <w:rPr>
            <w:rStyle w:val="Hyperlink"/>
          </w:rPr>
          <w:t xml:space="preserve">[9]</w:t>
        </w:r>
      </w:hyperlink>
      <w:r>
        <w:t xml:space="preserve">.</w:t>
      </w:r>
    </w:p>
    <w:p>
      <w:pPr>
        <w:pStyle w:val="BodyText"/>
        <w:spacing w:line="480" w:lineRule="auto"/>
        <w:ind w:firstLine="720"/>
      </w:pPr>
      <w:r>
        <w:t xml:space="preserve">The evidence is modest. Thirty records is small.</w:t>
      </w:r>
    </w:p>
    <w:p>
      <w:pPr>
        <w:pStyle w:val="BodyText"/>
        <w:spacing w:line="480" w:lineRule="auto"/>
        <w:ind w:firstLine="720"/>
      </w:pPr>
      <w:r>
        <w:t xml:space="preserve">The design choice worth flagging is that the score is text-derived, which couples it to how much text a record exposes. A conference paper with a long title, a full snippet, and a dense keyword list has more surface on which theme terms can land than a two-line policy label with no snippet and no keywords. This is not a defect to be scrubbed. It is a measured property of the corpus, and it is the reason the venue-family predictor is expected to carry a negative sign in the next chapter: the space-economy family. Rich in relevance but poor in exposed text, will register lower measured signal than its substantive on-topic content would suggest</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Naming this coupling here means the reader can weigh the venue result correctly when it arrives.</w:t>
      </w:r>
    </w:p>
    <w:p>
      <w:pPr>
        <w:pStyle w:val="BodyText"/>
        <w:spacing w:line="480" w:lineRule="auto"/>
        <w:ind w:firstLine="720"/>
      </w:pPr>
      <w:r>
        <w:t xml:space="preserve">Each step is reversible.</w:t>
      </w:r>
    </w:p>
    <w:bookmarkEnd w:id="106"/>
    <w:bookmarkStart w:id="107" w:name="the-recency-and-age-indices"/>
    <w:p>
      <w:pPr>
        <w:pStyle w:val="Heading2"/>
        <w:spacing w:line="480" w:lineRule="auto"/>
      </w:pPr>
      <w:r>
        <w:t xml:space="preserve">The recency and age indices</w:t>
      </w:r>
    </w:p>
    <w:p>
      <w:pPr>
        <w:pStyle w:val="FirstParagraph"/>
        <w:spacing w:line="480" w:lineRule="auto"/>
      </w:pPr>
      <w:r>
        <w:t xml:space="preserve">Two time variables appear across the two models, and they are constructed differently on purpose. In the topic-signal model, the recency index is computed as the record’s publication year minus the minimum publication year in the sample plus one, so that the oldest records in the pack take a value of one and the newest take the maximum. This puts recency on a positive integer scale where higher means more recent, matching the mechanism that predicts heavier topic signal in newer work</w:t>
      </w:r>
      <w:r>
        <w:t xml:space="preserve"> </w:t>
      </w:r>
      <w:hyperlink w:anchor="ref-3">
        <w:r>
          <w:rPr>
            <w:rStyle w:val="Hyperlink"/>
          </w:rPr>
          <w:t xml:space="preserve">[3]</w:t>
        </w:r>
      </w:hyperlink>
      <w:r>
        <w:t xml:space="preserve">. Across the sample the index runs from one, for the 2012 records, up to fourteen, for the 2025 journal and economy entries.</w:t>
      </w:r>
    </w:p>
    <w:p>
      <w:pPr>
        <w:pStyle w:val="BodyText"/>
        <w:spacing w:line="480" w:lineRule="auto"/>
        <w:ind w:firstLine="720"/>
      </w:pPr>
      <w:r>
        <w:t xml:space="preserve">In the learning-curve model, the age index inverts the same information: it is computed as 2026 minus the publication year plus one, so that higher means older. A 2025 record takes an age of two, and a 2012 record takes an age of fifteen</w:t>
      </w:r>
      <w:r>
        <w:t xml:space="preserve"> </w:t>
      </w:r>
      <w:hyperlink w:anchor="ref-4">
        <w:r>
          <w:rPr>
            <w:rStyle w:val="Hyperlink"/>
          </w:rPr>
          <w:t xml:space="preserve">[4]</w:t>
        </w:r>
      </w:hyperlink>
      <w:r>
        <w:t xml:space="preserve">. The two indices are monotone transforms of the same underlying year. And keeping them distinct keeps each model’s coefficient in its natural direction: the recency coefficient reads as an effect of newness, the age elasticity reads as an effect of oldness. A reader comparing the two models should hold this inversion in mind, because a positive recency effect and a negative age elasticity would be telling the same story about a front-loaded corpus from two directions.</w:t>
      </w:r>
    </w:p>
    <w:bookmarkEnd w:id="107"/>
    <w:bookmarkStart w:id="108" w:name="the-citation-measure-and-its-truncation"/>
    <w:p>
      <w:pPr>
        <w:pStyle w:val="Heading2"/>
        <w:spacing w:line="480" w:lineRule="auto"/>
      </w:pPr>
      <w:r>
        <w:t xml:space="preserve">The citation measure and its truncation</w:t>
      </w:r>
    </w:p>
    <w:p>
      <w:pPr>
        <w:pStyle w:val="FirstParagraph"/>
        <w:spacing w:line="480" w:lineRule="auto"/>
      </w:pPr>
      <w:r>
        <w:t xml:space="preserve">Citation count is parsed directly from the local brain index’s cites field and set to zero when the index reported no count</w:t>
      </w:r>
      <w:r>
        <w:t xml:space="preserve"> </w:t>
      </w:r>
      <w:hyperlink w:anchor="ref-6">
        <w:r>
          <w:rPr>
            <w:rStyle w:val="Hyperlink"/>
          </w:rPr>
          <w:t xml:space="preserve">[6]</w:t>
        </w:r>
      </w:hyperlink>
      <w:r>
        <w:t xml:space="preserve">. This produces the most consequential measurement limitation in the dataset. Of the thirty records, only two carry non-zero citation counts, both recent Acta Astronautica articles: one with five citations and one with three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Every other record, including foundational conference work more than a decade old, registers zero, not because those papers were never cited in the world but because the local index did not credit them.</w:t>
      </w:r>
    </w:p>
    <w:p>
      <w:pPr>
        <w:pStyle w:val="BodyText"/>
        <w:spacing w:line="480" w:lineRule="auto"/>
        <w:ind w:firstLine="720"/>
      </w:pPr>
      <w:r>
        <w:t xml:space="preserve">This truncation shapes both models. In the topic-signal regression, the citation predictor is near-constant, zero for twenty-eight of thirty records, so it can carry almost no identifying variation and its coefficient is expected to be imprecise regardless of any true underlying relationship</w:t>
      </w:r>
      <w:r>
        <w:t xml:space="preserve"> </w:t>
      </w:r>
      <w:hyperlink w:anchor="ref-5">
        <w:r>
          <w:rPr>
            <w:rStyle w:val="Hyperlink"/>
          </w:rPr>
          <w:t xml:space="preserve">[5]</w:t>
        </w:r>
      </w:hyperlink>
      <w:r>
        <w:t xml:space="preserve">. In the learning-curve model, the plus-one transform pushes twenty-eight records to a citations-plus-one value of exactly one, a log of zero, and lifts only the two cited records above the floor. The entire age elasticity is therefore identified off the position of those two recent, cited, low-age records against the uncited mass, which is why the theory anticipated a possibly inverted slope</w:t>
      </w:r>
      <w:r>
        <w:t xml:space="preserve"> </w:t>
      </w:r>
      <w:hyperlink w:anchor="ref-4">
        <w:r>
          <w:rPr>
            <w:rStyle w:val="Hyperlink"/>
          </w:rPr>
          <w:t xml:space="preserve">[4]</w:t>
        </w:r>
      </w:hyperlink>
      <w:r>
        <w:t xml:space="preserve"> </w:t>
      </w:r>
      <w:hyperlink w:anchor="ref-6">
        <w:r>
          <w:rPr>
            <w:rStyle w:val="Hyperlink"/>
          </w:rPr>
          <w:t xml:space="preserve">[6]</w:t>
        </w:r>
      </w:hyperlink>
      <w:r>
        <w:t xml:space="preserve">. I report the citation variable exactly as parsed and let its sparsity constrain the reading rather than papering over it with an imputation the source could not support.</w:t>
      </w:r>
    </w:p>
    <w:bookmarkEnd w:id="108"/>
    <w:bookmarkStart w:id="109" w:name="venue-family-coding"/>
    <w:p>
      <w:pPr>
        <w:pStyle w:val="Heading2"/>
        <w:spacing w:line="480" w:lineRule="auto"/>
      </w:pPr>
      <w:r>
        <w:t xml:space="preserve">Venue-family coding</w:t>
      </w:r>
    </w:p>
    <w:p>
      <w:pPr>
        <w:pStyle w:val="FirstParagraph"/>
        <w:spacing w:line="480" w:lineRule="auto"/>
      </w:pPr>
      <w:r>
        <w:t xml:space="preserve">Venue family enters the topic-signal model as an ordinal score: AMOS conference proceedings are coded one, Acta Astronautica journal articles are coded two, and the space-economy family is coded three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ordering reflects a rough progression from technical conference venue to peer-reviewed journal to policy and economics material, and it is treated as ordinal rather than cardinal. A one-unit step from AMOS to Acta is not asserted to be the same size as the step from Acta to space-economy in any substantive sense; the coding simply gives the regression a monotone family axis along which to detect structure</w:t>
      </w:r>
      <w:r>
        <w:t xml:space="preserve"> </w:t>
      </w:r>
      <w:hyperlink w:anchor="ref-2">
        <w:r>
          <w:rPr>
            <w:rStyle w:val="Hyperlink"/>
          </w:rPr>
          <w:t xml:space="preserve">[2]</w:t>
        </w:r>
      </w:hyperlink>
      <w:r>
        <w:t xml:space="preserve">.</w:t>
      </w:r>
    </w:p>
    <w:p>
      <w:pPr>
        <w:pStyle w:val="BodyText"/>
        <w:spacing w:line="480" w:lineRule="auto"/>
        <w:ind w:firstLine="720"/>
      </w:pPr>
      <w:r>
        <w:t xml:space="preserve">I resist two misreadings of this variable in advance. It is not a quality ranking, so a higher score does not mark a more authoritative record. And it is not independent of the text-density property described earlier, since the highest-coded family is also the one with the sparsest exposed text. The venue coefficient in the next chapter therefore measures a bundle: family membership plus its correlated metadata density. Chapter seven returns to this entanglement as a threat to validity, because separating the two would require the document-level coding that this design-stage screen does not attempt</w:t>
      </w:r>
      <w:r>
        <w:t xml:space="preserve"> </w:t>
      </w:r>
      <w:hyperlink w:anchor="ref-15">
        <w:r>
          <w:rPr>
            <w:rStyle w:val="Hyperlink"/>
          </w:rPr>
          <w:t xml:space="preserve">[15]</w:t>
        </w:r>
      </w:hyperlink>
      <w:r>
        <w:t xml:space="preserve">.</w:t>
      </w:r>
    </w:p>
    <w:bookmarkEnd w:id="109"/>
    <w:bookmarkStart w:id="110" w:name="Xd49e586e362e257b98207e78cfb3591f777a66c"/>
    <w:p>
      <w:pPr>
        <w:pStyle w:val="Heading2"/>
        <w:spacing w:line="480" w:lineRule="auto"/>
      </w:pPr>
      <w:r>
        <w:t xml:space="preserve">The distribution of records across venues and years</w:t>
      </w:r>
    </w:p>
    <w:p>
      <w:pPr>
        <w:pStyle w:val="FirstParagraph"/>
        <w:spacing w:line="480" w:lineRule="auto"/>
      </w:pPr>
      <w:r>
        <w:t xml:space="preserve">A screen’s results depend on how records spread across the very features the models exploit, so the distribution deserves explicit description rather than a summary statistic. Across the thirty records, the AMOS conference family is the most heavily populated, supplying the older technical work from 2012 through the early 2020s and covering awareness, detection, conjunction assessment, and rating-adjacent methods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The Acta Astronautica family is smaller and concentrated in 2025, contributing the composite-indicator and multi-stakeholder-incentive articles that sit closest to the rating’s design and that carry the only non-zero citation counts in the pack</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space-economy family is heterogeneous and clustered at a single coded value, gathering policy notes, forecasting stubs, and framework documents whose publication years are recorded uniformly and whose exposed text is often minimal</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distribution has two consequences the reader must hold. The venue axis and the year axis overlap, because the newest records concentrate in the journal and economy families while the oldest concentrate in the conference family</w:t>
      </w:r>
      <w:r>
        <w:t xml:space="preserve"> </w:t>
      </w:r>
      <w:hyperlink w:anchor="ref-2">
        <w:r>
          <w:rPr>
            <w:rStyle w:val="Hyperlink"/>
          </w:rPr>
          <w:t xml:space="preserve">[2]</w:t>
        </w:r>
      </w:hyperlink>
      <w:r>
        <w:t xml:space="preserve">. That overlap is why the topic-signal model must estimate recency and venue jointly, so each coefficient is read net of the other rather than as a raw margin. And the citation variable’s non-zero values sit entirely in the recent journal family, so any age relationship is identified off that narrow, young slice against the uncited remainder</w:t>
      </w:r>
      <w:r>
        <w:t xml:space="preserve"> </w:t>
      </w:r>
      <w:hyperlink w:anchor="ref-6">
        <w:r>
          <w:rPr>
            <w:rStyle w:val="Hyperlink"/>
          </w:rPr>
          <w:t xml:space="preserve">[6]</w:t>
        </w:r>
      </w:hyperlink>
      <w:r>
        <w:t xml:space="preserve">. The distribution is not a flaw to be corrected; it is the structure of this retrieval. And describing it precisely is what lets the coefficients in chapter six be interpreted for what they are rather than for what a more balanced pack might have shown</w:t>
      </w:r>
      <w:r>
        <w:t xml:space="preserve"> </w:t>
      </w:r>
      <w:hyperlink w:anchor="ref-4">
        <w:r>
          <w:rPr>
            <w:rStyle w:val="Hyperlink"/>
          </w:rPr>
          <w:t xml:space="preserve">[4]</w:t>
        </w:r>
      </w:hyperlink>
      <w:r>
        <w:t xml:space="preserve">.</w:t>
      </w:r>
    </w:p>
    <w:bookmarkEnd w:id="110"/>
    <w:bookmarkStart w:id="111" w:name="the-theme-hit-fields-in-detail"/>
    <w:p>
      <w:pPr>
        <w:pStyle w:val="Heading2"/>
        <w:spacing w:line="480" w:lineRule="auto"/>
      </w:pPr>
      <w:r>
        <w:t xml:space="preserve">The theme-hit fields in detail</w:t>
      </w:r>
    </w:p>
    <w:p>
      <w:pPr>
        <w:pStyle w:val="FirstParagraph"/>
        <w:spacing w:line="480" w:lineRule="auto"/>
      </w:pPr>
      <w:r>
        <w:t xml:space="preserve">Because the outcome variable is the spine of the whole screen, its construction deserves more than a one-line definition. The composite topic-signal score sums candidate-theme term hits across four distinct metadata fields, and each field contributes differently depending on the record’s form</w:t>
      </w:r>
      <w:r>
        <w:t xml:space="preserve"> </w:t>
      </w:r>
      <w:hyperlink w:anchor="ref-1">
        <w:r>
          <w:rPr>
            <w:rStyle w:val="Hyperlink"/>
          </w:rPr>
          <w:t xml:space="preserve">[1]</w:t>
        </w:r>
      </w:hyperlink>
      <w:r>
        <w:t xml:space="preserve">. The title field is short and dense; a title squarely on the rating-to-behavior theme can contribute several hits in a few words, while an off-theme title contributes none. The snippet field is longer and, for conference and journal records, usually populated with a substantive extract that offers the widest surface for theme terms to land</w:t>
      </w:r>
      <w:r>
        <w:t xml:space="preserve"> </w:t>
      </w:r>
      <w:hyperlink w:anchor="ref-3">
        <w:r>
          <w:rPr>
            <w:rStyle w:val="Hyperlink"/>
          </w:rPr>
          <w:t xml:space="preserve">[3]</w:t>
        </w:r>
      </w:hyperlink>
      <w:r>
        <w:t xml:space="preserve">. The keyword field varies most across the corpus: some records expose a rich keyword list running into the teens, while the sparse economy entries expose none. The author-metadata field contributes occasional hits when institutional or personal names carry topic-relevant terms.</w:t>
      </w:r>
    </w:p>
    <w:p>
      <w:pPr>
        <w:pStyle w:val="BodyText"/>
        <w:spacing w:line="480" w:lineRule="auto"/>
        <w:ind w:firstLine="720"/>
      </w:pPr>
      <w:r>
        <w:t xml:space="preserve">The consequence of this four-field construction is that a record’s measurable signal is a joint product of its topic relevance and its metadata exposure</w:t>
      </w:r>
      <w:r>
        <w:t xml:space="preserve"> </w:t>
      </w:r>
      <w:hyperlink w:anchor="ref-2">
        <w:r>
          <w:rPr>
            <w:rStyle w:val="Hyperlink"/>
          </w:rPr>
          <w:t xml:space="preserve">[2]</w:t>
        </w:r>
      </w:hyperlink>
      <w:r>
        <w:t xml:space="preserve">. A record can be deeply on-topic yet score low because it exposes only a bare title. Which is exactly the situation of several space-economy entries whose descriptive labels announce a sustainability or debris-economics subject in a handful of words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score does not err in these cases; it faithfully measures theme-hit surface, which is what it was built to measure. What the reader must not do is read a low score as low relevance, and the venue coefficient in chapter six is interpreted with this distinction held firmly in place</w:t>
      </w:r>
      <w:r>
        <w:t xml:space="preserve"> </w:t>
      </w:r>
      <w:hyperlink w:anchor="ref-5">
        <w:r>
          <w:rPr>
            <w:rStyle w:val="Hyperlink"/>
          </w:rPr>
          <w:t xml:space="preserve">[5]</w:t>
        </w:r>
      </w:hyperlink>
      <w:r>
        <w:t xml:space="preserve">.</w:t>
      </w:r>
    </w:p>
    <w:bookmarkEnd w:id="111"/>
    <w:bookmarkStart w:id="112" w:name="edge-cases-and-coding-decisions"/>
    <w:p>
      <w:pPr>
        <w:pStyle w:val="Heading2"/>
        <w:spacing w:line="480" w:lineRule="auto"/>
      </w:pPr>
      <w:r>
        <w:t xml:space="preserve">Edge cases and coding decisions</w:t>
      </w:r>
    </w:p>
    <w:p>
      <w:pPr>
        <w:pStyle w:val="FirstParagraph"/>
        <w:spacing w:line="480" w:lineRule="auto"/>
      </w:pPr>
      <w:r>
        <w:t xml:space="preserve">Several records required coding decisions worth documenting so the dataset is fully auditable. A small number of space-economy entries carry a snippet-word count of zero because the retrieved record exposed only a title or a short label. Which means their entire topic signal derives from the title and, where present, a single keyword hit</w:t>
      </w:r>
      <w:r>
        <w:t xml:space="preserve"> </w:t>
      </w:r>
      <w:hyperlink w:anchor="ref-15">
        <w:r>
          <w:rPr>
            <w:rStyle w:val="Hyperlink"/>
          </w:rPr>
          <w:t xml:space="preserve">[15]</w:t>
        </w:r>
      </w:hyperlink>
      <w:r>
        <w:t xml:space="preserve">. These records legitimately sit at the low end of the signal scale, and they are retained rather than dropped. Because dropping low-signal records would bias the venue coefficient toward zero by removing the very observations that give the venue axis its spread</w:t>
      </w:r>
      <w:r>
        <w:t xml:space="preserve"> </w:t>
      </w:r>
      <w:hyperlink w:anchor="ref-2">
        <w:r>
          <w:rPr>
            <w:rStyle w:val="Hyperlink"/>
          </w:rPr>
          <w:t xml:space="preserve">[2]</w:t>
        </w:r>
      </w:hyperlink>
      <w:r>
        <w:t xml:space="preserve">. Two records share the same underlying journal DOI in different roles within the retrieval, one as a full journal article and one as a composite-indicator label. And both are retained because they represent distinct retrieved records with distinct metadata exposure, preserving the one-row-per-record discipline</w:t>
      </w:r>
      <w:r>
        <w:t xml:space="preserve"> </w:t>
      </w:r>
      <w:hyperlink w:anchor="ref-9">
        <w:r>
          <w:rPr>
            <w:rStyle w:val="Hyperlink"/>
          </w:rPr>
          <w:t xml:space="preserve">[9]</w:t>
        </w:r>
      </w:hyperlink>
      <w:r>
        <w:t xml:space="preserve">.</w:t>
      </w:r>
    </w:p>
    <w:p>
      <w:pPr>
        <w:pStyle w:val="BodyText"/>
        <w:spacing w:line="480" w:lineRule="auto"/>
        <w:ind w:firstLine="720"/>
      </w:pPr>
      <w:r>
        <w:t xml:space="preserve">Records with descriptive-label sources rather than URLs or DOIs, several of the policy and framework entries, are coded identically to the others on every variable, with the label serving as the provenance anchor in the source column</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No record was reweighted, and no variable was imputed beyond the stated plus-one shift on the citation count in the learning-curve file</w:t>
      </w:r>
      <w:r>
        <w:t xml:space="preserve"> </w:t>
      </w:r>
      <w:hyperlink w:anchor="ref-6">
        <w:r>
          <w:rPr>
            <w:rStyle w:val="Hyperlink"/>
          </w:rPr>
          <w:t xml:space="preserve">[6]</w:t>
        </w:r>
      </w:hyperlink>
      <w:r>
        <w:t xml:space="preserve">. These decisions are individually small, but documenting them matters because a corpus screen’s credibility rests on the reader being able to see that no observation was quietly adjusted to shape a result. Every coding choice is mechanical, stated, and reversible from the source column</w:t>
      </w:r>
      <w:r>
        <w:t xml:space="preserve"> </w:t>
      </w:r>
      <w:hyperlink w:anchor="ref-1">
        <w:r>
          <w:rPr>
            <w:rStyle w:val="Hyperlink"/>
          </w:rPr>
          <w:t xml:space="preserve">[1]</w:t>
        </w:r>
      </w:hyperlink>
      <w:r>
        <w:t xml:space="preserve">.</w:t>
      </w:r>
    </w:p>
    <w:bookmarkEnd w:id="112"/>
    <w:bookmarkStart w:id="113" w:name="Xa3b5f621dde856325e726fdb1c1085b40b44200"/>
    <w:p>
      <w:pPr>
        <w:pStyle w:val="Heading2"/>
        <w:spacing w:line="480" w:lineRule="auto"/>
      </w:pPr>
      <w:r>
        <w:t xml:space="preserve">Provenance, freezing, and what the data can bear</w:t>
      </w:r>
    </w:p>
    <w:p>
      <w:pPr>
        <w:pStyle w:val="FirstParagraph"/>
        <w:spacing w:line="480" w:lineRule="auto"/>
      </w:pPr>
      <w:r>
        <w:t xml:space="preserve">Every row in both workbooks preserves its source: a URL for the AMOS records, a DOI for the journal and several economy records, and a descriptive label for the short-form policy entries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This provenance is the backbone of the audit trail. It lets a skeptical reader open a workbook, follow any observation to the record that generated it, and confirm that the theme-hit count, the year, the venue code, and the citation value were assigned correctly. The dataset is frozen: it is estimated once, no records are added or dropped after the fact, and the reported results in chapter six are the first and only estimation run</w:t>
      </w:r>
      <w:r>
        <w:t xml:space="preserve"> </w:t>
      </w:r>
      <w:hyperlink w:anchor="ref-5">
        <w:r>
          <w:rPr>
            <w:rStyle w:val="Hyperlink"/>
          </w:rPr>
          <w:t xml:space="preserve">[5]</w:t>
        </w:r>
      </w:hyperlink>
      <w:r>
        <w:t xml:space="preserve">.</w:t>
      </w:r>
    </w:p>
    <w:p>
      <w:pPr>
        <w:pStyle w:val="BodyText"/>
        <w:spacing w:line="480" w:lineRule="auto"/>
        <w:ind w:firstLine="720"/>
      </w:pPr>
      <w:r>
        <w:t xml:space="preserve">What the data can bear is a modest, corpus-internal structural reading. It can detect whether topic signal differs across venue families strongly enough to sign a coefficient. It can detect whether recency and citation attention add identifying structure once venue is controlled, and it can report honestly when they do not. It can trace an age-citation elasticity conditioned on a sparse attention measure. What the data cannot bear is any claim about operator behavior, about field-wide citation impact, or about generalization beyond this retrieval. The measurement is deliberately matched to the modest question the dissertation asks, and the results that follow are reported strictly within that match</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13"/>
    <w:bookmarkStart w:id="114" w:name="Xdaa5aa22544d4f3ee2fba92bfb21cc160d8c2e5"/>
    <w:p>
      <w:pPr>
        <w:pStyle w:val="Heading2"/>
        <w:spacing w:line="480" w:lineRule="auto"/>
      </w:pPr>
      <w:r>
        <w:t xml:space="preserve">From measurement choices to interpretive discipline</w:t>
      </w:r>
    </w:p>
    <w:p>
      <w:pPr>
        <w:pStyle w:val="FirstParagraph"/>
        <w:spacing w:line="480" w:lineRule="auto"/>
      </w:pPr>
      <w:r>
        <w:t xml:space="preserve">The measurement decisions documented in this chapter are not neutral bookkeeping; each one binds a specific interpretation in the chapters that follow, and tracing those bindings is how the data chapter earns its place. Because the topic-signal score is text-derived, a low score can never be read as low relevance, only as low theme-hit surface, and the venue coefficient in chapter six inherits that constraint directly</w:t>
      </w:r>
      <w:r>
        <w:t xml:space="preserve"> </w:t>
      </w:r>
      <w:hyperlink w:anchor="ref-1">
        <w:r>
          <w:rPr>
            <w:rStyle w:val="Hyperlink"/>
          </w:rPr>
          <w:t xml:space="preserve">[1]</w:t>
        </w:r>
      </w:hyperlink>
      <w:r>
        <w:t xml:space="preserve"> </w:t>
      </w:r>
      <w:hyperlink w:anchor="ref-2">
        <w:r>
          <w:rPr>
            <w:rStyle w:val="Hyperlink"/>
          </w:rPr>
          <w:t xml:space="preserve">[2]</w:t>
        </w:r>
      </w:hyperlink>
      <w:r>
        <w:t xml:space="preserve">. Because the citation measure is truncated to two non-zero records, the citation predictor’s imprecision is a structural certainty rather than a finding, and no interpretation is allowed to treat that null as evidence about anchoring</w:t>
      </w:r>
      <w:r>
        <w:t xml:space="preserve"> </w:t>
      </w:r>
      <w:hyperlink w:anchor="ref-6">
        <w:r>
          <w:rPr>
            <w:rStyle w:val="Hyperlink"/>
          </w:rPr>
          <w:t xml:space="preserve">[6]</w:t>
        </w:r>
      </w:hyperlink>
      <w:r>
        <w:t xml:space="preserve">. Because the recency and age indices are monotone transforms of the same year, the two models’ time coefficients must be read as two views of one underlying gradient, not as independent confirmations</w:t>
      </w:r>
      <w:r>
        <w:t xml:space="preserve"> </w:t>
      </w:r>
      <w:hyperlink w:anchor="ref-4">
        <w:r>
          <w:rPr>
            <w:rStyle w:val="Hyperlink"/>
          </w:rPr>
          <w:t xml:space="preserve">[4]</w:t>
        </w:r>
      </w:hyperlink>
      <w:r>
        <w:t xml:space="preserve">.</w:t>
      </w:r>
    </w:p>
    <w:p>
      <w:pPr>
        <w:pStyle w:val="BodyText"/>
        <w:spacing w:line="480" w:lineRule="auto"/>
        <w:ind w:firstLine="720"/>
      </w:pPr>
      <w:r>
        <w:t xml:space="preserve">These bindings are the reason the data chapter precedes the results chapter rather than following it. A reader who understands how each variable was built, and what each construction forbids, can hold the coefficients to their true meaning without being led by the numbers into claims the measurement cannot support</w:t>
      </w:r>
      <w:r>
        <w:t xml:space="preserve"> </w:t>
      </w:r>
      <w:hyperlink w:anchor="ref-3">
        <w:r>
          <w:rPr>
            <w:rStyle w:val="Hyperlink"/>
          </w:rPr>
          <w:t xml:space="preserve">[3]</w:t>
        </w:r>
      </w:hyperlink>
      <w:r>
        <w:t xml:space="preserve">. The alternative, presenting results first and qualifying them afterward, tends to let a striking coefficient set the interpretation before its measurement limits are known. By fixing the measurement discipline here, in advance, the dissertation ensures that the venue result is read as a partly mechanical gradient. The citation null as an untested question, and the age elasticity as a truncation artifact, each exactly as the construction of its variables requires</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14"/>
    <w:bookmarkStart w:id="115" w:name="the-dataset-as-a-reproducible-artifact"/>
    <w:p>
      <w:pPr>
        <w:pStyle w:val="Heading2"/>
        <w:spacing w:line="480" w:lineRule="auto"/>
      </w:pPr>
      <w:r>
        <w:t xml:space="preserve">The dataset as a reproducible artifact</w:t>
      </w:r>
    </w:p>
    <w:p>
      <w:pPr>
        <w:pStyle w:val="FirstParagraph"/>
        <w:spacing w:line="480" w:lineRule="auto"/>
      </w:pPr>
      <w:r>
        <w:t xml:space="preserve">Beyond its role as input to two models, the dataset is itself a deliverable worth describing on its own terms. It is a frozen, thirty-row, fully provenanced compilation in which every observation ties to a named source, every variable has a documented deterministic construction, and no value was imputed beyond a single stated shift</w:t>
      </w:r>
      <w:r>
        <w:t xml:space="preserve"> </w:t>
      </w:r>
      <w:hyperlink w:anchor="ref-1">
        <w:r>
          <w:rPr>
            <w:rStyle w:val="Hyperlink"/>
          </w:rPr>
          <w:t xml:space="preserve">[1]</w:t>
        </w:r>
      </w:hyperlink>
      <w:r>
        <w:t xml:space="preserve"> </w:t>
      </w:r>
      <w:hyperlink w:anchor="ref-6">
        <w:r>
          <w:rPr>
            <w:rStyle w:val="Hyperlink"/>
          </w:rPr>
          <w:t xml:space="preserve">[6]</w:t>
        </w:r>
      </w:hyperlink>
      <w:r>
        <w:t xml:space="preserve">. A reader who wanted to challenge any result could take this artifact, re-run either estimator, and recover the reported numbers exactly, because nothing in the pipeline depends on hidden state or manual adjustment</w:t>
      </w:r>
      <w:r>
        <w:t xml:space="preserve"> </w:t>
      </w:r>
      <w:hyperlink w:anchor="ref-5">
        <w:r>
          <w:rPr>
            <w:rStyle w:val="Hyperlink"/>
          </w:rPr>
          <w:t xml:space="preserve">[5]</w:t>
        </w:r>
      </w:hyperlink>
      <w:r>
        <w:t xml:space="preserve">.</w:t>
      </w:r>
    </w:p>
    <w:p>
      <w:pPr>
        <w:pStyle w:val="BodyText"/>
        <w:spacing w:line="480" w:lineRule="auto"/>
        <w:ind w:firstLine="720"/>
      </w:pPr>
      <w:r>
        <w:t xml:space="preserve">That reproducibility is not incidental to the contribution; it is part of it. A design-stage screen earns trust by making its evidence inspectable, and the dataset is the object that makes inspection possible</w:t>
      </w:r>
      <w:r>
        <w:t xml:space="preserve"> </w:t>
      </w:r>
      <w:hyperlink w:anchor="ref-3">
        <w:r>
          <w:rPr>
            <w:rStyle w:val="Hyperlink"/>
          </w:rPr>
          <w:t xml:space="preserve">[3]</w:t>
        </w:r>
      </w:hyperlink>
      <w:r>
        <w:t xml:space="preserve">. Future work that broadens the retrieval or adds direct document coding can build on this artifact rather than starting over. Because its structure, one row per record with a preserved source column, is the same structure a larger study would extend</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15"/>
    <w:bookmarkEnd w:id="116"/>
    <w:bookmarkStart w:id="125" w:name="results"/>
    <w:p>
      <w:pPr>
        <w:pStyle w:val="Heading1"/>
        <w:spacing w:line="480" w:lineRule="auto"/>
      </w:pPr>
      <w:r>
        <w:t xml:space="preserve">Results</w:t>
      </w:r>
    </w:p>
    <w:p>
      <w:pPr>
        <w:pStyle w:val="FirstParagraph"/>
        <w:spacing w:line="480" w:lineRule="auto"/>
      </w:pPr>
      <w:r>
        <w:t xml:space="preserve">This chapter reports the estimator output exactly as the two workbooks produce it and interprets the signs and magnitudes within the bounds the data allow. Nothing here is rounded away or reshaped. The coefficients, standard-error-based p-values, sample sizes, and fit statistics are transcribed from the empirical runs, and the interpretation stays inside what a thirty-record corpus screen can support</w:t>
      </w:r>
      <w:r>
        <w:t xml:space="preserve"> </w:t>
      </w:r>
      <w:hyperlink w:anchor="ref-5">
        <w:r>
          <w:rPr>
            <w:rStyle w:val="Hyperlink"/>
          </w:rPr>
          <w:t xml:space="preserve">[5]</w:t>
        </w:r>
      </w:hyperlink>
      <w:r>
        <w:t xml:space="preserve"> </w:t>
      </w:r>
      <w:hyperlink w:anchor="ref-6">
        <w:r>
          <w:rPr>
            <w:rStyle w:val="Hyperlink"/>
          </w:rPr>
          <w:t xml:space="preserve">[6]</w:t>
        </w:r>
      </w:hyperlink>
      <w:r>
        <w:t xml:space="preserve">. I present the topic-signal model first, then the learning-curve model, and I read each against the hypotheses set out in chapter three. Moving across the full two-step span of the ordinal venue axis implies a modeled drop of roughly three and a half points in topic signal, a substantial fraction of an outcome that ranges from one to eleven, and reading that magnitude against the intercept keeps the venue effect in its true form as a relative gradient rather than an absolute statement about any single family</w:t>
      </w:r>
      <w:r>
        <w:t xml:space="preserve"> </w:t>
      </w:r>
      <w:hyperlink w:anchor="ref-2">
        <w:r>
          <w:rPr>
            <w:rStyle w:val="Hyperlink"/>
          </w:rPr>
          <w:t xml:space="preserve">[2]</w:t>
        </w:r>
      </w:hyperlink>
      <w:r>
        <w:t xml:space="preserve">.</w:t>
      </w:r>
    </w:p>
    <w:p>
      <w:pPr>
        <w:pStyle w:val="BodyText"/>
        <w:spacing w:line="480" w:lineRule="auto"/>
        <w:ind w:firstLine="720"/>
      </w:pPr>
      <w:r>
        <w:t xml:space="preserve">Homes, not anchors.</w:t>
      </w:r>
    </w:p>
    <w:bookmarkStart w:id="117" w:name="the-topic-signal-model"/>
    <w:p>
      <w:pPr>
        <w:pStyle w:val="Heading2"/>
        <w:spacing w:line="480" w:lineRule="auto"/>
      </w:pPr>
      <w:r>
        <w:t xml:space="preserve">The topic-signal model</w:t>
      </w:r>
    </w:p>
    <w:p>
      <w:pPr>
        <w:pStyle w:val="FirstParagraph"/>
        <w:spacing w:line="480" w:lineRule="auto"/>
      </w:pPr>
      <w:r>
        <w:t xml:space="preserve">The ordinary least squares regression of the composite topic-signal score on the recency index, the citation count, and the ordinal venue-family score was estimated across all thirty records with robust HC1 standard errors. The fit summary is: N=30, R2=0.25652437147772733, R2_adj=0.17073872203284968, F=7.675207425617432, F_p=0.0007821381177479286. The model explains about a quarter of the variance in topic signal, and the joint F-test is significant at conventional levels, so the three predictors together carry real structure with respect to the outcome</w:t>
      </w:r>
      <w:r>
        <w:t xml:space="preserve"> </w:t>
      </w:r>
      <w:hyperlink w:anchor="ref-9">
        <w:r>
          <w:rPr>
            <w:rStyle w:val="Hyperlink"/>
          </w:rPr>
          <w:t xml:space="preserve">[9]</w:t>
        </w:r>
      </w:hyperlink>
      <w:r>
        <w:t xml:space="preserve">. The joint F-statistic rejects the primary null that topic signal is unrelated to all three predictors together, yet the term-level output shows the rejection running almost entirely through the venue channel, so an advocate cannot read the significant joint fit as proof of a consolidated intellectual core without confronting that the structure is carried by publication form rather than by recency or attention</w:t>
      </w:r>
      <w:r>
        <w:t xml:space="preserve"> </w:t>
      </w:r>
      <w:hyperlink w:anchor="ref-9">
        <w:r>
          <w:rPr>
            <w:rStyle w:val="Hyperlink"/>
          </w:rPr>
          <w:t xml:space="preserve">[9]</w:t>
        </w:r>
      </w:hyperlink>
      <w:r>
        <w:t xml:space="preserve">.</w:t>
      </w:r>
    </w:p>
    <w:p>
      <w:pPr>
        <w:pStyle w:val="BodyText"/>
        <w:spacing w:line="480" w:lineRule="auto"/>
        <w:ind w:firstLine="720"/>
      </w:pPr>
      <w:r>
        <w:t xml:space="preserve">Age loses to recency here. The numbers speak first.</w:t>
      </w:r>
    </w:p>
    <w:p>
      <w:pPr>
        <w:pStyle w:val="BodyText"/>
        <w:spacing w:line="480" w:lineRule="auto"/>
        <w:ind w:firstLine="720"/>
      </w:pPr>
      <w:r>
        <w:t xml:space="preserve">The term-level output is where the story sharpens. The constant is estimated at coef=6.875846144272956 with p=8.893725464571936e-06. The recency index enters at coef=0.13150490490389502 with p=0.5421851446923563. The citation count enters at coef=0.2395271514558316 with p=0.49603581910889194. The venue-family score enters at coef=-1.7424526033073837 with p=0.003371006558837238. Because the citation predictor is non-zero on only two of thirty records and therefore carries almost no identifying variation, its insignificant coefficient should not be read as evidence for or against anchoring at all, a distinction that separates a genuine failure to detect from the structural impossibility of detecting through a predictor that barely moves across the sample</w:t>
      </w:r>
      <w:r>
        <w:t xml:space="preserve"> </w:t>
      </w:r>
      <w:hyperlink w:anchor="ref-6">
        <w:r>
          <w:rPr>
            <w:rStyle w:val="Hyperlink"/>
          </w:rPr>
          <w:t xml:space="preserve">[6]</w:t>
        </w:r>
      </w:hyperlink>
      <w:r>
        <w:t xml:space="preserve">.</w:t>
      </w:r>
    </w:p>
    <w:p>
      <w:pPr>
        <w:pStyle w:val="BodyText"/>
        <w:spacing w:line="480" w:lineRule="auto"/>
        <w:ind w:firstLine="720"/>
      </w:pPr>
      <w:r>
        <w:t xml:space="preserve">Read these in order of what they license. The venue coefficient is the load-bearing result. It is negative, it is sizable relative to the outcome’s range, and it is precisely estimated, with a p-value near three thousandths. A one-step move up the venue-family axis, from AMOS toward Acta and then toward the space-economy family, is associated with a drop of roughly 1.74 points in measured topic signal, holding recency and citation count fixed</w:t>
      </w:r>
      <w:r>
        <w:t xml:space="preserve"> </w:t>
      </w:r>
      <w:hyperlink w:anchor="ref-1">
        <w:r>
          <w:rPr>
            <w:rStyle w:val="Hyperlink"/>
          </w:rPr>
          <w:t xml:space="preserve">[1]</w:t>
        </w:r>
      </w:hyperlink>
      <w:r>
        <w:t xml:space="preserve"> </w:t>
      </w:r>
      <w:hyperlink w:anchor="ref-2">
        <w:r>
          <w:rPr>
            <w:rStyle w:val="Hyperlink"/>
          </w:rPr>
          <w:t xml:space="preserve">[2]</w:t>
        </w:r>
      </w:hyperlink>
      <w:r>
        <w:t xml:space="preserve">. This is the corpus structure the primary alternative hypothesis predicted, and it is signed exactly as chapter three anticipated. Higher venue-family scores carry lower measured topic signal, which the theory attributed not to lesser relevance but to the sparser exposed text of the higher-coded families. Above all the short-form space-economy entries whose on-topic content does not translate into theme-hit surface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corpus is frozen.</w:t>
      </w:r>
    </w:p>
    <w:p>
      <w:pPr>
        <w:pStyle w:val="BodyText"/>
        <w:spacing w:line="480" w:lineRule="auto"/>
        <w:ind w:firstLine="720"/>
      </w:pPr>
      <w:r>
        <w:t xml:space="preserve">Recency and citation tell the complementary half of the result, and they tell it by their imprecision. Recency is positive, which matches the directional expectation that newer work carries heavier topic signal, but its p-value of about 0.54 places it far from any conventional threshold. Net of venue, newness adds no detectable structure to the topic signal</w:t>
      </w:r>
      <w:r>
        <w:t xml:space="preserve"> </w:t>
      </w:r>
      <w:hyperlink w:anchor="ref-3">
        <w:r>
          <w:rPr>
            <w:rStyle w:val="Hyperlink"/>
          </w:rPr>
          <w:t xml:space="preserve">[3]</w:t>
        </w:r>
      </w:hyperlink>
      <w:r>
        <w:t xml:space="preserve">.</w:t>
      </w:r>
    </w:p>
    <w:p>
      <w:pPr>
        <w:pStyle w:val="BodyText"/>
        <w:spacing w:line="480" w:lineRule="auto"/>
        <w:ind w:firstLine="720"/>
      </w:pPr>
      <w:r>
        <w:t xml:space="preserve">The citation coefficient is likewise positive and likewise imprecise, with a p-value near 0.50, which is exactly what the truncated attention measure led the theory to expect: with non-zero citations on only two of thirty records. The predictor cannot carry identifying variation, and its coefficient should not be read as evidence for or against anchoring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Reporting these two null-adjacent terms alongside the significant venue term is the point of a real test. The corpus is organized by venue and is not detectably organized by recency or attention once venue is controlled.</w:t>
      </w:r>
    </w:p>
    <w:p>
      <w:pPr>
        <w:pStyle w:val="BodyText"/>
        <w:spacing w:line="480" w:lineRule="auto"/>
        <w:ind w:firstLine="720"/>
      </w:pPr>
      <w:r>
        <w:t xml:space="preserve">Two routes, one picture.</w:t>
      </w:r>
    </w:p>
    <w:p>
      <w:pPr>
        <w:pStyle w:val="BodyText"/>
        <w:spacing w:line="480" w:lineRule="auto"/>
        <w:ind w:firstLine="720"/>
      </w:pPr>
      <w:r>
        <w:t xml:space="preserve">Interpretive weight therefore concentrates on one clean finding embedded in an honest set of nulls. The primary null, that topic signal is unrelated to all three structural features, is rejected, because venue family is significantly related to topic signal</w:t>
      </w:r>
      <w:r>
        <w:t xml:space="preserve"> </w:t>
      </w:r>
      <w:hyperlink w:anchor="ref-1">
        <w:r>
          <w:rPr>
            <w:rStyle w:val="Hyperlink"/>
          </w:rPr>
          <w:t xml:space="preserve">[1]</w:t>
        </w:r>
      </w:hyperlink>
      <w:r>
        <w:t xml:space="preserve">. But the rejection runs through a single channel, and that channel is partly a measurement property of the corpus rather than a pure statement about the topic’s intellectual coherence. An advocate of the rating who wanted to read the significant F-statistic as proof of a consolidated topic base must reckon with the fact that the significance is carried by venue and colored by text density. Not by a recency gradient or an attention center of gravity</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verdict is precise.</w:t>
      </w:r>
    </w:p>
    <w:bookmarkEnd w:id="117"/>
    <w:bookmarkStart w:id="118" w:name="the-learning-curve-model"/>
    <w:p>
      <w:pPr>
        <w:pStyle w:val="Heading2"/>
        <w:spacing w:line="480" w:lineRule="auto"/>
      </w:pPr>
      <w:r>
        <w:t xml:space="preserve">The learning-curve model</w:t>
      </w:r>
    </w:p>
    <w:p>
      <w:pPr>
        <w:pStyle w:val="FirstParagraph"/>
        <w:spacing w:line="480" w:lineRule="auto"/>
      </w:pPr>
      <w:r>
        <w:t xml:space="preserve">The log-log learning-curve regression of citation accumulation on article age was estimated across the same thirty records with robust HC1 standard errors. The fit summary is: N=30, R2=0.27388950844524274, elasticity_b=-0.3749933800176263, progress_ratio_2^b=0.7711089510234402. The model explains a little over a quarter of the variance in log citations-plus-one, comparable to the first model’s fit, and it returns a negative age elasticity.</w:t>
      </w:r>
    </w:p>
    <w:p>
      <w:pPr>
        <w:pStyle w:val="BodyText"/>
        <w:spacing w:line="480" w:lineRule="auto"/>
        <w:ind w:firstLine="720"/>
      </w:pPr>
      <w:r>
        <w:t xml:space="preserve">One channel carries the weight.</w:t>
      </w:r>
    </w:p>
    <w:p>
      <w:pPr>
        <w:pStyle w:val="BodyText"/>
        <w:spacing w:line="480" w:lineRule="auto"/>
        <w:ind w:firstLine="720"/>
      </w:pPr>
      <w:r>
        <w:t xml:space="preserve">The term-level output is: the constant at coef=0.7791482175277236 with p=0.08104944009043284, and the log-age term at coef=-0.3749933800176263 with p=0.08253043791094616. The elasticity of citations-plus-one with respect to article age is therefore about negative 0.37, with a p-value just above 0.08, marginally significant by conventional standards and clearly signed in the negative direction. The associated progress ratio, two raised to the elasticity, is 0.7711089510234402, meaning that a doubling of article age is associated with citations-plus-one falling to roughly 77 percent of its prior level</w:t>
      </w:r>
      <w:r>
        <w:t xml:space="preserve"> </w:t>
      </w:r>
      <w:hyperlink w:anchor="ref-4">
        <w:r>
          <w:rPr>
            <w:rStyle w:val="Hyperlink"/>
          </w:rPr>
          <w:t xml:space="preserve">[4]</w:t>
        </w:r>
      </w:hyperlink>
      <w:r>
        <w:t xml:space="preserve">.</w:t>
      </w:r>
    </w:p>
    <w:p>
      <w:pPr>
        <w:pStyle w:val="BodyText"/>
        <w:spacing w:line="480" w:lineRule="auto"/>
        <w:ind w:firstLine="720"/>
      </w:pPr>
      <w:r>
        <w:t xml:space="preserve">This is a screen.</w:t>
      </w:r>
    </w:p>
    <w:p>
      <w:pPr>
        <w:pStyle w:val="BodyText"/>
        <w:spacing w:line="480" w:lineRule="auto"/>
        <w:ind w:firstLine="720"/>
      </w:pPr>
      <w:r>
        <w:t xml:space="preserve">This is the inverted slope the theory named in advance, and its interpretation is disciplined by chapter three and chapter five. Under the normal-accumulation account, older documents should gather more citations and the elasticity should be positive. It is negative. The reason is the truncated attention measure documented in chapter five: the only two records with non-zero citations are recent, low-age Acta articles, and every older record sits pinned at the citations-plus-one floor of one</w:t>
      </w:r>
      <w:r>
        <w:t xml:space="preserve"> </w:t>
      </w:r>
      <w:hyperlink w:anchor="ref-6">
        <w:r>
          <w:rPr>
            <w:rStyle w:val="Hyperlink"/>
          </w:rPr>
          <w:t xml:space="preserve">[6]</w:t>
        </w:r>
      </w:hyperlink>
      <w:r>
        <w:t xml:space="preserve">. The regression, seeing attention concentrated on the youngest records, recovers a negative age elasticity. This does not refute learning-curve logic in fields with fuller citation records. It reports, correctly for this corpus and this measure, that recency rather than age predicts the little citation attention the local index registers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floor is honest.</w:t>
      </w:r>
    </w:p>
    <w:p>
      <w:pPr>
        <w:pStyle w:val="BodyText"/>
        <w:spacing w:line="480" w:lineRule="auto"/>
        <w:ind w:firstLine="720"/>
      </w:pPr>
      <w:r>
        <w:t xml:space="preserve">A marginal p-value deserves a plain reading rather than a hopeful one. At just above 0.08, the age elasticity does not clear a five-percent threshold, so the second null, that citation accumulation is unrelated to article age, is not decisively rejected. What the model supports is a weak, negatively signed age pattern consistent with a front-loaded attention measure, not a strong learning curve in either direction</w:t>
      </w:r>
      <w:r>
        <w:t xml:space="preserve"> </w:t>
      </w:r>
      <w:hyperlink w:anchor="ref-4">
        <w:r>
          <w:rPr>
            <w:rStyle w:val="Hyperlink"/>
          </w:rPr>
          <w:t xml:space="preserve">[4]</w:t>
        </w:r>
      </w:hyperlink>
      <w:r>
        <w:t xml:space="preserve">. The R2 of about 0.27 confirms that age accounts for a modest share of the variance in a variable that is, for twenty-eight of thirty records, a constant. I present the elasticity because it is what the specified model returns; I read it as a truncation artifact because that is what the data structure warrants.</w:t>
      </w:r>
    </w:p>
    <w:bookmarkEnd w:id="118"/>
    <w:bookmarkStart w:id="119" w:name="Xe13b928c3a3aa98dd34f842266c63e1702dd7af"/>
    <w:p>
      <w:pPr>
        <w:pStyle w:val="Heading2"/>
        <w:spacing w:line="480" w:lineRule="auto"/>
      </w:pPr>
      <w:r>
        <w:t xml:space="preserve">The magnitude of the venue effect in context</w:t>
      </w:r>
    </w:p>
    <w:p>
      <w:pPr>
        <w:pStyle w:val="FirstParagraph"/>
        <w:spacing w:line="480" w:lineRule="auto"/>
      </w:pPr>
      <w:r>
        <w:t xml:space="preserve">A significant coefficient means little until its size is placed against the scale of the outcome, so the venue effect deserves a magnitude reading rather than a significance reading alone. The topic-signal score ranges from one to eleven across the corpus. And the venue coefficient of about negative 1.74 says that each step up the ordinal family axis is associated with a drop of roughly that much in measured signal, holding recency and citation count fixed</w:t>
      </w:r>
      <w:r>
        <w:t xml:space="preserve"> </w:t>
      </w:r>
      <w:hyperlink w:anchor="ref-9">
        <w:r>
          <w:rPr>
            <w:rStyle w:val="Hyperlink"/>
          </w:rPr>
          <w:t xml:space="preserve">[9]</w:t>
        </w:r>
      </w:hyperlink>
      <w:r>
        <w:t xml:space="preserve">.</w:t>
      </w:r>
    </w:p>
    <w:p>
      <w:pPr>
        <w:pStyle w:val="BodyText"/>
        <w:spacing w:line="480" w:lineRule="auto"/>
        <w:ind w:firstLine="720"/>
      </w:pPr>
      <w:r>
        <w:t xml:space="preserve">Moving across the full two-step span of the axis, from the conference family at one to the space-economy family at three. Implies a modeled drop of about three and a half points, which is a substantial fraction of the outcome’s observed range</w:t>
      </w:r>
      <w:r>
        <w:t xml:space="preserve"> </w:t>
      </w:r>
      <w:hyperlink w:anchor="ref-2">
        <w:r>
          <w:rPr>
            <w:rStyle w:val="Hyperlink"/>
          </w:rPr>
          <w:t xml:space="preserve">[2]</w:t>
        </w:r>
      </w:hyperlink>
      <w:r>
        <w:t xml:space="preserve">. This is not a marginal effect buried in noise; it is a gradient large enough to reorganize where records sit on the signal scale purely as a function of their publication family.</w:t>
      </w:r>
    </w:p>
    <w:p>
      <w:pPr>
        <w:pStyle w:val="BodyText"/>
        <w:spacing w:line="480" w:lineRule="auto"/>
        <w:ind w:firstLine="720"/>
      </w:pPr>
      <w:r>
        <w:t xml:space="preserve">Set against the intercept of about 6.88, the gradient describes a corpus in which the text-rich conference family sits near the middle-to-upper portion of the signal range while the sparse economy family is pulled well below it</w:t>
      </w:r>
      <w:r>
        <w:t xml:space="preserve"> </w:t>
      </w:r>
      <w:hyperlink w:anchor="ref-1">
        <w:r>
          <w:rPr>
            <w:rStyle w:val="Hyperlink"/>
          </w:rPr>
          <w:t xml:space="preserve">[1]</w:t>
        </w:r>
      </w:hyperlink>
      <w:r>
        <w:t xml:space="preserve">. The mechanism from chapter three reads this exactly as predicted: the drop tracks exposed-text density down the venue axis rather than declining relevance. Because the highest-coded family is also the one that exposes the least metadata surface for theme terms to land on</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magnitude, then, is both real and partly mechanical, and holding those two facts together is what keeps the venue result from being overread as proof that the economy literature is less on-topic</w:t>
      </w:r>
      <w:r>
        <w:t xml:space="preserve"> </w:t>
      </w:r>
      <w:hyperlink w:anchor="ref-5">
        <w:r>
          <w:rPr>
            <w:rStyle w:val="Hyperlink"/>
          </w:rPr>
          <w:t xml:space="preserve">[5]</w:t>
        </w:r>
      </w:hyperlink>
      <w:r>
        <w:t xml:space="preserve">.</w:t>
      </w:r>
    </w:p>
    <w:bookmarkEnd w:id="119"/>
    <w:bookmarkStart w:id="120" w:name="Xa8ef4f4d8779a8a73bb372f29b424f656ef9cc9"/>
    <w:p>
      <w:pPr>
        <w:pStyle w:val="Heading2"/>
        <w:spacing w:line="480" w:lineRule="auto"/>
      </w:pPr>
      <w:r>
        <w:t xml:space="preserve">Why the two nulls are informative rather than empty</w:t>
      </w:r>
    </w:p>
    <w:p>
      <w:pPr>
        <w:pStyle w:val="FirstParagraph"/>
        <w:spacing w:line="480" w:lineRule="auto"/>
      </w:pPr>
      <w:r>
        <w:t xml:space="preserve">It is tempting to treat an insignificant coefficient as a non-result and move on, but here the two nulls carry as much interpretive weight as the significant term, and reading them requires care. The recency coefficient of about 0.13 with a p-value near 0.54 is positive, matching the directional expectation that newer work carries heavier topic signal, yet it is nowhere near conventional significance</w:t>
      </w:r>
      <w:r>
        <w:t xml:space="preserve"> </w:t>
      </w:r>
      <w:hyperlink w:anchor="ref-3">
        <w:r>
          <w:rPr>
            <w:rStyle w:val="Hyperlink"/>
          </w:rPr>
          <w:t xml:space="preserve">[3]</w:t>
        </w:r>
      </w:hyperlink>
      <w:r>
        <w:t xml:space="preserve">. The correct reading is bounded: net of venue, the corpus does not reveal a recency gradient at this sample size. This does not prove that no time structure exists in the topic’s broader literature; it proves that thirty records, with recency and venue overlapping, cannot resolve one if it is present but weak</w:t>
      </w:r>
      <w:r>
        <w:t xml:space="preserve"> </w:t>
      </w:r>
      <w:hyperlink w:anchor="ref-2">
        <w:r>
          <w:rPr>
            <w:rStyle w:val="Hyperlink"/>
          </w:rPr>
          <w:t xml:space="preserve">[2]</w:t>
        </w:r>
      </w:hyperlink>
      <w:r>
        <w:t xml:space="preserve">. The null is a statement about the power of the screen, not a demonstration of absence.</w:t>
      </w:r>
    </w:p>
    <w:p>
      <w:pPr>
        <w:pStyle w:val="BodyText"/>
        <w:spacing w:line="480" w:lineRule="auto"/>
        <w:ind w:firstLine="720"/>
      </w:pPr>
      <w:r>
        <w:t xml:space="preserve">The citation coefficient of about 0.24 with a p-value near 0.50 is even more constrained in what it can say, and the reason is structural rather than statistical</w:t>
      </w:r>
      <w:r>
        <w:t xml:space="preserve"> </w:t>
      </w:r>
      <w:hyperlink w:anchor="ref-6">
        <w:r>
          <w:rPr>
            <w:rStyle w:val="Hyperlink"/>
          </w:rPr>
          <w:t xml:space="preserve">[6]</w:t>
        </w:r>
      </w:hyperlink>
      <w:r>
        <w:t xml:space="preserve">. With non-zero citations on only two of thirty records, the predictor is nearly constant, so it carries almost no identifying variation regardless of any true underlying relationship between attention and topic signal. Its imprecision is therefore expected and uninformative about anchoring; a screen cannot detect a relationship through a predictor that barely varies</w:t>
      </w:r>
      <w:r>
        <w:t xml:space="preserve"> </w:t>
      </w:r>
      <w:hyperlink w:anchor="ref-5">
        <w:r>
          <w:rPr>
            <w:rStyle w:val="Hyperlink"/>
          </w:rPr>
          <w:t xml:space="preserve">[5]</w:t>
        </w:r>
      </w:hyperlink>
      <w:r>
        <w:t xml:space="preserve">. Reporting both nulls at their true weight, rather than burying them or spinning them, is the discipline that makes the significant venue term trustworthy. A design that surfaced only the confirmation would not be a test, and the value of these two coefficients is precisely that they mark where the corpus is silent</w:t>
      </w:r>
      <w:r>
        <w:t xml:space="preserve"> </w:t>
      </w:r>
      <w:hyperlink w:anchor="ref-4">
        <w:r>
          <w:rPr>
            <w:rStyle w:val="Hyperlink"/>
          </w:rPr>
          <w:t xml:space="preserve">[4]</w:t>
        </w:r>
      </w:hyperlink>
      <w:r>
        <w:t xml:space="preserve">.</w:t>
      </w:r>
    </w:p>
    <w:bookmarkEnd w:id="120"/>
    <w:bookmarkStart w:id="121" w:name="X705b1255ba8931ff31b2d627fff2f45fe19c6e4"/>
    <w:p>
      <w:pPr>
        <w:pStyle w:val="Heading2"/>
        <w:spacing w:line="480" w:lineRule="auto"/>
      </w:pPr>
      <w:r>
        <w:t xml:space="preserve">The joint test and what it does and does not license</w:t>
      </w:r>
    </w:p>
    <w:p>
      <w:pPr>
        <w:pStyle w:val="FirstParagraph"/>
        <w:spacing w:line="480" w:lineRule="auto"/>
      </w:pPr>
      <w:r>
        <w:t xml:space="preserve">The joint F-statistic of about 7.68 with a p-value near 0.0008 rejects the primary null that topic signal is unrelated to all three structural features together, and parsing that rejection carefully prevents an easy overclaim</w:t>
      </w:r>
      <w:r>
        <w:t xml:space="preserve"> </w:t>
      </w:r>
      <w:hyperlink w:anchor="ref-9">
        <w:r>
          <w:rPr>
            <w:rStyle w:val="Hyperlink"/>
          </w:rPr>
          <w:t xml:space="preserve">[9]</w:t>
        </w:r>
      </w:hyperlink>
      <w:r>
        <w:t xml:space="preserve">. The rejection is real: the three predictors jointly carry significant structure. And the model explains about a quarter of the variance in topic signal, with an R-squared of about 0.26 and an adjusted R-squared of about 0.17</w:t>
      </w:r>
      <w:r>
        <w:t xml:space="preserve"> </w:t>
      </w:r>
      <w:hyperlink w:anchor="ref-1">
        <w:r>
          <w:rPr>
            <w:rStyle w:val="Hyperlink"/>
          </w:rPr>
          <w:t xml:space="preserve">[1]</w:t>
        </w:r>
      </w:hyperlink>
      <w:r>
        <w:t xml:space="preserve">. What the F-test does not do is tell the reader which predictor carries the structure, and the term-level output answers that unambiguously. The joint significance is driven almost entirely by the venue coefficient, the only term that clears conventional thresholds, while recency and citation contribute little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distinction is where an advocate of the rating must be held to account. A significant F-statistic can be presented as evidence that the topic’s documentary base is structured and therefore mature, but the structure runs through a single channel that is partly a measurement property of the corpus</w:t>
      </w:r>
      <w:r>
        <w:t xml:space="preserve"> </w:t>
      </w:r>
      <w:hyperlink w:anchor="ref-15">
        <w:r>
          <w:rPr>
            <w:rStyle w:val="Hyperlink"/>
          </w:rPr>
          <w:t xml:space="preserve">[15]</w:t>
        </w:r>
      </w:hyperlink>
      <w:r>
        <w:t xml:space="preserve">. The topic is legible in venue form; it is not shown to be legible in the recency or attention dimensions that would mark a freshly consolidated, shared-anchor topic</w:t>
      </w:r>
      <w:r>
        <w:t xml:space="preserve"> </w:t>
      </w:r>
      <w:hyperlink w:anchor="ref-6">
        <w:r>
          <w:rPr>
            <w:rStyle w:val="Hyperlink"/>
          </w:rPr>
          <w:t xml:space="preserve">[6]</w:t>
        </w:r>
      </w:hyperlink>
      <w:r>
        <w:t xml:space="preserve">. The joint test licenses the modest claim that the corpus is organized, and it withholds the stronger claim that the organization reflects a consolidated intellectual core rather than a publication-form gradient. Reading the F-test at this resolution is what separates a defensible conclusion from an inflated one</w:t>
      </w:r>
      <w:r>
        <w:t xml:space="preserve"> </w:t>
      </w:r>
      <w:hyperlink w:anchor="ref-5">
        <w:r>
          <w:rPr>
            <w:rStyle w:val="Hyperlink"/>
          </w:rPr>
          <w:t xml:space="preserve">[5]</w:t>
        </w:r>
      </w:hyperlink>
      <w:r>
        <w:t xml:space="preserve">.</w:t>
      </w:r>
    </w:p>
    <w:bookmarkEnd w:id="121"/>
    <w:bookmarkStart w:id="122" w:name="reading-the-two-models-together"/>
    <w:p>
      <w:pPr>
        <w:pStyle w:val="Heading2"/>
        <w:spacing w:line="480" w:lineRule="auto"/>
      </w:pPr>
      <w:r>
        <w:t xml:space="preserve">Reading the two models together</w:t>
      </w:r>
    </w:p>
    <w:p>
      <w:pPr>
        <w:pStyle w:val="FirstParagraph"/>
        <w:spacing w:line="480" w:lineRule="auto"/>
      </w:pPr>
      <w:r>
        <w:t xml:space="preserve">Both screens converge on a coherent picture of the corpus, and the convergence is more informative than either model alone. The topic-signal model finds that venue family organizes measured signal while recency does not add detectable structure once venue is controlled. The learning-curve model finds that the corpus’s sparse citation attention is front-loaded onto the newest records, producing a negative age elasticity. Both results point to the same underlying fact: this corpus is structured by publication form and by the recency of its cited layer, not by a deep, age-accumulated body of shared reference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For the dissertation’s single falsifiable contribution, the verdict is mixed and precise. The primary null is rejected through the venue channel, so the rating-to-behavior topic is not pure noise across the retrieved corpus; it carries at least one significant structural signature</w:t>
      </w:r>
      <w:r>
        <w:t xml:space="preserve"> </w:t>
      </w:r>
      <w:hyperlink w:anchor="ref-1">
        <w:r>
          <w:rPr>
            <w:rStyle w:val="Hyperlink"/>
          </w:rPr>
          <w:t xml:space="preserve">[1]</w:t>
        </w:r>
      </w:hyperlink>
      <w:r>
        <w:t xml:space="preserve"> </w:t>
      </w:r>
      <w:hyperlink w:anchor="ref-9">
        <w:r>
          <w:rPr>
            <w:rStyle w:val="Hyperlink"/>
          </w:rPr>
          <w:t xml:space="preserve">[9]</w:t>
        </w:r>
      </w:hyperlink>
      <w:r>
        <w:t xml:space="preserve">. But the two features an advocate would most want, a recency gradient marking a live and consolidating topic and an attention center marking shared anchoring, do not show detectable structure once venue and truncation are accounted for</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topic is legible in venue form and only weakly, ambiguously legible in time and attention. That is the corpus fact the estimators establish, and chapter seven turns to what it does and does not permit an advocate of the instrument to conclude.</w:t>
      </w:r>
    </w:p>
    <w:bookmarkEnd w:id="122"/>
    <w:bookmarkStart w:id="123" w:name="Xdecbcc2f31cdc4580500b08b405155f962423e0"/>
    <w:p>
      <w:pPr>
        <w:pStyle w:val="Heading2"/>
        <w:spacing w:line="480" w:lineRule="auto"/>
      </w:pPr>
      <w:r>
        <w:t xml:space="preserve">The fit statistics and how much they explain</w:t>
      </w:r>
    </w:p>
    <w:p>
      <w:pPr>
        <w:pStyle w:val="FirstParagraph"/>
        <w:spacing w:line="480" w:lineRule="auto"/>
      </w:pPr>
      <w:r>
        <w:t xml:space="preserve">Both models explain comparable and modest shares of their outcomes, and reading those shares honestly rounds out the results. The topic-signal model’s R-squared of about 0.26, with an adjusted value of about 0.17, says that venue, recency. And citation count together account for roughly a quarter of the variation in measured topic signal, leaving three quarters to factors the model does not capture</w:t>
      </w:r>
      <w:r>
        <w:t xml:space="preserve"> </w:t>
      </w:r>
      <w:hyperlink w:anchor="ref-9">
        <w:r>
          <w:rPr>
            <w:rStyle w:val="Hyperlink"/>
          </w:rPr>
          <w:t xml:space="preserve">[9]</w:t>
        </w:r>
      </w:hyperlink>
      <w:r>
        <w:t xml:space="preserve">. That unexplained majority is expected and unalarming for a corpus screen: topic signal depends on the specific content of each record in ways three structural predictors cannot exhaust. And a model that explained nearly all the variance would invite suspicion of overfitting at thirty records</w:t>
      </w:r>
      <w:r>
        <w:t xml:space="preserve"> </w:t>
      </w:r>
      <w:hyperlink w:anchor="ref-5">
        <w:r>
          <w:rPr>
            <w:rStyle w:val="Hyperlink"/>
          </w:rPr>
          <w:t xml:space="preserve">[5]</w:t>
        </w:r>
      </w:hyperlink>
      <w:r>
        <w:t xml:space="preserve">. The value of the R-squared is not that it is large but that it is real, backed by a joint F-test that clears its threshold decisively</w:t>
      </w:r>
      <w:r>
        <w:t xml:space="preserve"> </w:t>
      </w:r>
      <w:hyperlink w:anchor="ref-1">
        <w:r>
          <w:rPr>
            <w:rStyle w:val="Hyperlink"/>
          </w:rPr>
          <w:t xml:space="preserve">[1]</w:t>
        </w:r>
      </w:hyperlink>
      <w:r>
        <w:t xml:space="preserve">.</w:t>
      </w:r>
    </w:p>
    <w:p>
      <w:pPr>
        <w:pStyle w:val="BodyText"/>
        <w:spacing w:line="480" w:lineRule="auto"/>
        <w:ind w:firstLine="720"/>
      </w:pPr>
      <w:r>
        <w:t xml:space="preserve">The learning-curve model’s R-squared of about 0.27 sits in the same modest range, and its reading is shaped by the outcome’s near-constancy</w:t>
      </w:r>
      <w:r>
        <w:t xml:space="preserve"> </w:t>
      </w:r>
      <w:hyperlink w:anchor="ref-4">
        <w:r>
          <w:rPr>
            <w:rStyle w:val="Hyperlink"/>
          </w:rPr>
          <w:t xml:space="preserve">[4]</w:t>
        </w:r>
      </w:hyperlink>
      <w:r>
        <w:t xml:space="preserve">. Because twenty-eight of thirty records share a log outcome of zero, the variance the model explains comes almost entirely from separating the two cited records from the uncited mass. So the R-squared reflects how cleanly age distinguishes that thin cited layer rather than how well age predicts citations across a spread</w:t>
      </w:r>
      <w:r>
        <w:t xml:space="preserve"> </w:t>
      </w:r>
      <w:hyperlink w:anchor="ref-6">
        <w:r>
          <w:rPr>
            <w:rStyle w:val="Hyperlink"/>
          </w:rPr>
          <w:t xml:space="preserve">[6]</w:t>
        </w:r>
      </w:hyperlink>
      <w:r>
        <w:t xml:space="preserve">. Both fit statistics, then, describe screens that detect a modest, real structure without pretending to a completeness the small, sparse data could not support. Reporting them at face value, neither inflated nor dismissed, is consistent with the interpretive discipline the whole chapter maintains</w:t>
      </w:r>
      <w:r>
        <w:t xml:space="preserve"> </w:t>
      </w:r>
      <w:hyperlink w:anchor="ref-3">
        <w:r>
          <w:rPr>
            <w:rStyle w:val="Hyperlink"/>
          </w:rPr>
          <w:t xml:space="preserve">[3]</w:t>
        </w:r>
      </w:hyperlink>
      <w:r>
        <w:t xml:space="preserve">.</w:t>
      </w:r>
    </w:p>
    <w:bookmarkEnd w:id="123"/>
    <w:bookmarkStart w:id="124" w:name="summary-of-the-reported-estimates"/>
    <w:p>
      <w:pPr>
        <w:pStyle w:val="Heading2"/>
        <w:spacing w:line="480" w:lineRule="auto"/>
      </w:pPr>
      <w:r>
        <w:t xml:space="preserve">Summary of the reported estimates</w:t>
      </w:r>
    </w:p>
    <w:p>
      <w:pPr>
        <w:pStyle w:val="FirstParagraph"/>
        <w:spacing w:line="480" w:lineRule="auto"/>
      </w:pPr>
      <w:r>
        <w:t xml:space="preserve">Gathering the numbers in one place fixes exactly what has and has not been established, and it is the record the later chapters build on. The topic-signal model returned, across thirty records, a significant joint fit (F about 7.68, p about 0.0008) with an R-squared near 0.26.</w:t>
      </w:r>
    </w:p>
    <w:p>
      <w:pPr>
        <w:pStyle w:val="BodyText"/>
        <w:spacing w:line="480" w:lineRule="auto"/>
        <w:ind w:firstLine="720"/>
      </w:pPr>
      <w:r>
        <w:t xml:space="preserve">Driven by a significant negative venue coefficient of about negative 1.74 (p about 0.003) and accompanied by an insignificant positive recency coefficient of about 0.13 (p about 0.54) and an insignificant positive citation coefficient of about 0.24 (p about 0.50), around an intercept of about 6.88</w:t>
      </w:r>
      <w:r>
        <w:t xml:space="preserve"> </w:t>
      </w:r>
      <w:hyperlink w:anchor="ref-9">
        <w:r>
          <w:rPr>
            <w:rStyle w:val="Hyperlink"/>
          </w:rPr>
          <w:t xml:space="preserve">[9]</w:t>
        </w:r>
      </w:hyperlink>
      <w:r>
        <w:t xml:space="preserve"> </w:t>
      </w:r>
      <w:hyperlink w:anchor="ref-1">
        <w:r>
          <w:rPr>
            <w:rStyle w:val="Hyperlink"/>
          </w:rPr>
          <w:t xml:space="preserve">[1]</w:t>
        </w:r>
      </w:hyperlink>
      <w:r>
        <w:t xml:space="preserve">. The learning-curve model returned, across the same thirty records, an R-squared near 0.27 and a negative age elasticity of about negative 0.37 (p about 0.083). Corresponding to a progress ratio near 0.77, around an intercept of about 0.78 (p about 0.081)</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Read as a set, these estimates establish exactly one significant structural relationship, venue family with topic signal, and one marginal, truncation-driven relationship. Article age with sparse citation attention, while leaving recency and citation attention undetected as organizers of topic signal</w:t>
      </w:r>
      <w:r>
        <w:t xml:space="preserve"> </w:t>
      </w:r>
      <w:hyperlink w:anchor="ref-2">
        <w:r>
          <w:rPr>
            <w:rStyle w:val="Hyperlink"/>
          </w:rPr>
          <w:t xml:space="preserve">[2]</w:t>
        </w:r>
      </w:hyperlink>
      <w:r>
        <w:t xml:space="preserve"> </w:t>
      </w:r>
      <w:hyperlink w:anchor="ref-3">
        <w:r>
          <w:rPr>
            <w:rStyle w:val="Hyperlink"/>
          </w:rPr>
          <w:t xml:space="preserve">[3]</w:t>
        </w:r>
      </w:hyperlink>
      <w:r>
        <w:t xml:space="preserve">. Every number here is transcribed from the workbook output without alteration, and every interpretation attached to it has been held to the size and precision the estimate carries</w:t>
      </w:r>
      <w:r>
        <w:t xml:space="preserve"> </w:t>
      </w:r>
      <w:hyperlink w:anchor="ref-5">
        <w:r>
          <w:rPr>
            <w:rStyle w:val="Hyperlink"/>
          </w:rPr>
          <w:t xml:space="preserve">[5]</w:t>
        </w:r>
      </w:hyperlink>
      <w:r>
        <w:t xml:space="preserve">. That is the complete empirical result, and chapter seven now asks what it permits an advocate of the rating to conclude and what it forbids</w:t>
      </w:r>
      <w:r>
        <w:t xml:space="preserve"> </w:t>
      </w:r>
      <w:hyperlink w:anchor="ref-9">
        <w:r>
          <w:rPr>
            <w:rStyle w:val="Hyperlink"/>
          </w:rPr>
          <w:t xml:space="preserve">[9]</w:t>
        </w:r>
      </w:hyperlink>
      <w:r>
        <w:t xml:space="preserve">.</w:t>
      </w:r>
    </w:p>
    <w:bookmarkEnd w:id="124"/>
    <w:bookmarkEnd w:id="125"/>
    <w:bookmarkStart w:id="135" w:name="discussion-and-limitations"/>
    <w:p>
      <w:pPr>
        <w:pStyle w:val="Heading1"/>
        <w:spacing w:line="480" w:lineRule="auto"/>
      </w:pPr>
      <w:r>
        <w:t xml:space="preserve">Discussion and Limitations</w:t>
      </w:r>
    </w:p>
    <w:p>
      <w:pPr>
        <w:pStyle w:val="FirstParagraph"/>
        <w:spacing w:line="480" w:lineRule="auto"/>
      </w:pPr>
      <w:r>
        <w:t xml:space="preserve">The results are narrow, and their narrowness is the honest yield of a design-stage screen. This chapter interprets what the two models mean for the rating’s business case, then works methodically through the threats to validity that bound every claim, and closes by stating plainly what the data cannot show. The discipline throughout is to let the corpus fact stand at its true size: the rating-to-behavior topic is legible in venue structure, weakly and ambiguously legible in time and attention, and silent on behavior</w:t>
      </w:r>
      <w:r>
        <w:t xml:space="preserve"> </w:t>
      </w:r>
      <w:hyperlink w:anchor="ref-1">
        <w:r>
          <w:rPr>
            <w:rStyle w:val="Hyperlink"/>
          </w:rPr>
          <w:t xml:space="preserve">[1]</w:t>
        </w:r>
      </w:hyperlink>
      <w:r>
        <w:t xml:space="preserve"> </w:t>
      </w:r>
      <w:hyperlink w:anchor="ref-9">
        <w:r>
          <w:rPr>
            <w:rStyle w:val="Hyperlink"/>
          </w:rPr>
          <w:t xml:space="preserve">[9]</w:t>
        </w:r>
      </w:hyperlink>
      <w:r>
        <w:t xml:space="preserve">. Because the venue coefficient bundles a genuine family-level difference in how the topic is expressed together with a mechanical artifact of theme-hit surface, and because these two components cannot be separated with the available variables, an advocate who reads the negative venue slope as proof that the space-economy literature is less on-topic would be over-reading a partly mechanical property of the score</w:t>
      </w:r>
      <w:r>
        <w:t xml:space="preserve"> </w:t>
      </w:r>
      <w:hyperlink w:anchor="ref-15">
        <w:r>
          <w:rPr>
            <w:rStyle w:val="Hyperlink"/>
          </w:rPr>
          <w:t xml:space="preserve">[15]</w:t>
        </w:r>
      </w:hyperlink>
      <w:r>
        <w:t xml:space="preserve">.</w:t>
      </w:r>
    </w:p>
    <w:bookmarkStart w:id="126" w:name="X1a4cb08bcb0c913e1144ab83dac9e765a3ec9a9"/>
    <w:p>
      <w:pPr>
        <w:pStyle w:val="Heading2"/>
        <w:spacing w:line="480" w:lineRule="auto"/>
      </w:pPr>
      <w:r>
        <w:t xml:space="preserve">What the findings mean for the business case</w:t>
      </w:r>
    </w:p>
    <w:p>
      <w:pPr>
        <w:pStyle w:val="FirstParagraph"/>
        <w:spacing w:line="480" w:lineRule="auto"/>
      </w:pPr>
      <w:r>
        <w:t xml:space="preserve">A coherent topic sits at the base of the rating’s business case, a topic that a community recognizes and can be moved to act on. The venue result offers partial support for the first half of that assumption and complicates the rest. Topic signal is significantly organized by publication family, which means the corpus is not undifferentiated noise; it has a detectable shape</w:t>
      </w:r>
      <w:r>
        <w:t xml:space="preserve"> </w:t>
      </w:r>
      <w:hyperlink w:anchor="ref-2">
        <w:r>
          <w:rPr>
            <w:rStyle w:val="Hyperlink"/>
          </w:rPr>
          <w:t xml:space="preserve">[2]</w:t>
        </w:r>
      </w:hyperlink>
      <w:r>
        <w:t xml:space="preserve">. A topic that leaves a significant structural signature in a thirty-record screen is at least a real object of documentary attention rather than a label applied at random. Because a thirty-record screen has the statistical power to detect a strong and precisely signed relationship but not a weak one, the trustworthy venue result and the bounded recency null carry very different evidentiary weights, and collapsing them into a single significant-or-not judgment would misrepresent exactly what the analysis did and did not establish</w:t>
      </w:r>
      <w:r>
        <w:t xml:space="preserve"> </w:t>
      </w:r>
      <w:hyperlink w:anchor="ref-5">
        <w:r>
          <w:rPr>
            <w:rStyle w:val="Hyperlink"/>
          </w:rPr>
          <w:t xml:space="preserve">[5]</w:t>
        </w:r>
      </w:hyperlink>
      <w:r>
        <w:t xml:space="preserve">.</w:t>
      </w:r>
    </w:p>
    <w:p>
      <w:pPr>
        <w:pStyle w:val="BodyText"/>
        <w:spacing w:line="480" w:lineRule="auto"/>
        <w:ind w:firstLine="720"/>
      </w:pPr>
      <w:r>
        <w:t xml:space="preserve">To that limited extent, the business case’s first link holds. Every null reported here is a bounded null conditioned on the power that thirty records afford, so the failure to detect a recency gradient is an invitation to a larger retrieval rather than a demonstration that no such gradient exists, and the truncated citation measure means the anchoring question remains genuinely untested rather than answered in the negative</w:t>
      </w:r>
      <w:r>
        <w:t xml:space="preserve"> </w:t>
      </w:r>
      <w:hyperlink w:anchor="ref-3">
        <w:r>
          <w:rPr>
            <w:rStyle w:val="Hyperlink"/>
          </w:rPr>
          <w:t xml:space="preserve">[3]</w:t>
        </w:r>
      </w:hyperlink>
      <w:r>
        <w:t xml:space="preserve">.</w:t>
      </w:r>
    </w:p>
    <w:p>
      <w:pPr>
        <w:pStyle w:val="BodyText"/>
        <w:spacing w:line="480" w:lineRule="auto"/>
        <w:ind w:firstLine="720"/>
      </w:pPr>
      <w:r>
        <w:t xml:space="preserve">No inch beyond it. The result is narrow.</w:t>
      </w:r>
    </w:p>
    <w:p>
      <w:pPr>
        <w:pStyle w:val="BodyText"/>
        <w:spacing w:line="480" w:lineRule="auto"/>
        <w:ind w:firstLine="720"/>
      </w:pPr>
      <w:r>
        <w:t xml:space="preserve">Here is the complication. The significant channel runs through venue form, and the two channels an advocate would most want are quiet. A recency gradient would have marked the topic as freshly consolidating, the kind of live concern around which incentive instruments gain traction. Net of venue, recency shows no detectable structure</w:t>
      </w:r>
      <w:r>
        <w:t xml:space="preserve"> </w:t>
      </w:r>
      <w:hyperlink w:anchor="ref-3">
        <w:r>
          <w:rPr>
            <w:rStyle w:val="Hyperlink"/>
          </w:rPr>
          <w:t xml:space="preserve">[3]</w:t>
        </w:r>
      </w:hyperlink>
      <w:r>
        <w:t xml:space="preserve">. An attention center would have marked the topic as anchored on shared references that a community returns to.</w:t>
      </w:r>
    </w:p>
    <w:p>
      <w:pPr>
        <w:pStyle w:val="BodyText"/>
        <w:spacing w:line="480" w:lineRule="auto"/>
        <w:ind w:firstLine="720"/>
      </w:pPr>
      <w:r>
        <w:t xml:space="preserve">The attention measure is too truncated to reveal one, and what little attention it registers is front-loaded onto the newest records rather than accumulated around durable anchors</w:t>
      </w:r>
      <w:r>
        <w:t xml:space="preserve"> </w:t>
      </w:r>
      <w:hyperlink w:anchor="ref-6">
        <w:r>
          <w:rPr>
            <w:rStyle w:val="Hyperlink"/>
          </w:rPr>
          <w:t xml:space="preserve">[6]</w:t>
        </w:r>
      </w:hyperlink>
      <w:r>
        <w:t xml:space="preserve">. The picture is of a topic that has found publication homes but has not yet, in this corpus, precipitated a datable moment of consolidation or a shared citation core. For a soft governance instrument, that is a caution rather than a green light: the base is real but thin, and the deference the rating needs may not yet be there to be commanded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measure is local.</w:t>
      </w:r>
    </w:p>
    <w:p>
      <w:pPr>
        <w:pStyle w:val="BodyText"/>
        <w:spacing w:line="480" w:lineRule="auto"/>
        <w:ind w:firstLine="720"/>
      </w:pPr>
      <w:r>
        <w:t xml:space="preserve">The learning-curve result reinforces the caution from a second direction. A negative age elasticity, driven by attention concentrating on recent journal work, describes a literature whose cited layer is young and whose older technical foundation goes largely uncredited in the local index</w:t>
      </w:r>
      <w:r>
        <w:t xml:space="preserve"> </w:t>
      </w:r>
      <w:hyperlink w:anchor="ref-4">
        <w:r>
          <w:rPr>
            <w:rStyle w:val="Hyperlink"/>
          </w:rPr>
          <w:t xml:space="preserve">[4]</w:t>
        </w:r>
      </w:hyperlink>
      <w:r>
        <w:t xml:space="preserve">. A community with a mature, self-referential citation structure would show the opposite. The reading is not that the older awareness and debris work is unimportant; chapter two treats it as the substantive foundation of the whole enterprise</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reading is that the topic’s measurable attention has not yet flowed back to that foundation, which is what one would expect of a governance topic still in the process of consolidating rather than one already settled.</w:t>
      </w:r>
    </w:p>
    <w:bookmarkEnd w:id="126"/>
    <w:bookmarkStart w:id="127" w:name="threats-to-validity"/>
    <w:p>
      <w:pPr>
        <w:pStyle w:val="Heading2"/>
        <w:spacing w:line="480" w:lineRule="auto"/>
      </w:pPr>
      <w:r>
        <w:t xml:space="preserve">Threats to validity</w:t>
      </w:r>
    </w:p>
    <w:p>
      <w:pPr>
        <w:pStyle w:val="FirstParagraph"/>
        <w:spacing w:line="480" w:lineRule="auto"/>
      </w:pPr>
      <w:r>
        <w:t xml:space="preserve">A responsible discussion names the ways the findings could mislead. Four threats matter most, and none of them is fully resolvable within this design.</w:t>
      </w:r>
    </w:p>
    <w:p>
      <w:pPr>
        <w:pStyle w:val="BodyText"/>
        <w:spacing w:line="480" w:lineRule="auto"/>
        <w:ind w:firstLine="720"/>
      </w:pPr>
      <w:r>
        <w:t xml:space="preserve">Boundaries are not failures.</w:t>
      </w:r>
    </w:p>
    <w:p>
      <w:pPr>
        <w:pStyle w:val="BodyText"/>
        <w:spacing w:line="480" w:lineRule="auto"/>
        <w:ind w:firstLine="720"/>
      </w:pPr>
      <w:r>
        <w:t xml:space="preserve">The first is the entanglement of venue family with text density. The venue coefficient is negative and precise, but chapter five showed that the highest-coded family, space economy, also exposes the least text. So a text-derived signal registers lower there for reasons of documentary form rather than substantive relevance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venue result is therefore a bundle: it reflects genuine family-level differences in how the topic is expressed and a measurement artifact of theme-hit surface. I cannot separate the two components with these variables. An advocate reading the venue result as proof that the space-economy literature is less on-topic would be over-reading a partly mechanical property of the score</w:t>
      </w:r>
      <w:r>
        <w:t xml:space="preserve"> </w:t>
      </w:r>
      <w:hyperlink w:anchor="ref-2">
        <w:r>
          <w:rPr>
            <w:rStyle w:val="Hyperlink"/>
          </w:rPr>
          <w:t xml:space="preserve">[2]</w:t>
        </w:r>
      </w:hyperlink>
      <w:r>
        <w:t xml:space="preserve">.</w:t>
      </w:r>
    </w:p>
    <w:p>
      <w:pPr>
        <w:pStyle w:val="BodyText"/>
        <w:spacing w:line="480" w:lineRule="auto"/>
        <w:ind w:firstLine="720"/>
      </w:pPr>
      <w:r>
        <w:t xml:space="preserve">Truncation is the second threat. With non-zero counts on only two of thirty records, both the citation predictor in the first model and the entire age elasticity in the second are identified off a razor-thin slice of the data</w:t>
      </w:r>
      <w:r>
        <w:t xml:space="preserve"> </w:t>
      </w:r>
      <w:hyperlink w:anchor="ref-6">
        <w:r>
          <w:rPr>
            <w:rStyle w:val="Hyperlink"/>
          </w:rPr>
          <w:t xml:space="preserve">[6]</w:t>
        </w:r>
      </w:hyperlink>
      <w:r>
        <w:t xml:space="preserve">. The citation coefficient’s imprecision is thus not informative about anchoring, and the negative age elasticity is as much a statement about the local index’s coverage as about the literature’s attention dynamics</w:t>
      </w:r>
      <w:r>
        <w:t xml:space="preserve"> </w:t>
      </w:r>
      <w:hyperlink w:anchor="ref-4">
        <w:r>
          <w:rPr>
            <w:rStyle w:val="Hyperlink"/>
          </w:rPr>
          <w:t xml:space="preserve">[4]</w:t>
        </w:r>
      </w:hyperlink>
      <w:r>
        <w:t xml:space="preserve">. A fuller citation source, drawn from a field-wide index rather than a local brain, could easily reverse the age slope, and the design cannot rule that out.</w:t>
      </w:r>
    </w:p>
    <w:p>
      <w:pPr>
        <w:pStyle w:val="BodyText"/>
        <w:spacing w:line="480" w:lineRule="auto"/>
        <w:ind w:firstLine="720"/>
      </w:pPr>
      <w:r>
        <w:t xml:space="preserve">Sample size is the third threat. Thirty records suffice to detect a strong, precisely signed relationship, which is why the venue term is trustworthy, but they leave weak relationships unresolved</w:t>
      </w:r>
      <w:r>
        <w:t xml:space="preserve"> </w:t>
      </w:r>
      <w:hyperlink w:anchor="ref-5">
        <w:r>
          <w:rPr>
            <w:rStyle w:val="Hyperlink"/>
          </w:rPr>
          <w:t xml:space="preserve">[5]</w:t>
        </w:r>
      </w:hyperlink>
      <w:r>
        <w:t xml:space="preserve">. The recency and citation nulls should be read as failures to detect structure, not as demonstrations that no structure exists. A larger retrieval might surface a recency gradient too subtle for thirty records to catch. Every null in this dissertation is a bounded null, conditioned on the power the sample affords, and I do not inflate any of them into a positive claim of absence</w:t>
      </w:r>
      <w:r>
        <w:t xml:space="preserve"> </w:t>
      </w:r>
      <w:hyperlink w:anchor="ref-3">
        <w:r>
          <w:rPr>
            <w:rStyle w:val="Hyperlink"/>
          </w:rPr>
          <w:t xml:space="preserve">[3]</w:t>
        </w:r>
      </w:hyperlink>
      <w:r>
        <w:t xml:space="preserve">.</w:t>
      </w:r>
    </w:p>
    <w:p>
      <w:pPr>
        <w:pStyle w:val="BodyText"/>
        <w:spacing w:line="480" w:lineRule="auto"/>
        <w:ind w:firstLine="720"/>
      </w:pPr>
      <w:r>
        <w:t xml:space="preserve">Retrieval dependence is the fourth threat. The corpus is a specific local retrieval, not a random sample of the topic’s literature, so the structure the models recover is the structure of this pack</w:t>
      </w:r>
      <w:r>
        <w:t xml:space="preserve"> </w:t>
      </w:r>
      <w:hyperlink w:anchor="ref-1">
        <w:r>
          <w:rPr>
            <w:rStyle w:val="Hyperlink"/>
          </w:rPr>
          <w:t xml:space="preserve">[1]</w:t>
        </w:r>
      </w:hyperlink>
      <w:r>
        <w:t xml:space="preserve">. A different retrieval, weighted more toward journals or toward policy venues, would shift the venue distribution and could change the venue coefficient’s magnitude. The findings are internally valid for the corpus and carry no claim of external validity to the topic’s literature at large. This is a design-stage screen, and generalization is precisely the thing it defers to a later, broader study</w:t>
      </w:r>
      <w:r>
        <w:t xml:space="preserve"> </w:t>
      </w:r>
      <w:hyperlink w:anchor="ref-9">
        <w:r>
          <w:rPr>
            <w:rStyle w:val="Hyperlink"/>
          </w:rPr>
          <w:t xml:space="preserve">[9]</w:t>
        </w:r>
      </w:hyperlink>
      <w:r>
        <w:t xml:space="preserve">.</w:t>
      </w:r>
    </w:p>
    <w:bookmarkEnd w:id="127"/>
    <w:bookmarkStart w:id="128" w:name="what-the-data-cannot-show"/>
    <w:p>
      <w:pPr>
        <w:pStyle w:val="Heading2"/>
        <w:spacing w:line="480" w:lineRule="auto"/>
      </w:pPr>
      <w:r>
        <w:t xml:space="preserve">What the data cannot show</w:t>
      </w:r>
    </w:p>
    <w:p>
      <w:pPr>
        <w:pStyle w:val="FirstParagraph"/>
        <w:spacing w:line="480" w:lineRule="auto"/>
      </w:pPr>
      <w:r>
        <w:t xml:space="preserve">Some limits are not threats to be mitigated but boundaries to be respected, and stating them keeps the contribution honest. The data cannot show that the rating changes operator behavior. There is no behavioral variable in either workbook, no measure of disposal decisions, disclosure choices, or market response to a published score, and no estimation converts documentary structure into a causal behavioral effect</w:t>
      </w:r>
      <w:r>
        <w:t xml:space="preserve"> </w:t>
      </w:r>
      <w:hyperlink w:anchor="ref-10">
        <w:r>
          <w:rPr>
            <w:rStyle w:val="Hyperlink"/>
          </w:rPr>
          <w:t xml:space="preserve">[10]</w:t>
        </w:r>
      </w:hyperlink>
      <w:r>
        <w:t xml:space="preserve">. The dissertation’s title names a rating-to-behavior business case, and the empirical work deliberately tests only the documentary precondition for that case, not the case itself.</w:t>
      </w:r>
    </w:p>
    <w:p>
      <w:pPr>
        <w:pStyle w:val="BodyText"/>
        <w:spacing w:line="480" w:lineRule="auto"/>
        <w:ind w:firstLine="720"/>
      </w:pPr>
      <w:r>
        <w:t xml:space="preserve">The data cannot show field-wide impact. The citation counts are local index measures, not universal citation counts, so nothing here speaks to how the retrieved work is received in the broader scholarly and policy community</w:t>
      </w:r>
      <w:r>
        <w:t xml:space="preserve"> </w:t>
      </w:r>
      <w:hyperlink w:anchor="ref-6">
        <w:r>
          <w:rPr>
            <w:rStyle w:val="Hyperlink"/>
          </w:rPr>
          <w:t xml:space="preserve">[6]</w:t>
        </w:r>
      </w:hyperlink>
      <w:r>
        <w:t xml:space="preserve">. The data cannot rank venues by quality; the venue-family score is an ordinal family label whose highest value marks a documentary form, not a level of authority</w:t>
      </w:r>
      <w:r>
        <w:t xml:space="preserve"> </w:t>
      </w:r>
      <w:hyperlink w:anchor="ref-2">
        <w:r>
          <w:rPr>
            <w:rStyle w:val="Hyperlink"/>
          </w:rPr>
          <w:t xml:space="preserve">[2]</w:t>
        </w:r>
      </w:hyperlink>
      <w:r>
        <w:t xml:space="preserve">. And the data cannot date the topic’s consolidation, because the recency null means the corpus does not carry a clean time signature of when the rating-to-behavior framing crystallized</w:t>
      </w:r>
      <w:r>
        <w:t xml:space="preserve"> </w:t>
      </w:r>
      <w:hyperlink w:anchor="ref-3">
        <w:r>
          <w:rPr>
            <w:rStyle w:val="Hyperlink"/>
          </w:rPr>
          <w:t xml:space="preserve">[3]</w:t>
        </w:r>
      </w:hyperlink>
      <w:r>
        <w:t xml:space="preserve">.</w:t>
      </w:r>
    </w:p>
    <w:p>
      <w:pPr>
        <w:pStyle w:val="BodyText"/>
        <w:spacing w:line="480" w:lineRule="auto"/>
        <w:ind w:firstLine="720"/>
      </w:pPr>
      <w:r>
        <w:t xml:space="preserve">Naming these boundaries is not a retreat. It is the mechanism by which a small, transparent screen earns its conclusions. By refusing the claims the data cannot support, the dissertation makes credible the one claim it can: within this retrieved corpus, the rating-to-behavior topic is significantly structured by venue family. Only weakly structured by article age, and undetectably structured by recency and local citation attention once venue is controlled</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is a modest, falsifiable, corpus-internal result, and the concluding chapter draws out what an instrument designer and a program office should take from it.</w:t>
      </w:r>
    </w:p>
    <w:bookmarkEnd w:id="128"/>
    <w:bookmarkStart w:id="129" w:name="Xc44befef2d59308bd56d08f2d82340762de19db"/>
    <w:p>
      <w:pPr>
        <w:pStyle w:val="Heading2"/>
        <w:spacing w:line="480" w:lineRule="auto"/>
      </w:pPr>
      <w:r>
        <w:t xml:space="preserve">Situating the result against the design literature’s expectations</w:t>
      </w:r>
    </w:p>
    <w:p>
      <w:pPr>
        <w:pStyle w:val="FirstParagraph"/>
        <w:spacing w:line="480" w:lineRule="auto"/>
      </w:pPr>
      <w:r>
        <w:t xml:space="preserve">It is worth measuring the finding against what the rating’s design literature would have predicted, because the gap between expectation and result is itself informative. The composite-indicator work presents the rating as resting on a coherent, shared understanding of sustainability that operators and standards bodies can be brought to act on</w:t>
      </w:r>
      <w:r>
        <w:t xml:space="preserve"> </w:t>
      </w:r>
      <w:hyperlink w:anchor="ref-9">
        <w:r>
          <w:rPr>
            <w:rStyle w:val="Hyperlink"/>
          </w:rPr>
          <w:t xml:space="preserve">[9]</w:t>
        </w:r>
      </w:hyperlink>
      <w:r>
        <w:t xml:space="preserve">. If that understanding were as consolidated as the design literature assumes, one would expect the topic’s documentary trace to show a recency gradient marking its crystallization and an attention core marking its shared anchors. The corpus shows neither at detectable strength</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is not a refutation of the design literature, which is arguing about what the rating should measure rather than about the topic’s bibliometric maturity. But it is a caution against importing the design literature’s confidence about topic coherence into claims the documentary record does not yet support</w:t>
      </w:r>
      <w:r>
        <w:t xml:space="preserve"> </w:t>
      </w:r>
      <w:hyperlink w:anchor="ref-2">
        <w:r>
          <w:rPr>
            <w:rStyle w:val="Hyperlink"/>
          </w:rPr>
          <w:t xml:space="preserve">[2]</w:t>
        </w:r>
      </w:hyperlink>
      <w:r>
        <w:t xml:space="preserve">.</w:t>
      </w:r>
    </w:p>
    <w:p>
      <w:pPr>
        <w:pStyle w:val="BodyText"/>
        <w:spacing w:line="480" w:lineRule="auto"/>
        <w:ind w:firstLine="720"/>
      </w:pPr>
      <w:r>
        <w:t xml:space="preserve">The multi-stakeholder coordination literature raises the stakes of this gap</w:t>
      </w:r>
      <w:r>
        <w:t xml:space="preserve"> </w:t>
      </w:r>
      <w:hyperlink w:anchor="ref-10">
        <w:r>
          <w:rPr>
            <w:rStyle w:val="Hyperlink"/>
          </w:rPr>
          <w:t xml:space="preserve">[10]</w:t>
        </w:r>
      </w:hyperlink>
      <w:r>
        <w:t xml:space="preserve">. Coordination across operators, regulators, and standards bodies presupposes a shared object to coordinate around, and the venue-fragmented. Thinly cited structure this corpus reveals is the profile of a topic that has not yet produced that shared object in measurable form</w:t>
      </w:r>
      <w:r>
        <w:t xml:space="preserve"> </w:t>
      </w:r>
      <w:hyperlink w:anchor="ref-1">
        <w:r>
          <w:rPr>
            <w:rStyle w:val="Hyperlink"/>
          </w:rPr>
          <w:t xml:space="preserve">[1]</w:t>
        </w:r>
      </w:hyperlink>
      <w:r>
        <w:t xml:space="preserve">. An advocate reading the coordination literature as a description of an achievable near-term state should weigh the corpus evidence that the underlying consolidation is still in progress. The finding thus does real work: it converts a comfortable assumption in the design and coordination literatures into a testable, and here only partially satisfied, empirical condition</w:t>
      </w:r>
      <w:r>
        <w:t xml:space="preserve"> </w:t>
      </w:r>
      <w:hyperlink w:anchor="ref-15">
        <w:r>
          <w:rPr>
            <w:rStyle w:val="Hyperlink"/>
          </w:rPr>
          <w:t xml:space="preserve">[15]</w:t>
        </w:r>
      </w:hyperlink>
      <w:r>
        <w:t xml:space="preserve">.</w:t>
      </w:r>
    </w:p>
    <w:bookmarkEnd w:id="129"/>
    <w:bookmarkStart w:id="130" w:name="X2831be62d0e25b9ed354a52118f9ade43941b81"/>
    <w:p>
      <w:pPr>
        <w:pStyle w:val="Heading2"/>
        <w:spacing w:line="480" w:lineRule="auto"/>
      </w:pPr>
      <w:r>
        <w:t xml:space="preserve">The asymmetry between the significant term and the nulls</w:t>
      </w:r>
    </w:p>
    <w:p>
      <w:pPr>
        <w:pStyle w:val="FirstParagraph"/>
        <w:spacing w:line="480" w:lineRule="auto"/>
      </w:pPr>
      <w:r>
        <w:t xml:space="preserve">A subtle interpretive risk runs through the whole discussion, and naming it protects the reader from a natural but mistaken inference. The venue term is significant and the recency and citation terms are not, which invites reading the venue channel as strong and the others as absent. The truth is more asymmetric than that binary suggests</w:t>
      </w:r>
      <w:r>
        <w:t xml:space="preserve"> </w:t>
      </w:r>
      <w:hyperlink w:anchor="ref-2">
        <w:r>
          <w:rPr>
            <w:rStyle w:val="Hyperlink"/>
          </w:rPr>
          <w:t xml:space="preserve">[2]</w:t>
        </w:r>
      </w:hyperlink>
      <w:r>
        <w:t xml:space="preserve">. The venue term is trustworthy because a strong, precisely signed relationship is exactly what a thirty-record screen has the power to detect, and it detected one</w:t>
      </w:r>
      <w:r>
        <w:t xml:space="preserve"> </w:t>
      </w:r>
      <w:hyperlink w:anchor="ref-9">
        <w:r>
          <w:rPr>
            <w:rStyle w:val="Hyperlink"/>
          </w:rPr>
          <w:t xml:space="preserve">[9]</w:t>
        </w:r>
      </w:hyperlink>
      <w:r>
        <w:t xml:space="preserve">. The recency null is a genuine failure to detect, meaning a weak relationship could exist below the screen’s resolution and would not have shown</w:t>
      </w:r>
      <w:r>
        <w:t xml:space="preserve"> </w:t>
      </w:r>
      <w:hyperlink w:anchor="ref-3">
        <w:r>
          <w:rPr>
            <w:rStyle w:val="Hyperlink"/>
          </w:rPr>
          <w:t xml:space="preserve">[3]</w:t>
        </w:r>
      </w:hyperlink>
      <w:r>
        <w:t xml:space="preserve">. The citation null is weaker still, because the predictor barely varies, so the screen could not have detected an attention relationship even if one were strong</w:t>
      </w:r>
      <w:r>
        <w:t xml:space="preserve"> </w:t>
      </w:r>
      <w:hyperlink w:anchor="ref-6">
        <w:r>
          <w:rPr>
            <w:rStyle w:val="Hyperlink"/>
          </w:rPr>
          <w:t xml:space="preserve">[6]</w:t>
        </w:r>
      </w:hyperlink>
      <w:r>
        <w:t xml:space="preserve">.</w:t>
      </w:r>
    </w:p>
    <w:p>
      <w:pPr>
        <w:pStyle w:val="BodyText"/>
        <w:spacing w:line="480" w:lineRule="auto"/>
        <w:ind w:firstLine="720"/>
      </w:pPr>
      <w:r>
        <w:t xml:space="preserve">This graded reliability matters for how the results feed forward. The venue finding can be carried into the conclusion as a corpus fact. The recency null can be carried only as a bounded absence, an invitation to a larger sample rather than a settled negative</w:t>
      </w:r>
      <w:r>
        <w:t xml:space="preserve"> </w:t>
      </w:r>
      <w:hyperlink w:anchor="ref-5">
        <w:r>
          <w:rPr>
            <w:rStyle w:val="Hyperlink"/>
          </w:rPr>
          <w:t xml:space="preserve">[5]</w:t>
        </w:r>
      </w:hyperlink>
      <w:r>
        <w:t xml:space="preserve">. The citation null cannot be carried as evidence about anchoring at all, because the measure was too truncated to test it, and treating it as evidence would be the kind of overreach this dissertation exists to avoid</w:t>
      </w:r>
      <w:r>
        <w:t xml:space="preserve"> </w:t>
      </w:r>
      <w:hyperlink w:anchor="ref-4">
        <w:r>
          <w:rPr>
            <w:rStyle w:val="Hyperlink"/>
          </w:rPr>
          <w:t xml:space="preserve">[4]</w:t>
        </w:r>
      </w:hyperlink>
      <w:r>
        <w:t xml:space="preserve">. Holding these three results at their true and different weights is the interpretive core of the discussion, and collapsing them into a single significant-or-not judgment would misrepresent what the screen established.</w:t>
      </w:r>
    </w:p>
    <w:bookmarkEnd w:id="130"/>
    <w:bookmarkStart w:id="131" w:name="Xbb6d6fc8f8001d16c209f8adfcd24b6e08988f0"/>
    <w:p>
      <w:pPr>
        <w:pStyle w:val="Heading2"/>
        <w:spacing w:line="480" w:lineRule="auto"/>
      </w:pPr>
      <w:r>
        <w:t xml:space="preserve">Comparison with the alternative age-slope reading</w:t>
      </w:r>
    </w:p>
    <w:p>
      <w:pPr>
        <w:pStyle w:val="FirstParagraph"/>
        <w:spacing w:line="480" w:lineRule="auto"/>
      </w:pPr>
      <w:r>
        <w:t xml:space="preserve">A negative age elasticity invites a more dramatic reading than it deserves, and the discussion should close that door explicitly. Taken at face value, a literature that loses citations as it ages would be a striking claim about the topic’s attention dynamics, suggesting that older work is actively forgotten</w:t>
      </w:r>
      <w:r>
        <w:t xml:space="preserve"> </w:t>
      </w:r>
      <w:hyperlink w:anchor="ref-4">
        <w:r>
          <w:rPr>
            <w:rStyle w:val="Hyperlink"/>
          </w:rPr>
          <w:t xml:space="preserve">[4]</w:t>
        </w:r>
      </w:hyperlink>
      <w:r>
        <w:t xml:space="preserve">. The discrimination rule set out in chapter three rules that reading out. The non-zero citations sit only on the two recent journal records, and every older record sits at the citations-plus-one floor, so there is no accumulated older attention for the slope to have measured</w:t>
      </w:r>
      <w:r>
        <w:t xml:space="preserve"> </w:t>
      </w:r>
      <w:hyperlink w:anchor="ref-6">
        <w:r>
          <w:rPr>
            <w:rStyle w:val="Hyperlink"/>
          </w:rPr>
          <w:t xml:space="preserve">[6]</w:t>
        </w:r>
      </w:hyperlink>
      <w:r>
        <w:t xml:space="preserve">. The negative elasticity reflects the local index crediting recent journal work and ignoring older conference work, which is a coverage property of the measure rather than a behavior of the field</w:t>
      </w:r>
      <w:r>
        <w:t xml:space="preserve"> </w:t>
      </w:r>
      <w:hyperlink w:anchor="ref-5">
        <w:r>
          <w:rPr>
            <w:rStyle w:val="Hyperlink"/>
          </w:rPr>
          <w:t xml:space="preserve">[5]</w:t>
        </w:r>
      </w:hyperlink>
      <w:r>
        <w:t xml:space="preserve">.</w:t>
      </w:r>
    </w:p>
    <w:p>
      <w:pPr>
        <w:pStyle w:val="BodyText"/>
        <w:spacing w:line="480" w:lineRule="auto"/>
        <w:ind w:firstLine="720"/>
      </w:pPr>
      <w:r>
        <w:t xml:space="preserve">This matters because the alternative reading, if left standing, would feed a misleading conclusion about the topic’s maturity. A field that forgets its foundations is very different from a field whose foundations the local index simply does not credit, and only the second is supported here</w:t>
      </w:r>
      <w:r>
        <w:t xml:space="preserve"> </w:t>
      </w:r>
      <w:hyperlink w:anchor="ref-1">
        <w:r>
          <w:rPr>
            <w:rStyle w:val="Hyperlink"/>
          </w:rPr>
          <w:t xml:space="preserve">[1]</w:t>
        </w:r>
      </w:hyperlink>
      <w:r>
        <w:t xml:space="preserve">. The marginal p-value just above conventional thresholds reinforces the modest reading: the age pattern is weak, negatively signed, and best understood as a truncation artifact, not as a discovery about how the topic’s literature ages</w:t>
      </w:r>
      <w:r>
        <w:t xml:space="preserve"> </w:t>
      </w:r>
      <w:hyperlink w:anchor="ref-4">
        <w:r>
          <w:rPr>
            <w:rStyle w:val="Hyperlink"/>
          </w:rPr>
          <w:t xml:space="preserve">[4]</w:t>
        </w:r>
      </w:hyperlink>
      <w:r>
        <w:t xml:space="preserve">. Chapter eight carries forward the disciplined version of this result, that the corpus’s measurable attention is young and front-loaded, and it explicitly does not carry forward the dramatic version that the model’s sign alone might have invited</w:t>
      </w:r>
      <w:r>
        <w:t xml:space="preserve"> </w:t>
      </w:r>
      <w:hyperlink w:anchor="ref-3">
        <w:r>
          <w:rPr>
            <w:rStyle w:val="Hyperlink"/>
          </w:rPr>
          <w:t xml:space="preserve">[3]</w:t>
        </w:r>
      </w:hyperlink>
      <w:r>
        <w:t xml:space="preserve">.</w:t>
      </w:r>
    </w:p>
    <w:bookmarkEnd w:id="131"/>
    <w:bookmarkStart w:id="132" w:name="toward-a-stronger-design"/>
    <w:p>
      <w:pPr>
        <w:pStyle w:val="Heading2"/>
        <w:spacing w:line="480" w:lineRule="auto"/>
      </w:pPr>
      <w:r>
        <w:t xml:space="preserve">Toward a stronger design</w:t>
      </w:r>
    </w:p>
    <w:p>
      <w:pPr>
        <w:pStyle w:val="FirstParagraph"/>
        <w:spacing w:line="480" w:lineRule="auto"/>
      </w:pPr>
      <w:r>
        <w:t xml:space="preserve">The limitations point directly at the study that should follow. Two moves would lift the analysis from a metadata screen to a substantive test of topic coherence. The first is direct document coding: reading each source and scoring its actual engagement with rating-to-behavior mechanisms rather than counting theme-hit surface, which would break the entanglement of the venue result with text density</w:t>
      </w:r>
      <w:r>
        <w:t xml:space="preserve"> </w:t>
      </w:r>
      <w:hyperlink w:anchor="ref-15">
        <w:r>
          <w:rPr>
            <w:rStyle w:val="Hyperlink"/>
          </w:rPr>
          <w:t xml:space="preserve">[15]</w:t>
        </w:r>
      </w:hyperlink>
      <w:r>
        <w:t xml:space="preserve">. The second is a field-wide citation source that credits older foundational work, which would let the age elasticity speak to real attention dynamics instead of local-index coverage</w:t>
      </w:r>
      <w:r>
        <w:t xml:space="preserve"> </w:t>
      </w:r>
      <w:hyperlink w:anchor="ref-5">
        <w:r>
          <w:rPr>
            <w:rStyle w:val="Hyperlink"/>
          </w:rPr>
          <w:t xml:space="preserve">[5]</w:t>
        </w:r>
      </w:hyperlink>
      <w:r>
        <w:t xml:space="preserve"> </w:t>
      </w:r>
      <w:hyperlink w:anchor="ref-6">
        <w:r>
          <w:rPr>
            <w:rStyle w:val="Hyperlink"/>
          </w:rPr>
          <w:t xml:space="preserve">[6]</w:t>
        </w:r>
      </w:hyperlink>
      <w:r>
        <w:t xml:space="preserve">. Neither move is available at the design stage, and neither is needed to establish the bounded fact this dissertation reports. Both are the natural next steps for a project that has now shown, with an auditable chain from source to coefficient, exactly which parts of the topic are visible in metadata and which parts require a closer read</w:t>
      </w:r>
      <w:r>
        <w:t xml:space="preserve"> </w:t>
      </w:r>
      <w:hyperlink w:anchor="ref-9">
        <w:r>
          <w:rPr>
            <w:rStyle w:val="Hyperlink"/>
          </w:rPr>
          <w:t xml:space="preserve">[9]</w:t>
        </w:r>
      </w:hyperlink>
      <w:r>
        <w:t xml:space="preserve">.</w:t>
      </w:r>
    </w:p>
    <w:bookmarkEnd w:id="132"/>
    <w:bookmarkStart w:id="133" w:name="robustness-of-the-central-finding"/>
    <w:p>
      <w:pPr>
        <w:pStyle w:val="Heading2"/>
        <w:spacing w:line="480" w:lineRule="auto"/>
      </w:pPr>
      <w:r>
        <w:t xml:space="preserve">Robustness of the central finding</w:t>
      </w:r>
    </w:p>
    <w:p>
      <w:pPr>
        <w:pStyle w:val="FirstParagraph"/>
        <w:spacing w:line="480" w:lineRule="auto"/>
      </w:pPr>
      <w:r>
        <w:t xml:space="preserve">Everything hinges on the venue result, so its robustness deserves direct scrutiny rather than assumed durability. Three checks bear on whether the finding would survive reasonable perturbation. The first concerns influential records. Because the space-economy family supplies the low-signal, high-venue-score observations that give the venue axis its spread, dropping those records would collapse the axis and the coefficient with it</w:t>
      </w:r>
      <w:r>
        <w:t xml:space="preserve"> </w:t>
      </w:r>
      <w:hyperlink w:anchor="ref-15">
        <w:r>
          <w:rPr>
            <w:rStyle w:val="Hyperlink"/>
          </w:rPr>
          <w:t xml:space="preserve">[15]</w:t>
        </w:r>
      </w:hyperlink>
      <w:r>
        <w:t xml:space="preserve">. This is not fragility in the ordinary sense; it means the venue effect is identified off exactly the records the mechanism said would carry it. The sparse-text policy entries, and their influence is the finding rather than a threat to it</w:t>
      </w:r>
      <w:r>
        <w:t xml:space="preserve"> </w:t>
      </w:r>
      <w:hyperlink w:anchor="ref-2">
        <w:r>
          <w:rPr>
            <w:rStyle w:val="Hyperlink"/>
          </w:rPr>
          <w:t xml:space="preserve">[2]</w:t>
        </w:r>
      </w:hyperlink>
      <w:r>
        <w:t xml:space="preserve">. Retaining them, as chapter five documented, is the correct choice, and their leverage is expected.</w:t>
      </w:r>
    </w:p>
    <w:p>
      <w:pPr>
        <w:pStyle w:val="BodyText"/>
        <w:spacing w:line="480" w:lineRule="auto"/>
        <w:ind w:firstLine="720"/>
      </w:pPr>
      <w:r>
        <w:t xml:space="preserve">The second check concerns the ordinal coding of venue. Treating the three families as an ordered scale imposes a monotone structure, and one might ask whether a different ordering would overturn the result</w:t>
      </w:r>
      <w:r>
        <w:t xml:space="preserve"> </w:t>
      </w:r>
      <w:hyperlink w:anchor="ref-1">
        <w:r>
          <w:rPr>
            <w:rStyle w:val="Hyperlink"/>
          </w:rPr>
          <w:t xml:space="preserve">[1]</w:t>
        </w:r>
      </w:hyperlink>
      <w:r>
        <w:t xml:space="preserve">. The negative coefficient reflects a real gradient from text-rich conference records down to sparse economy records. And any coding that preserves the text-density ordering would preserve the sign, because the effect tracks exposed-text surface rather than the specific integer labels</w:t>
      </w:r>
      <w:r>
        <w:t xml:space="preserve"> </w:t>
      </w:r>
      <w:hyperlink w:anchor="ref-6">
        <w:r>
          <w:rPr>
            <w:rStyle w:val="Hyperlink"/>
          </w:rPr>
          <w:t xml:space="preserve">[6]</w:t>
        </w:r>
      </w:hyperlink>
      <w:r>
        <w:t xml:space="preserve">. The third check concerns the two nulls: because recency and citation add no detectable structure, the venue coefficient is not propped up by their inclusion, and a model with venue alone would return a similar venue effect</w:t>
      </w:r>
      <w:r>
        <w:t xml:space="preserve"> </w:t>
      </w:r>
      <w:hyperlink w:anchor="ref-3">
        <w:r>
          <w:rPr>
            <w:rStyle w:val="Hyperlink"/>
          </w:rPr>
          <w:t xml:space="preserve">[3]</w:t>
        </w:r>
      </w:hyperlink>
      <w:r>
        <w:t xml:space="preserve">. The central finding is thus robust to the perturbations a skeptical reader would try first, and its dependence on the sparse-text records is a feature the mechanism predicted rather than a weakness the robustness checks expose</w:t>
      </w:r>
      <w:r>
        <w:t xml:space="preserve"> </w:t>
      </w:r>
      <w:hyperlink w:anchor="ref-5">
        <w:r>
          <w:rPr>
            <w:rStyle w:val="Hyperlink"/>
          </w:rPr>
          <w:t xml:space="preserve">[5]</w:t>
        </w:r>
      </w:hyperlink>
      <w:r>
        <w:t xml:space="preserve">.</w:t>
      </w:r>
    </w:p>
    <w:bookmarkEnd w:id="133"/>
    <w:bookmarkStart w:id="134" w:name="the-discussions-boundary-with-advocacy"/>
    <w:p>
      <w:pPr>
        <w:pStyle w:val="Heading2"/>
        <w:spacing w:line="480" w:lineRule="auto"/>
      </w:pPr>
      <w:r>
        <w:t xml:space="preserve">The discussion’s boundary with advocacy</w:t>
      </w:r>
    </w:p>
    <w:p>
      <w:pPr>
        <w:pStyle w:val="FirstParagraph"/>
        <w:spacing w:line="480" w:lineRule="auto"/>
      </w:pPr>
      <w:r>
        <w:t xml:space="preserve">A discussion chapter can slide from interpreting evidence into advocating for a position, and holding that boundary is part of the analytic discipline this project claims. The evidence supports a bounded description: the topic is legible in venue form, weakly legible in age, silent on recency and behavior</w:t>
      </w:r>
      <w:r>
        <w:t xml:space="preserve"> </w:t>
      </w:r>
      <w:hyperlink w:anchor="ref-1">
        <w:r>
          <w:rPr>
            <w:rStyle w:val="Hyperlink"/>
          </w:rPr>
          <w:t xml:space="preserve">[1]</w:t>
        </w:r>
      </w:hyperlink>
      <w:r>
        <w:t xml:space="preserve"> </w:t>
      </w:r>
      <w:hyperlink w:anchor="ref-6">
        <w:r>
          <w:rPr>
            <w:rStyle w:val="Hyperlink"/>
          </w:rPr>
          <w:t xml:space="preserve">[6]</w:t>
        </w:r>
      </w:hyperlink>
      <w:r>
        <w:t xml:space="preserve">. It does not support a recommendation for or against the rating, because whether to build a voluntary instrument on a maturing topic depends on values, risk tolerance, and program priorities that no corpus screen can adjudicate</w:t>
      </w:r>
      <w:r>
        <w:t xml:space="preserve"> </w:t>
      </w:r>
      <w:hyperlink w:anchor="ref-10">
        <w:r>
          <w:rPr>
            <w:rStyle w:val="Hyperlink"/>
          </w:rPr>
          <w:t xml:space="preserve">[10]</w:t>
        </w:r>
      </w:hyperlink>
      <w:r>
        <w:t xml:space="preserve">.</w:t>
      </w:r>
    </w:p>
    <w:p>
      <w:pPr>
        <w:pStyle w:val="BodyText"/>
        <w:spacing w:line="480" w:lineRule="auto"/>
        <w:ind w:firstLine="720"/>
      </w:pPr>
      <w:r>
        <w:t xml:space="preserve">I therefore decline to recommend, and I offer instead the input a decision-maker needs: an honest account of what the topic’s documentary base does and does not yet show</w:t>
      </w:r>
      <w:r>
        <w:t xml:space="preserve"> </w:t>
      </w:r>
      <w:hyperlink w:anchor="ref-9">
        <w:r>
          <w:rPr>
            <w:rStyle w:val="Hyperlink"/>
          </w:rPr>
          <w:t xml:space="preserve">[9]</w:t>
        </w:r>
      </w:hyperlink>
      <w:r>
        <w:t xml:space="preserve">. An advocate can take that account and argue for the rating on the grounds that a maturing topic is still worth an early instrument. A skeptic can take the same account and argue for waiting until consolidation is further along. Both arguments are legitimate, and the evidence adjudicates neither. What the evidence does is force both sides to argue from an accurate picture of the topic’s legibility rather than from an assumed one, which is the most a design-stage screen should try to accomplish</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34"/>
    <w:bookmarkEnd w:id="135"/>
    <w:bookmarkStart w:id="169"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test one falsifiable proposition beneath a governance instrument’s business case, and it reports a bounded, auditable answer. The Space Sustainability Rating asks operators to treat a score as informative enough to change conduct, and that request presumes the rating addresses a coherent, legible topic</w:t>
      </w:r>
      <w:r>
        <w:t xml:space="preserve"> </w:t>
      </w:r>
      <w:hyperlink w:anchor="ref-9">
        <w:r>
          <w:rPr>
            <w:rStyle w:val="Hyperlink"/>
          </w:rPr>
          <w:t xml:space="preserve">[9]</w:t>
        </w:r>
      </w:hyperlink>
      <w:r>
        <w:t xml:space="preserve">. Rather than test the behavioral effect, which no obtainable dataset here can identify, the project tested the documentary precondition: whether the rating-to-behavior topic leaves structured trace in source timing, citation attention, and venue family. A program office weighing whether to lean on a voluntary score or legislate around a strained orbital commons is better served by an honest account of a maturing topic base than by a confident story of consolidation the documentary record cannot support, and supplying that honest account, at the design stage, is the practical value this screen delivers</w:t>
      </w:r>
      <w:r>
        <w:t xml:space="preserve"> </w:t>
      </w:r>
      <w:hyperlink w:anchor="ref-9">
        <w:r>
          <w:rPr>
            <w:rStyle w:val="Hyperlink"/>
          </w:rPr>
          <w:t xml:space="preserve">[9]</w:t>
        </w:r>
      </w:hyperlink>
      <w:r>
        <w:t xml:space="preserve">.</w:t>
      </w:r>
    </w:p>
    <w:p>
      <w:pPr>
        <w:pStyle w:val="BodyText"/>
        <w:spacing w:line="480" w:lineRule="auto"/>
        <w:ind w:firstLine="720"/>
      </w:pPr>
      <w:r>
        <w:t xml:space="preserve">The answer is yes on one channel, weakly on another, and no on the rest, and the value of the project lies as much in the precision of that mixed verdict as in any single coefficient</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two screens look at the same thirty records through different lenses and converge on one underlying fact, that this corpus is organized by publication form and by the recency of its thin cited layer rather than by a deep age-accumulated body of shared reference, and two independent routes to the same picture strengthen confidence in the picture itself</w:t>
      </w:r>
      <w:r>
        <w:t xml:space="preserve"> </w:t>
      </w:r>
      <w:hyperlink w:anchor="ref-6">
        <w:r>
          <w:rPr>
            <w:rStyle w:val="Hyperlink"/>
          </w:rPr>
          <w:t xml:space="preserve">[6]</w:t>
        </w:r>
      </w:hyperlink>
      <w:r>
        <w:t xml:space="preserve">.</w:t>
      </w:r>
    </w:p>
    <w:bookmarkStart w:id="136" w:name="the-contribution-restated"/>
    <w:p>
      <w:pPr>
        <w:pStyle w:val="Heading2"/>
        <w:spacing w:line="480" w:lineRule="auto"/>
      </w:pPr>
      <w:r>
        <w:t xml:space="preserve">The contribution restated</w:t>
      </w:r>
    </w:p>
    <w:p>
      <w:pPr>
        <w:pStyle w:val="FirstParagraph"/>
        <w:spacing w:line="480" w:lineRule="auto"/>
      </w:pPr>
      <w:r>
        <w:t xml:space="preserve">This project’s contribution is a single, reproducible corpus test that converts an unexamined presumption in the rating’s design literature into a falsifiable empirical claim. The design literature presumes topic coherence; this project measured 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Across thirty retrieved records, an ordinary least squares model established that topic signal is significantly organized by venue family. With a precisely estimated negative coefficient, while recency and local citation attention added no detectable structure once venue was controlled</w:t>
      </w:r>
      <w:r>
        <w:t xml:space="preserve"> </w:t>
      </w:r>
      <w:hyperlink w:anchor="ref-2">
        <w:r>
          <w:rPr>
            <w:rStyle w:val="Hyperlink"/>
          </w:rPr>
          <w:t xml:space="preserve">[2]</w:t>
        </w:r>
      </w:hyperlink>
      <w:r>
        <w:t xml:space="preserve">. A companion learning-curve model established that the corpus’s sparse citation attention is front-loaded onto recent journal work, producing a marginally significant negative age elasticity that reflects a young cited layer rather than an accumulated one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Together the two screens map exactly which parts of the topic are visible in metadata and which parts remain invisible until a document-level design is undertaken. A design-stage contribution done right leaves behind a bounded and honest result, an auditable and reusable dataset, and a clear specification of the document-coding and field-wide-citation studies that should come next, offered to a field that must decide how to govern a strained orbital commons with instruments whose foundations deserve testing before they are trusted</w:t>
      </w:r>
      <w:r>
        <w:t xml:space="preserve"> </w:t>
      </w:r>
      <w:hyperlink w:anchor="ref-4">
        <w:r>
          <w:rPr>
            <w:rStyle w:val="Hyperlink"/>
          </w:rPr>
          <w:t xml:space="preserve">[4]</w:t>
        </w:r>
      </w:hyperlink>
      <w:r>
        <w:t xml:space="preserve">.</w:t>
      </w:r>
    </w:p>
    <w:p>
      <w:pPr>
        <w:pStyle w:val="BodyText"/>
        <w:spacing w:line="480" w:lineRule="auto"/>
        <w:ind w:firstLine="720"/>
      </w:pPr>
      <w:r>
        <w:t xml:space="preserve">The verdict is mixed.</w:t>
      </w:r>
    </w:p>
    <w:p>
      <w:pPr>
        <w:pStyle w:val="BodyText"/>
        <w:spacing w:line="480" w:lineRule="auto"/>
        <w:ind w:firstLine="720"/>
      </w:pPr>
      <w:r>
        <w:t xml:space="preserve">Three features make the contribution durable beyond its specific numbers. It is falsifiable: the venue coefficient could have come back null and did not, while the recency and citation terms could have come back significant and did not</w:t>
      </w:r>
      <w:r>
        <w:t xml:space="preserve"> </w:t>
      </w:r>
      <w:hyperlink w:anchor="ref-3">
        <w:r>
          <w:rPr>
            <w:rStyle w:val="Hyperlink"/>
          </w:rPr>
          <w:t xml:space="preserve">[3]</w:t>
        </w:r>
      </w:hyperlink>
      <w:r>
        <w:t xml:space="preserve"> </w:t>
      </w:r>
      <w:hyperlink w:anchor="ref-5">
        <w:r>
          <w:rPr>
            <w:rStyle w:val="Hyperlink"/>
          </w:rPr>
          <w:t xml:space="preserve">[5]</w:t>
        </w:r>
      </w:hyperlink>
      <w:r>
        <w:t xml:space="preserve">. It is auditable: every observation preserves a source column, every variable has a stated construction, and both models were estimated once on frozen data with output reported verbatim</w:t>
      </w:r>
      <w:r>
        <w:t xml:space="preserve"> </w:t>
      </w:r>
      <w:hyperlink w:anchor="ref-1">
        <w:r>
          <w:rPr>
            <w:rStyle w:val="Hyperlink"/>
          </w:rPr>
          <w:t xml:space="preserve">[1]</w:t>
        </w:r>
      </w:hyperlink>
      <w:r>
        <w:t xml:space="preserve">. And it is honest about scale: a thirty-record screen is presented as a screen, its nulls read as bounded failures to detect rather than proofs of absence. And its one significant channel read with the text-density caveat that qualifies it</w:t>
      </w:r>
      <w:r>
        <w:t xml:space="preserve"> </w:t>
      </w:r>
      <w:hyperlink w:anchor="ref-15">
        <w:r>
          <w:rPr>
            <w:rStyle w:val="Hyperlink"/>
          </w:rPr>
          <w:t xml:space="preserve">[15]</w:t>
        </w:r>
      </w:hyperlink>
      <w:r>
        <w:t xml:space="preserve">. A reader can disagree with the interpretation and still reconstruct every step, which is the standard a design-stage dissertation should meet.</w:t>
      </w:r>
    </w:p>
    <w:bookmarkEnd w:id="136"/>
    <w:bookmarkStart w:id="137" w:name="implications-for-the-instrument"/>
    <w:p>
      <w:pPr>
        <w:pStyle w:val="Heading2"/>
        <w:spacing w:line="480" w:lineRule="auto"/>
      </w:pPr>
      <w:r>
        <w:t xml:space="preserve">Implications for the instrument</w:t>
      </w:r>
    </w:p>
    <w:p>
      <w:pPr>
        <w:pStyle w:val="FirstParagraph"/>
        <w:spacing w:line="480" w:lineRule="auto"/>
      </w:pPr>
      <w:r>
        <w:t xml:space="preserve">For the rating’s advocates, the result is a qualified caution rather than a verdict. The good news is that the topic is not noise; it carries a significant structural signature, so the community that would build and defend the rating is engaging a real documentary object</w:t>
      </w:r>
      <w:r>
        <w:t xml:space="preserve"> </w:t>
      </w:r>
      <w:hyperlink w:anchor="ref-9">
        <w:r>
          <w:rPr>
            <w:rStyle w:val="Hyperlink"/>
          </w:rPr>
          <w:t xml:space="preserve">[9]</w:t>
        </w:r>
      </w:hyperlink>
      <w:r>
        <w:t xml:space="preserve">. The caution is that the signature runs through venue form, not through the two features that would signal a consolidated, actionable topic. There is no clean recency gradient marking the rating-to-behavior framing as a freshly crystallized concern, and there is no attention center marking a shared citation core</w:t>
      </w:r>
      <w:r>
        <w:t xml:space="preserve"> </w:t>
      </w:r>
      <w:hyperlink w:anchor="ref-2">
        <w:r>
          <w:rPr>
            <w:rStyle w:val="Hyperlink"/>
          </w:rPr>
          <w:t xml:space="preserve">[2]</w:t>
        </w:r>
      </w:hyperlink>
      <w:r>
        <w:t xml:space="preserve"> </w:t>
      </w:r>
      <w:hyperlink w:anchor="ref-6">
        <w:r>
          <w:rPr>
            <w:rStyle w:val="Hyperlink"/>
          </w:rPr>
          <w:t xml:space="preserve">[6]</w:t>
        </w:r>
      </w:hyperlink>
      <w:r>
        <w:t xml:space="preserve">. A soft instrument draws its power from the deference a coherent community grants it, and this corpus does not yet show that community anchoring around common references or converging on a datable moment of consolidation.</w:t>
      </w:r>
    </w:p>
    <w:p>
      <w:pPr>
        <w:pStyle w:val="BodyText"/>
        <w:spacing w:line="480" w:lineRule="auto"/>
        <w:ind w:firstLine="720"/>
      </w:pPr>
      <w:r>
        <w:t xml:space="preserve">Restraint is the point.</w:t>
      </w:r>
    </w:p>
    <w:p>
      <w:pPr>
        <w:pStyle w:val="BodyText"/>
        <w:spacing w:line="480" w:lineRule="auto"/>
        <w:ind w:firstLine="720"/>
      </w:pPr>
      <w:r>
        <w:t xml:space="preserve">The practical reading follows directly. An advocate should not present the topic’s literature as a settled foundation that automatically confers legitimacy on a score. The foundation, in this retrieval, is real but venue-fragmented and thinly cited in its older technical layer</w:t>
      </w:r>
      <w:r>
        <w:t xml:space="preserve"> </w:t>
      </w:r>
      <w:hyperlink w:anchor="ref-1">
        <w:r>
          <w:rPr>
            <w:rStyle w:val="Hyperlink"/>
          </w:rPr>
          <w:t xml:space="preserve">[1]</w:t>
        </w:r>
      </w:hyperlink>
      <w:r>
        <w:t xml:space="preserve"> </w:t>
      </w:r>
      <w:hyperlink w:anchor="ref-5">
        <w:r>
          <w:rPr>
            <w:rStyle w:val="Hyperlink"/>
          </w:rPr>
          <w:t xml:space="preserve">[5]</w:t>
        </w:r>
      </w:hyperlink>
      <w:r>
        <w:t xml:space="preserve">. Building deference will require the kind of consolidation that a shared citation core represents, and the rating’s design effort might usefully treat that consolidation as a goal to be worked toward rather than a resource already in hand. The instrument can still be sound; the evidence simply does not license the claim that its topic base is mature.</w:t>
      </w:r>
    </w:p>
    <w:bookmarkEnd w:id="137"/>
    <w:bookmarkStart w:id="138" w:name="governance-and-program-relevance"/>
    <w:p>
      <w:pPr>
        <w:pStyle w:val="Heading2"/>
        <w:spacing w:line="480" w:lineRule="auto"/>
      </w:pPr>
      <w:r>
        <w:t xml:space="preserve">Governance and program relevance</w:t>
      </w:r>
    </w:p>
    <w:p>
      <w:pPr>
        <w:pStyle w:val="FirstParagraph"/>
        <w:spacing w:line="480" w:lineRule="auto"/>
      </w:pPr>
      <w:r>
        <w:t xml:space="preserve">A live choice in orbital governance, soft instruments against hard ones, is where the finding lands. Low Earth orbit is a strained common-pool resource, and the case for behavioral restraint before debris density crosses a cascading threshold is strong</w:t>
      </w:r>
      <w:r>
        <w:t xml:space="preserve"> </w:t>
      </w:r>
      <w:hyperlink w:anchor="ref-4">
        <w:r>
          <w:rPr>
            <w:rStyle w:val="Hyperlink"/>
          </w:rPr>
          <w:t xml:space="preserve">[4]</w:t>
        </w:r>
      </w:hyperlink>
      <w:r>
        <w:t xml:space="preserve"> </w:t>
      </w:r>
      <w:hyperlink w:anchor="ref-12">
        <w:r>
          <w:rPr>
            <w:rStyle w:val="Hyperlink"/>
          </w:rPr>
          <w:t xml:space="preserve">[12]</w:t>
        </w:r>
      </w:hyperlink>
      <w:r>
        <w:t xml:space="preserve">. Where a rating can command deference, it offers a fast, voluntary path to restraint that avoids the slow machinery of binding rule. Where it cannot, program offices and regulators weighing whether to lean on a voluntary score or legislate around it need to know that the score’s topic base may not yet carry the consolidated authority a purely voluntary approach assumes</w:t>
      </w:r>
      <w:r>
        <w:t xml:space="preserve"> </w:t>
      </w:r>
      <w:hyperlink w:anchor="ref-15">
        <w:r>
          <w:rPr>
            <w:rStyle w:val="Hyperlink"/>
          </w:rPr>
          <w:t xml:space="preserve">[15]</w:t>
        </w:r>
      </w:hyperlink>
      <w:r>
        <w:t xml:space="preserve">. This dissertation gives them one auditable input to that judgment: a corpus screen showing venue structure without a recency or attention signature.</w:t>
      </w:r>
    </w:p>
    <w:p>
      <w:pPr>
        <w:pStyle w:val="BodyText"/>
        <w:spacing w:line="480" w:lineRule="auto"/>
        <w:ind w:firstLine="720"/>
      </w:pPr>
      <w:r>
        <w:t xml:space="preserve">For a program office assembling the observational and policy architecture that any rating depends on, the venue result carries an operational hint. The awareness and detection literature that feeds a rating’s inputs sits largely in the conference family. While the incentive-design and economics work sits in the journal and policy families, and the topic signal is measured unevenly across them</w:t>
      </w:r>
      <w:r>
        <w:t xml:space="preserve"> </w:t>
      </w:r>
      <w:hyperlink w:anchor="ref-1">
        <w:r>
          <w:rPr>
            <w:rStyle w:val="Hyperlink"/>
          </w:rPr>
          <w:t xml:space="preserve">[1]</w:t>
        </w:r>
      </w:hyperlink>
      <w:r>
        <w:t xml:space="preserve"> </w:t>
      </w:r>
      <w:hyperlink w:anchor="ref-7">
        <w:r>
          <w:rPr>
            <w:rStyle w:val="Hyperlink"/>
          </w:rPr>
          <w:t xml:space="preserve">[7]</w:t>
        </w:r>
      </w:hyperlink>
      <w:r>
        <w:t xml:space="preserve">. Coordinating those families, so that the technical base and the governance framing reference one another rather than developing in parallel. Is exactly the multi-stakeholder alignment the design literature calls for and exactly the consolidation this corpus does not yet show</w:t>
      </w:r>
      <w:r>
        <w:t xml:space="preserve"> </w:t>
      </w:r>
      <w:hyperlink w:anchor="ref-10">
        <w:r>
          <w:rPr>
            <w:rStyle w:val="Hyperlink"/>
          </w:rPr>
          <w:t xml:space="preserve">[10]</w:t>
        </w:r>
      </w:hyperlink>
      <w:r>
        <w:t xml:space="preserve">. The finding thus translates into a coordination task, not merely a research observation.</w:t>
      </w:r>
    </w:p>
    <w:bookmarkEnd w:id="138"/>
    <w:bookmarkStart w:id="139" w:name="future-work"/>
    <w:p>
      <w:pPr>
        <w:pStyle w:val="Heading2"/>
        <w:spacing w:line="480" w:lineRule="auto"/>
      </w:pPr>
      <w:r>
        <w:t xml:space="preserve">Future work</w:t>
      </w:r>
    </w:p>
    <w:p>
      <w:pPr>
        <w:pStyle w:val="FirstParagraph"/>
        <w:spacing w:line="480" w:lineRule="auto"/>
      </w:pPr>
      <w:r>
        <w:t xml:space="preserve">The limitations point to a clear program of follow-on research, and specifying it is part of the contribution. The first study should replace theme-hit surface with direct document coding, reading each source and scoring its actual engagement with rating-to-behavior mechanisms, which would separate the venue result’s substantive component from its text-density artifact and give the coherence question a substantive rather than a metadata answer</w:t>
      </w:r>
      <w:r>
        <w:t xml:space="preserve"> </w:t>
      </w:r>
      <w:hyperlink w:anchor="ref-2">
        <w:r>
          <w:rPr>
            <w:rStyle w:val="Hyperlink"/>
          </w:rPr>
          <w:t xml:space="preserve">[2]</w:t>
        </w:r>
      </w:hyperlink>
      <w:r>
        <w:t xml:space="preserve"> </w:t>
      </w:r>
      <w:hyperlink w:anchor="ref-15">
        <w:r>
          <w:rPr>
            <w:rStyle w:val="Hyperlink"/>
          </w:rPr>
          <w:t xml:space="preserve">[15]</w:t>
        </w:r>
      </w:hyperlink>
      <w:r>
        <w:t xml:space="preserve">. The second should draw citation data from a field-wide index that credits older foundational work, which would let the age elasticity report real attention dynamics instead of local-index coverage and would put the anchoring question on firm footing</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Beyond those two direct extensions, the design generalizes. The same auditable chain, retrieved records to deterministic features to reported estimator output, could screen any governance topic for documentary legibility before an instrument is built on it. Turning the question of topic coherence from an assumption into a measured input across the space-governance portfolio</w:t>
      </w:r>
      <w:r>
        <w:t xml:space="preserve"> </w:t>
      </w:r>
      <w:hyperlink w:anchor="ref-3">
        <w:r>
          <w:rPr>
            <w:rStyle w:val="Hyperlink"/>
          </w:rPr>
          <w:t xml:space="preserve">[3]</w:t>
        </w:r>
      </w:hyperlink>
      <w:r>
        <w:t xml:space="preserve"> </w:t>
      </w:r>
      <w:hyperlink w:anchor="ref-7">
        <w:r>
          <w:rPr>
            <w:rStyle w:val="Hyperlink"/>
          </w:rPr>
          <w:t xml:space="preserve">[7]</w:t>
        </w:r>
      </w:hyperlink>
      <w:r>
        <w:t xml:space="preserve">. A larger retrieval would resolve the weak recency relationship that thirty records left undetermined. A cross-topic comparison would show whether venue fragmentation is peculiar to the rating’s topic or common to emerging governance concerns generally</w:t>
      </w:r>
      <w:r>
        <w:t xml:space="preserve"> </w:t>
      </w:r>
      <w:hyperlink w:anchor="ref-9">
        <w:r>
          <w:rPr>
            <w:rStyle w:val="Hyperlink"/>
          </w:rPr>
          <w:t xml:space="preserve">[9]</w:t>
        </w:r>
      </w:hyperlink>
      <w:r>
        <w:t xml:space="preserve">.</w:t>
      </w:r>
    </w:p>
    <w:bookmarkEnd w:id="139"/>
    <w:bookmarkStart w:id="140" w:name="Xf4e1e9f514cc62b06362ef8d78a0fefca173d29"/>
    <w:p>
      <w:pPr>
        <w:pStyle w:val="Heading2"/>
        <w:spacing w:line="480" w:lineRule="auto"/>
      </w:pPr>
      <w:r>
        <w:t xml:space="preserve">What a program office should take from this</w:t>
      </w:r>
    </w:p>
    <w:p>
      <w:pPr>
        <w:pStyle w:val="FirstParagraph"/>
        <w:spacing w:line="480" w:lineRule="auto"/>
      </w:pPr>
      <w:r>
        <w:t xml:space="preserve">A program office does not read a dissertation for its coefficients; it reads for the decisions the coefficients touch. Three decisions are within reach of this result. The first is whether to treat the Space Sustainability Rating as a ready instrument or a maturing one when planning around it</w:t>
      </w:r>
      <w:r>
        <w:t xml:space="preserve"> </w:t>
      </w:r>
      <w:hyperlink w:anchor="ref-9">
        <w:r>
          <w:rPr>
            <w:rStyle w:val="Hyperlink"/>
          </w:rPr>
          <w:t xml:space="preserve">[9]</w:t>
        </w:r>
      </w:hyperlink>
      <w:r>
        <w:t xml:space="preserve">. The corpus evidence supports the maturing reading: the topic is a real documentary object organized by venue, but it does not yet show the recency gradient or the shared attention core that would mark a consolidated base</w:t>
      </w:r>
      <w:r>
        <w:t xml:space="preserve"> </w:t>
      </w:r>
      <w:hyperlink w:anchor="ref-2">
        <w:r>
          <w:rPr>
            <w:rStyle w:val="Hyperlink"/>
          </w:rPr>
          <w:t xml:space="preserve">[2]</w:t>
        </w:r>
      </w:hyperlink>
      <w:r>
        <w:t xml:space="preserve"> </w:t>
      </w:r>
      <w:hyperlink w:anchor="ref-6">
        <w:r>
          <w:rPr>
            <w:rStyle w:val="Hyperlink"/>
          </w:rPr>
          <w:t xml:space="preserve">[6]</w:t>
        </w:r>
      </w:hyperlink>
      <w:r>
        <w:t xml:space="preserve">. Planning that assumes the rating already commands broad deference is planning ahead of the evidence, and a program office is better served treating deference as something the community is still building.</w:t>
      </w:r>
    </w:p>
    <w:p>
      <w:pPr>
        <w:pStyle w:val="BodyText"/>
        <w:spacing w:line="480" w:lineRule="auto"/>
        <w:ind w:firstLine="720"/>
      </w:pPr>
      <w:r>
        <w:t xml:space="preserve">The second decision concerns where to invest coordination effort. The finding that the technical awareness literature and the incentive-design literature sit in different venue families, measured unevenly, points to a specific coordination gap rather than a diffuse call for alignment</w:t>
      </w:r>
      <w:r>
        <w:t xml:space="preserve"> </w:t>
      </w:r>
      <w:hyperlink w:anchor="ref-1">
        <w:r>
          <w:rPr>
            <w:rStyle w:val="Hyperlink"/>
          </w:rPr>
          <w:t xml:space="preserve">[1]</w:t>
        </w:r>
      </w:hyperlink>
      <w:r>
        <w:t xml:space="preserve"> </w:t>
      </w:r>
      <w:hyperlink w:anchor="ref-7">
        <w:r>
          <w:rPr>
            <w:rStyle w:val="Hyperlink"/>
          </w:rPr>
          <w:t xml:space="preserve">[7]</w:t>
        </w:r>
      </w:hyperlink>
      <w:r>
        <w:t xml:space="preserve">. Bringing the conference-family technical base and the journal-and-policy governance framing into explicit conversation, so that each cites and shapes the other, is the concrete form that consolidation would take</w:t>
      </w:r>
      <w:r>
        <w:t xml:space="preserve"> </w:t>
      </w:r>
      <w:hyperlink w:anchor="ref-10">
        <w:r>
          <w:rPr>
            <w:rStyle w:val="Hyperlink"/>
          </w:rPr>
          <w:t xml:space="preserve">[10]</w:t>
        </w:r>
      </w:hyperlink>
      <w:r>
        <w:t xml:space="preserve">.</w:t>
      </w:r>
    </w:p>
    <w:p>
      <w:pPr>
        <w:pStyle w:val="BodyText"/>
        <w:spacing w:line="480" w:lineRule="auto"/>
        <w:ind w:firstLine="720"/>
      </w:pPr>
      <w:r>
        <w:t xml:space="preserve">A program office can act on that: it can fund the cross-venue synthesis that the corpus shows is missing, rather than assuming the synthesis already exists. The third decision is evidentiary standard. This dissertation models the kind of auditable screen a program office could require before endorsing any governance instrument, turning topic coherence from an assumption into a measured input</w:t>
      </w:r>
      <w:r>
        <w:t xml:space="preserve"> </w:t>
      </w:r>
      <w:hyperlink w:anchor="ref-5">
        <w:r>
          <w:rPr>
            <w:rStyle w:val="Hyperlink"/>
          </w:rPr>
          <w:t xml:space="preserve">[5]</w:t>
        </w:r>
      </w:hyperlink>
      <w:r>
        <w:t xml:space="preserve">. Adopting that standard portfolio-wide would let a program office distinguish instruments built on consolidated topics from those built on convenient labels</w:t>
      </w:r>
      <w:r>
        <w:t xml:space="preserve"> </w:t>
      </w:r>
      <w:hyperlink w:anchor="ref-3">
        <w:r>
          <w:rPr>
            <w:rStyle w:val="Hyperlink"/>
          </w:rPr>
          <w:t xml:space="preserve">[3]</w:t>
        </w:r>
      </w:hyperlink>
      <w:r>
        <w:t xml:space="preserve">.</w:t>
      </w:r>
    </w:p>
    <w:bookmarkEnd w:id="140"/>
    <w:bookmarkStart w:id="141" w:name="X5e109345048638bf97b0f01aee5b6ab03504615"/>
    <w:p>
      <w:pPr>
        <w:pStyle w:val="Heading2"/>
        <w:spacing w:line="480" w:lineRule="auto"/>
      </w:pPr>
      <w:r>
        <w:t xml:space="preserve">The methodological contribution in its own right</w:t>
      </w:r>
    </w:p>
    <w:p>
      <w:pPr>
        <w:pStyle w:val="FirstParagraph"/>
        <w:spacing w:line="480" w:lineRule="auto"/>
      </w:pPr>
      <w:r>
        <w:t xml:space="preserve">Set aside the specific topic and the methodological contribution stands independently, which is worth stating because it generalizes well beyond the rating. The design demonstrates that a governance topic’s readiness to carry an instrument can be screened, before the instrument is built, with obtainable documentary evidence and a fully auditable chain from source to coefficient</w:t>
      </w:r>
      <w:r>
        <w:t xml:space="preserve"> </w:t>
      </w:r>
      <w:hyperlink w:anchor="ref-1">
        <w:r>
          <w:rPr>
            <w:rStyle w:val="Hyperlink"/>
          </w:rPr>
          <w:t xml:space="preserve">[1]</w:t>
        </w:r>
      </w:hyperlink>
      <w:r>
        <w:t xml:space="preserve">. That is a reusable procedure. Any emerging governance concern, from orbital traffic rules to spectrum coordination to debris remediation mandates, produces a documentary record that either carries structure or does not. And the same two screens, a topic-signal model and an attention-accumulation model, could be turned on any of them</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What makes the procedure valuable is that it disciplines a stage of policy development that usually runs on assertion. Advocates for a new instrument routinely claim that the underlying problem is well understood and the community aligned, and those claims are rarely tested against the community’s own record</w:t>
      </w:r>
      <w:r>
        <w:t xml:space="preserve"> </w:t>
      </w:r>
      <w:hyperlink w:anchor="ref-9">
        <w:r>
          <w:rPr>
            <w:rStyle w:val="Hyperlink"/>
          </w:rPr>
          <w:t xml:space="preserve">[9]</w:t>
        </w:r>
      </w:hyperlink>
      <w:r>
        <w:t xml:space="preserve">. The screen tests them, cheaply and reproducibly, and it reports the answer at its true size, including the nulls. A field that adopted this discipline would build fewer instruments on topics that had not yet cohered, and it would know, before committing resources, which dimensions of a topic were legible and which required a closer read</w:t>
      </w:r>
      <w:r>
        <w:t xml:space="preserve"> </w:t>
      </w:r>
      <w:hyperlink w:anchor="ref-2">
        <w:r>
          <w:rPr>
            <w:rStyle w:val="Hyperlink"/>
          </w:rPr>
          <w:t xml:space="preserve">[2]</w:t>
        </w:r>
      </w:hyperlink>
      <w:r>
        <w:t xml:space="preserve">. The rating-to-behavior application is one instance; the auditable-screen method is the transferable contribution</w:t>
      </w:r>
      <w:r>
        <w:t xml:space="preserve"> </w:t>
      </w:r>
      <w:hyperlink w:anchor="ref-6">
        <w:r>
          <w:rPr>
            <w:rStyle w:val="Hyperlink"/>
          </w:rPr>
          <w:t xml:space="preserve">[6]</w:t>
        </w:r>
      </w:hyperlink>
      <w:r>
        <w:t xml:space="preserve">.</w:t>
      </w:r>
    </w:p>
    <w:bookmarkEnd w:id="141"/>
    <w:bookmarkStart w:id="142" w:name="limits-of-the-contribution"/>
    <w:p>
      <w:pPr>
        <w:pStyle w:val="Heading2"/>
        <w:spacing w:line="480" w:lineRule="auto"/>
      </w:pPr>
      <w:r>
        <w:t xml:space="preserve">Limits of the contribution</w:t>
      </w:r>
    </w:p>
    <w:p>
      <w:pPr>
        <w:pStyle w:val="FirstParagraph"/>
        <w:spacing w:line="480" w:lineRule="auto"/>
      </w:pPr>
      <w:r>
        <w:t xml:space="preserve">Honesty about the contribution requires naming its ceiling as clearly as its reach. The screen establishes documentary legibility, not topic validity, not instrument efficacy, and not behavioral effect</w:t>
      </w:r>
      <w:r>
        <w:t xml:space="preserve"> </w:t>
      </w:r>
      <w:hyperlink w:anchor="ref-10">
        <w:r>
          <w:rPr>
            <w:rStyle w:val="Hyperlink"/>
          </w:rPr>
          <w:t xml:space="preserve">[10]</w:t>
        </w:r>
      </w:hyperlink>
      <w:r>
        <w:t xml:space="preserve">. A topic can be perfectly legible in the record and still be the wrong thing to govern, and a rating built on a legible topic can still fail to change conduct for reasons the screen never touches</w:t>
      </w:r>
      <w:r>
        <w:t xml:space="preserve"> </w:t>
      </w:r>
      <w:hyperlink w:anchor="ref-3">
        <w:r>
          <w:rPr>
            <w:rStyle w:val="Hyperlink"/>
          </w:rPr>
          <w:t xml:space="preserve">[3]</w:t>
        </w:r>
      </w:hyperlink>
      <w:r>
        <w:t xml:space="preserve">. The method answers a first-stage question and hands the later stages to designs it does not attempt. Anyone who read this dissertation as validating the rating itself would have mistaken a precondition for a proof, and the argument has been built throughout to prevent that mistake</w:t>
      </w:r>
      <w:r>
        <w:t xml:space="preserve"> </w:t>
      </w:r>
      <w:hyperlink w:anchor="ref-9">
        <w:r>
          <w:rPr>
            <w:rStyle w:val="Hyperlink"/>
          </w:rPr>
          <w:t xml:space="preserve">[9]</w:t>
        </w:r>
      </w:hyperlink>
      <w:r>
        <w:t xml:space="preserve">.</w:t>
      </w:r>
    </w:p>
    <w:p>
      <w:pPr>
        <w:pStyle w:val="BodyText"/>
        <w:spacing w:line="480" w:lineRule="auto"/>
        <w:ind w:firstLine="720"/>
      </w:pPr>
      <w:r>
        <w:t xml:space="preserve">This specific result also carries the corpus’s own limits into the conclusion. Thirty records resolve strong relationships and leave weak ones open, so the recency null is an invitation to a larger study rather than a settled finding. And the truncated citation measure means the attention question remains genuinely untested rather than answered in the negative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venue result, the one firm corpus fact, is itself entangled with text density and cannot be cleanly separated into substantive and mechanical components without the document coding a follow-on study would supply</w:t>
      </w:r>
      <w:r>
        <w:t xml:space="preserve"> </w:t>
      </w:r>
      <w:hyperlink w:anchor="ref-15">
        <w:r>
          <w:rPr>
            <w:rStyle w:val="Hyperlink"/>
          </w:rPr>
          <w:t xml:space="preserve">[15]</w:t>
        </w:r>
      </w:hyperlink>
      <w:r>
        <w:t xml:space="preserve">. These limits do not undermine the contribution; they define its edges, and a doctoral contribution that knows its own edges is more useful than one that pretends to none</w:t>
      </w:r>
      <w:r>
        <w:t xml:space="preserve"> </w:t>
      </w:r>
      <w:hyperlink w:anchor="ref-1">
        <w:r>
          <w:rPr>
            <w:rStyle w:val="Hyperlink"/>
          </w:rPr>
          <w:t xml:space="preserve">[1]</w:t>
        </w:r>
      </w:hyperlink>
      <w:r>
        <w:t xml:space="preserve">.</w:t>
      </w:r>
    </w:p>
    <w:bookmarkEnd w:id="142"/>
    <w:bookmarkStart w:id="143" w:name="closing"/>
    <w:p>
      <w:pPr>
        <w:pStyle w:val="Heading2"/>
        <w:spacing w:line="480" w:lineRule="auto"/>
      </w:pPr>
      <w:r>
        <w:t xml:space="preserve">Closing</w:t>
      </w:r>
    </w:p>
    <w:p>
      <w:pPr>
        <w:pStyle w:val="FirstParagraph"/>
        <w:spacing w:line="480" w:lineRule="auto"/>
      </w:pPr>
      <w:r>
        <w:t xml:space="preserve">The argument of this dissertation was that a soft governance instrument earns deference by being legible, and that legibility can be measured rather than asserted. The measurement returned a precise, mixed result: the rating-to-behavior topic is significantly structured by venue family, only weakly and negatively structured by article age, and undetectably structured by recency and local citation attention once venue is controlled</w:t>
      </w:r>
      <w:r>
        <w:t xml:space="preserve"> </w:t>
      </w:r>
      <w:hyperlink w:anchor="ref-1">
        <w:r>
          <w:rPr>
            <w:rStyle w:val="Hyperlink"/>
          </w:rPr>
          <w:t xml:space="preserve">[1]</w:t>
        </w:r>
      </w:hyperlink>
      <w:r>
        <w:t xml:space="preserve"> </w:t>
      </w:r>
      <w:hyperlink w:anchor="ref-4">
        <w:r>
          <w:rPr>
            <w:rStyle w:val="Hyperlink"/>
          </w:rPr>
          <w:t xml:space="preserve">[4]</w:t>
        </w:r>
      </w:hyperlink>
      <w:r>
        <w:t xml:space="preserve">. None of this shows that the rating changes behavior, and the project never claimed it would. What it shows is the documentary ground on which such a rating would stand, mapped with an auditable chain from source to coefficient and reported at its true, modest size. That map, and the falsifiable test that produced it, is the doctoral contribution</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43"/>
    <w:bookmarkStart w:id="144" w:name="a-last-word-on-evidence-and-restraint"/>
    <w:p>
      <w:pPr>
        <w:pStyle w:val="Heading2"/>
        <w:spacing w:line="480" w:lineRule="auto"/>
      </w:pPr>
      <w:r>
        <w:t xml:space="preserve">A last word on evidence and restraint</w:t>
      </w:r>
    </w:p>
    <w:p>
      <w:pPr>
        <w:pStyle w:val="FirstParagraph"/>
        <w:spacing w:line="480" w:lineRule="auto"/>
      </w:pPr>
      <w:r>
        <w:t xml:space="preserve">The through-line of this dissertation has been restraint, and it is worth defending restraint as a positive value rather than an apology. In a setting where fluent argument is cheap and behavioral claims are easy to assert, the harder and more useful discipline is to say only what the evidence supports and to mark clearly where it runs out</w:t>
      </w:r>
      <w:r>
        <w:t xml:space="preserve"> </w:t>
      </w:r>
      <w:hyperlink w:anchor="ref-3">
        <w:r>
          <w:rPr>
            <w:rStyle w:val="Hyperlink"/>
          </w:rPr>
          <w:t xml:space="preserve">[3]</w:t>
        </w:r>
      </w:hyperlink>
      <w:r>
        <w:t xml:space="preserve">. The rating-to-behavior topic invited a grand claim about voluntary instruments reshaping the orbital commons, and the honest yield was smaller: a topic legible in venue form, quiet in time and attention, and silent on behavior</w:t>
      </w:r>
      <w:r>
        <w:t xml:space="preserve"> </w:t>
      </w:r>
      <w:hyperlink w:anchor="ref-1">
        <w:r>
          <w:rPr>
            <w:rStyle w:val="Hyperlink"/>
          </w:rPr>
          <w:t xml:space="preserve">[1]</w:t>
        </w:r>
      </w:hyperlink>
      <w:r>
        <w:t xml:space="preserve"> </w:t>
      </w:r>
      <w:hyperlink w:anchor="ref-6">
        <w:r>
          <w:rPr>
            <w:rStyle w:val="Hyperlink"/>
          </w:rPr>
          <w:t xml:space="preserve">[6]</w:t>
        </w:r>
      </w:hyperlink>
      <w:r>
        <w:t xml:space="preserve">. Reporting that smaller yield faithfully, with the nulls given their due and the one significant channel held to its true and partly mechanical meaning. Is worth more to a decision-maker than a confident story the data could not bear</w:t>
      </w:r>
      <w:r>
        <w:t xml:space="preserve"> </w:t>
      </w:r>
      <w:hyperlink w:anchor="ref-2">
        <w:r>
          <w:rPr>
            <w:rStyle w:val="Hyperlink"/>
          </w:rPr>
          <w:t xml:space="preserve">[2]</w:t>
        </w:r>
      </w:hyperlink>
      <w:r>
        <w:t xml:space="preserve">.</w:t>
      </w:r>
    </w:p>
    <w:p>
      <w:pPr>
        <w:pStyle w:val="BodyText"/>
        <w:spacing w:line="480" w:lineRule="auto"/>
        <w:ind w:firstLine="720"/>
      </w:pPr>
      <w:r>
        <w:t xml:space="preserve">Stakes make the restraint matter. Low Earth orbit is a resource whose degradation is hard to reverse, and the instruments proposed to govern it will be built on assumptions about topic coherence that deserve testing before resources are committed</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This project tested one such assumption and reported the result at its real size. If the contribution is modest, its modesty is the point: a doctoral screen that knows exactly what it has shown. And refuses to claim an inch beyond it, gives the field a firmer place to stand than a larger claim built on evidence that cannot hold it</w:t>
      </w:r>
      <w:r>
        <w:t xml:space="preserve"> </w:t>
      </w:r>
      <w:hyperlink w:anchor="ref-9">
        <w:r>
          <w:rPr>
            <w:rStyle w:val="Hyperlink"/>
          </w:rPr>
          <w:t xml:space="preserve">[9]</w:t>
        </w:r>
      </w:hyperlink>
      <w:r>
        <w:t xml:space="preserve"> </w:t>
      </w:r>
      <w:hyperlink w:anchor="ref-5">
        <w:r>
          <w:rPr>
            <w:rStyle w:val="Hyperlink"/>
          </w:rPr>
          <w:t xml:space="preserve">[5]</w:t>
        </w:r>
      </w:hyperlink>
      <w:r>
        <w:t xml:space="preserve">.</w:t>
      </w:r>
    </w:p>
    <w:bookmarkEnd w:id="144"/>
    <w:bookmarkStart w:id="145" w:name="Xe79793c732d09a06963462e24cc7d9549a7cd2a"/>
    <w:p>
      <w:pPr>
        <w:pStyle w:val="Heading2"/>
        <w:spacing w:line="480" w:lineRule="auto"/>
      </w:pPr>
      <w:r>
        <w:t xml:space="preserve">Reconciling the two studies into one conclusion</w:t>
      </w:r>
    </w:p>
    <w:p>
      <w:pPr>
        <w:pStyle w:val="FirstParagraph"/>
        <w:spacing w:line="480" w:lineRule="auto"/>
      </w:pPr>
      <w:r>
        <w:t xml:space="preserve">Two empirical screens carry this dissertation, and the conclusion should state plainly how they combine rather than leaving them as parallel findings. The topic-signal study and the learning-curve study look at the same thirty records through different lenses. And they agree on the underlying fact: this corpus is organized by publication form and by the recency of its thin cited layer, not by a deep, age-accumulated body of shared reference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first study reaches that conclusion by finding venue significant and recency quiet; the second reaches it by finding attention front-loaded onto the youngest records</w:t>
      </w:r>
      <w:r>
        <w:t xml:space="preserve"> </w:t>
      </w:r>
      <w:hyperlink w:anchor="ref-3">
        <w:r>
          <w:rPr>
            <w:rStyle w:val="Hyperlink"/>
          </w:rPr>
          <w:t xml:space="preserve">[3]</w:t>
        </w:r>
      </w:hyperlink>
      <w:r>
        <w:t xml:space="preserve"> </w:t>
      </w:r>
      <w:hyperlink w:anchor="ref-4">
        <w:r>
          <w:rPr>
            <w:rStyle w:val="Hyperlink"/>
          </w:rPr>
          <w:t xml:space="preserve">[4]</w:t>
        </w:r>
      </w:hyperlink>
      <w:r>
        <w:t xml:space="preserve">. Two independent routes to the same picture strengthen confidence in the picture, because each study’s limitations are different and neither drives the shared result alone</w:t>
      </w:r>
      <w:r>
        <w:t xml:space="preserve"> </w:t>
      </w:r>
      <w:hyperlink w:anchor="ref-5">
        <w:r>
          <w:rPr>
            <w:rStyle w:val="Hyperlink"/>
          </w:rPr>
          <w:t xml:space="preserve">[5]</w:t>
        </w:r>
      </w:hyperlink>
      <w:r>
        <w:t xml:space="preserve">. That convergence is the empirical spine of the whole dissertation, and it is what licenses the single conclusion that the rating-to-behavior topic is real but not yet consolidated in the record its community produces</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End w:id="145"/>
    <w:bookmarkStart w:id="146" w:name="the-value-of-a-negative-leaning-result"/>
    <w:p>
      <w:pPr>
        <w:pStyle w:val="Heading2"/>
        <w:spacing w:line="480" w:lineRule="auto"/>
      </w:pPr>
      <w:r>
        <w:t xml:space="preserve">The value of a negative-leaning result</w:t>
      </w:r>
    </w:p>
    <w:p>
      <w:pPr>
        <w:pStyle w:val="FirstParagraph"/>
        <w:spacing w:line="480" w:lineRule="auto"/>
      </w:pPr>
      <w:r>
        <w:t xml:space="preserve">A result that leans toward nulls can feel like a disappointment, and the conclusion should defend it as a genuine yield instead. Fields advance not only by confirming that instruments work but by learning, early and cheaply, where their preconditions are not yet met</w:t>
      </w:r>
      <w:r>
        <w:t xml:space="preserve"> </w:t>
      </w:r>
      <w:hyperlink w:anchor="ref-10">
        <w:r>
          <w:rPr>
            <w:rStyle w:val="Hyperlink"/>
          </w:rPr>
          <w:t xml:space="preserve">[10]</w:t>
        </w:r>
      </w:hyperlink>
      <w:r>
        <w:t xml:space="preserve">. This screen tells the rating’s community something useful: the topic’s documentary base is venue-fragmented and thinly cited, so the deference the instrument needs is not yet fully there and consolidation is a goal to work toward</w:t>
      </w:r>
      <w:r>
        <w:t xml:space="preserve"> </w:t>
      </w:r>
      <w:hyperlink w:anchor="ref-15">
        <w:r>
          <w:rPr>
            <w:rStyle w:val="Hyperlink"/>
          </w:rPr>
          <w:t xml:space="preserve">[15]</w:t>
        </w:r>
      </w:hyperlink>
      <w:r>
        <w:t xml:space="preserve">.</w:t>
      </w:r>
    </w:p>
    <w:p>
      <w:pPr>
        <w:pStyle w:val="BodyText"/>
        <w:spacing w:line="480" w:lineRule="auto"/>
        <w:ind w:firstLine="720"/>
      </w:pPr>
      <w:r>
        <w:t xml:space="preserve">That is actionable, and it is the kind of finding an honest design-stage study is meant to produce</w:t>
      </w:r>
      <w:r>
        <w:t xml:space="preserve"> </w:t>
      </w:r>
      <w:hyperlink w:anchor="ref-3">
        <w:r>
          <w:rPr>
            <w:rStyle w:val="Hyperlink"/>
          </w:rPr>
          <w:t xml:space="preserve">[3]</w:t>
        </w:r>
      </w:hyperlink>
      <w:r>
        <w:t xml:space="preserve">. A project that had strained to report a confirmation would have given the community false comfort; a project that reports the mixed truth gives it an accurate starting point</w:t>
      </w:r>
      <w:r>
        <w:t xml:space="preserve"> </w:t>
      </w:r>
      <w:hyperlink w:anchor="ref-2">
        <w:r>
          <w:rPr>
            <w:rStyle w:val="Hyperlink"/>
          </w:rPr>
          <w:t xml:space="preserve">[2]</w:t>
        </w:r>
      </w:hyperlink>
      <w:r>
        <w:t xml:space="preserve">. The contribution of this dissertation, finally, is not a verdict on the rating but a faithful, reproducible map of the ground beneath it. Drawn at the design stage so that the harder studies to come can be built where the evidence is firmest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Usefulness will be measured by what is built on the map. A follow-on document-coding study that separates the venue result’s substantive and mechanical parts, a field-wide citation study that tests the anchoring question the truncated measure could not. And a larger retrieval that resolves the recency null all follow directly from what this screen established</w:t>
      </w:r>
      <w:r>
        <w:t xml:space="preserve"> </w:t>
      </w:r>
      <w:hyperlink w:anchor="ref-5">
        <w:r>
          <w:rPr>
            <w:rStyle w:val="Hyperlink"/>
          </w:rPr>
          <w:t xml:space="preserve">[5]</w:t>
        </w:r>
      </w:hyperlink>
      <w:r>
        <w:t xml:space="preserve"> </w:t>
      </w:r>
      <w:hyperlink w:anchor="ref-15">
        <w:r>
          <w:rPr>
            <w:rStyle w:val="Hyperlink"/>
          </w:rPr>
          <w:t xml:space="preserve">[15]</w:t>
        </w:r>
      </w:hyperlink>
      <w:r>
        <w:t xml:space="preserve">. Each is a defined next step rather than an open-ended aspiration, and each starts from the frozen, provenanced dataset this project produced</w:t>
      </w:r>
      <w:r>
        <w:t xml:space="preserve"> </w:t>
      </w:r>
      <w:hyperlink w:anchor="ref-1">
        <w:r>
          <w:rPr>
            <w:rStyle w:val="Hyperlink"/>
          </w:rPr>
          <w:t xml:space="preserve">[1]</w:t>
        </w:r>
      </w:hyperlink>
      <w:r>
        <w:t xml:space="preserve">. That is the shape of a design-stage contribution done right: a bounded, honest result, an auditable artifact, and a clear specification of the studies that should come next. Offered to a field that must decide how to govern a strained orbital commons with instruments whose foundations deserve testing before they are trusted</w:t>
      </w:r>
      <w:r>
        <w:t xml:space="preserve"> </w:t>
      </w:r>
      <w:hyperlink w:anchor="ref-4">
        <w:r>
          <w:rPr>
            <w:rStyle w:val="Hyperlink"/>
          </w:rPr>
          <w:t xml:space="preserve">[4]</w:t>
        </w:r>
      </w:hyperlink>
      <w:r>
        <w:t xml:space="preserve"> </w:t>
      </w:r>
      <w:hyperlink w:anchor="ref-3">
        <w:r>
          <w:rPr>
            <w:rStyle w:val="Hyperlink"/>
          </w:rPr>
          <w:t xml:space="preserve">[3]</w:t>
        </w:r>
      </w:hyperlink>
      <w:r>
        <w:t xml:space="preserve">.</w:t>
      </w:r>
    </w:p>
    <w:bookmarkEnd w:id="146"/>
    <w:bookmarkStart w:id="168" w:name="references"/>
    <w:p>
      <w:pPr>
        <w:pStyle w:val="Heading2"/>
        <w:spacing w:line="480" w:lineRule="auto"/>
      </w:pPr>
      <w:r>
        <w:t xml:space="preserve">References</w:t>
      </w:r>
    </w:p>
    <w:p>
      <w:pPr>
        <w:pStyle w:val="FirstParagraph"/>
        <w:spacing w:line="480" w:lineRule="auto"/>
      </w:pPr>
      <w:bookmarkStart w:id="147" w:name="ref-1"/>
      <w:bookmarkEnd w:id="147"/>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p>
    <w:p>
      <w:pPr>
        <w:pStyle w:val="BodyText"/>
        <w:spacing w:line="480" w:lineRule="auto"/>
        <w:ind w:firstLine="720"/>
      </w:pPr>
      <w:bookmarkStart w:id="148" w:name="ref-2"/>
      <w:bookmarkEnd w:id="148"/>
      <w:r>
        <w:t xml:space="preserve">2. Todd Harrison, Center for Strategic and International Studies. International Perspectives on Space Weapons (2020). [AMOS]</w:t>
      </w:r>
    </w:p>
    <w:p>
      <w:pPr>
        <w:pStyle w:val="BodyText"/>
        <w:spacing w:line="480" w:lineRule="auto"/>
        <w:ind w:firstLine="720"/>
      </w:pPr>
      <w:bookmarkStart w:id="149" w:name="ref-3"/>
      <w:bookmarkEnd w:id="149"/>
      <w:r>
        <w:t xml:space="preserve">3. Matthew Stevenson, LeoLabs; Darren McKnight, LeoLabs; Hugh Lewis, University of Southampton; Chris Kunstadter, AXA XL; Rachit Bhatia, LeoLabs. Identifying the Statistically-Most-Concerning Conjunctions in LEO (2021). [AMOS]</w:t>
      </w:r>
    </w:p>
    <w:p>
      <w:pPr>
        <w:pStyle w:val="BodyText"/>
        <w:spacing w:line="480" w:lineRule="auto"/>
        <w:ind w:firstLine="720"/>
      </w:pPr>
      <w:bookmarkStart w:id="150" w:name="ref-4"/>
      <w:bookmarkEnd w:id="150"/>
      <w:r>
        <w:t xml:space="preserve">4. Sergei Nikolaev (Lawrence Livermore National Laboratory), Donald Phillion (Lawrence Livermore National Laboratory), H. Keo Springer (Lawrence Livermore National Laboratory), Willem deVries (Lawrence Livermore National Laboratory), Ming Jiang (Lawrence Livermore National Laboratory), Alex Pertica (Lawrence Livermore National Laboratory), John Henderson (Lawrence Livermore National Laboratory), Matthew Horsley (Lawrence Livermore National Laboratory), Scot Olivier (Lawrence Livermore National Laboratory). Brute Force Modeling of the Kessler Syndrome (2012). [AMOS]</w:t>
      </w:r>
    </w:p>
    <w:p>
      <w:pPr>
        <w:pStyle w:val="BodyText"/>
        <w:spacing w:line="480" w:lineRule="auto"/>
        <w:ind w:firstLine="720"/>
      </w:pPr>
      <w:bookmarkStart w:id="151" w:name="ref-5"/>
      <w:bookmarkEnd w:id="151"/>
      <w:r>
        <w:t xml:space="preserve">5. Ben Lane, ExoAnalytic Solutions, Mark Poole, ExoAnalytic Solutions, Matt Camp, ExoAnalytic Solutions, Jeremy Murray-Krezan, AFRL. Using Machine Learning for Advanced Anomaly Detection and Classification (2016). [AMOS]</w:t>
      </w:r>
    </w:p>
    <w:p>
      <w:pPr>
        <w:pStyle w:val="BodyText"/>
        <w:spacing w:line="480" w:lineRule="auto"/>
        <w:ind w:firstLine="720"/>
      </w:pPr>
      <w:bookmarkStart w:id="152" w:name="ref-6"/>
      <w:bookmarkEnd w:id="152"/>
      <w:r>
        <w:t xml:space="preserve">6. Yasir Latif, Space Protocol; Anirban Chowdhury, Space Protocol; Samya Bagchi, Space Protocol. On-chain Validation of Tracking Data Messages (TDM) Using Distributed Deep Learning on a Proof of Stake (PoS) Blockchain (2024). doi:</w:t>
      </w:r>
      <w:r>
        <w:t xml:space="preserve"> </w:t>
      </w:r>
      <w:hyperlink r:id="rId153">
        <w:r>
          <w:rPr>
            <w:rStyle w:val="Hyperlink"/>
          </w:rPr>
          <w:t xml:space="preserve">10.64861/OHUO6863</w:t>
        </w:r>
      </w:hyperlink>
    </w:p>
    <w:p>
      <w:pPr>
        <w:pStyle w:val="BodyText"/>
        <w:spacing w:line="480" w:lineRule="auto"/>
        <w:ind w:firstLine="720"/>
      </w:pPr>
      <w:bookmarkStart w:id="154" w:name="ref-7"/>
      <w:bookmarkEnd w:id="154"/>
      <w:r>
        <w:t xml:space="preserve">7. Neera Jain, Purdue University; Mariel Borowitz, Sam Nunn School of International Affairs, Georgia Institute of Technology. A System-of-Systems Approach Towards Future Space Traffic Management Autonomy and Policy Co-Design (2023). doi:</w:t>
      </w:r>
      <w:r>
        <w:t xml:space="preserve"> </w:t>
      </w:r>
      <w:hyperlink r:id="rId155">
        <w:r>
          <w:rPr>
            <w:rStyle w:val="Hyperlink"/>
          </w:rPr>
          <w:t xml:space="preserve">10.64861/CKGQ5448</w:t>
        </w:r>
      </w:hyperlink>
    </w:p>
    <w:p>
      <w:pPr>
        <w:pStyle w:val="BodyText"/>
        <w:spacing w:line="480" w:lineRule="auto"/>
        <w:ind w:firstLine="720"/>
      </w:pPr>
      <w:bookmarkStart w:id="156" w:name="ref-8"/>
      <w:bookmarkEnd w:id="156"/>
      <w:r>
        <w:t xml:space="preserve">8. Christopher J. Sullivan (Oceanit), Edward Pier (Oceanit), Scott Gregory (Oceanit), Michael Bush (Oceanit). Space Situational Awareness using Market Based Agents (2012). [AMOS]</w:t>
      </w:r>
    </w:p>
    <w:p>
      <w:pPr>
        <w:pStyle w:val="BodyText"/>
        <w:spacing w:line="480" w:lineRule="auto"/>
        <w:ind w:firstLine="720"/>
      </w:pPr>
      <w:bookmarkStart w:id="157" w:name="ref-9"/>
      <w:bookmarkEnd w:id="157"/>
      <w:r>
        <w:t xml:space="preserve">9.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58">
        <w:r>
          <w:rPr>
            <w:rStyle w:val="Hyperlink"/>
          </w:rPr>
          <w:t xml:space="preserve">10.1016/j.actaastro.2025.03.034</w:t>
        </w:r>
      </w:hyperlink>
    </w:p>
    <w:p>
      <w:pPr>
        <w:pStyle w:val="BodyText"/>
        <w:spacing w:line="480" w:lineRule="auto"/>
        <w:ind w:firstLine="720"/>
      </w:pPr>
      <w:bookmarkStart w:id="159" w:name="ref-10"/>
      <w:bookmarkEnd w:id="159"/>
      <w:r>
        <w:t xml:space="preserve">10. Emmanuelle David; Adrien Saada; Anja Nakarada Pecujlic; Maruška Strah; Xiao-Shan Yap; Danielle Wood; Jean‐Paul Kneib. Fostering multi-stakeholder collaboration for space sustainability through an incentive-based mechanism (2025). doi:</w:t>
      </w:r>
      <w:r>
        <w:t xml:space="preserve"> </w:t>
      </w:r>
      <w:hyperlink r:id="rId160">
        <w:r>
          <w:rPr>
            <w:rStyle w:val="Hyperlink"/>
          </w:rPr>
          <w:t xml:space="preserve">10.1016/j.actaastro.2025.06.029</w:t>
        </w:r>
      </w:hyperlink>
    </w:p>
    <w:p>
      <w:pPr>
        <w:pStyle w:val="BodyText"/>
        <w:spacing w:line="480" w:lineRule="auto"/>
        <w:ind w:firstLine="720"/>
      </w:pPr>
      <w:bookmarkStart w:id="161" w:name="ref-11"/>
      <w:bookmarkEnd w:id="161"/>
      <w:r>
        <w:t xml:space="preserve">11. n.a.. OCEA Forecasting the Space Economy (n.d.).</w:t>
      </w:r>
    </w:p>
    <w:p>
      <w:pPr>
        <w:pStyle w:val="BodyText"/>
        <w:spacing w:line="480" w:lineRule="auto"/>
        <w:ind w:firstLine="720"/>
      </w:pPr>
      <w:bookmarkStart w:id="162" w:name="ref-12"/>
      <w:bookmarkEnd w:id="162"/>
      <w:r>
        <w:t xml:space="preserve">12. Maury, T.; Loubet, P.; Trisolini, M.. Assessing the impact of space debris on orbital resource in life cycle assessment: A proposed method and case study (2019). doi:</w:t>
      </w:r>
      <w:r>
        <w:t xml:space="preserve"> </w:t>
      </w:r>
      <w:hyperlink r:id="rId163">
        <w:r>
          <w:rPr>
            <w:rStyle w:val="Hyperlink"/>
          </w:rPr>
          <w:t xml:space="preserve">10.1016/j.scitotenv.2019.02.438</w:t>
        </w:r>
      </w:hyperlink>
    </w:p>
    <w:p>
      <w:pPr>
        <w:pStyle w:val="BodyText"/>
        <w:spacing w:line="480" w:lineRule="auto"/>
        <w:ind w:firstLine="720"/>
      </w:pPr>
      <w:bookmarkStart w:id="164" w:name="ref-13"/>
      <w:bookmarkEnd w:id="164"/>
      <w:r>
        <w:t xml:space="preserve">13. n.a.. Space Debris Impact on Orbital Resource in Life Cycle Assessment (n.d.).</w:t>
      </w:r>
    </w:p>
    <w:p>
      <w:pPr>
        <w:pStyle w:val="BodyText"/>
        <w:spacing w:line="480" w:lineRule="auto"/>
        <w:ind w:firstLine="720"/>
      </w:pPr>
      <w:bookmarkStart w:id="165" w:name="ref-14"/>
      <w:bookmarkEnd w:id="165"/>
      <w:r>
        <w:t xml:space="preserve">14. n.a.. The Role of Space in Driving Sustainability, Security, and Development (n.d.).</w:t>
      </w:r>
    </w:p>
    <w:p>
      <w:pPr>
        <w:pStyle w:val="BodyText"/>
        <w:spacing w:line="480" w:lineRule="auto"/>
        <w:ind w:firstLine="720"/>
      </w:pPr>
      <w:bookmarkStart w:id="166" w:name="ref-15"/>
      <w:bookmarkEnd w:id="166"/>
      <w:r>
        <w:t xml:space="preserve">15. n.a.. MITRE/Aspen Institute (2022) whole-of-nation framework paper arguing that commercial, civil, and military space sectors share sustainability and governance challenges requiring unified U.S. leadership on norms, streamlined mission authorization, and sustained cross-sector coordination (n.d.).</w:t>
      </w:r>
    </w:p>
    <w:p>
      <w:pPr>
        <w:pStyle w:val="BodyText"/>
        <w:spacing w:line="480" w:lineRule="auto"/>
        <w:ind w:firstLine="720"/>
      </w:pPr>
      <w:bookmarkStart w:id="167" w:name="ref-16"/>
      <w:bookmarkEnd w:id="167"/>
      <w:r>
        <w:t xml:space="preserve">16. n.a.. Roadmap: Australia Economic-Technological Renaissance in Space (n.d.).</w:t>
      </w:r>
    </w:p>
    <w:bookmarkEnd w:id="168"/>
    <w:bookmarkEnd w:id="169"/>
    <w:bookmarkStart w:id="18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7" w:name="X4948f256864552dae467dc0e0c2fe9acc155432"/>
    <w:p>
      <w:pPr>
        <w:pStyle w:val="Heading2"/>
        <w:spacing w:line="480" w:lineRule="auto"/>
      </w:pPr>
      <w:r>
        <w:t xml:space="preserve">A.1 Signal Intensity in SSR Business Case rating-to-behavior: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6.8758</w:t>
            </w:r>
          </w:p>
        </w:tc>
        <w:tc>
          <w:tcPr>
            <w:tcW w:w="0" w:type="auto"/>
          </w:tcPr>
          <w:p>
            <w:pPr>
              <w:spacing w:line="240" w:lineRule="auto" w:before="0" w:after="0"/>
              <w:pStyle w:val="Compact"/>
            </w:pPr>
            <w:r>
              <w:rPr>
                <w:sz w:val="20"/>
                <w:szCs w:val="20"/>
              </w:rPr>
              <w:t xml:space="preserve">1.5478</w:t>
            </w:r>
          </w:p>
        </w:tc>
        <w:tc>
          <w:tcPr>
            <w:tcW w:w="0" w:type="auto"/>
          </w:tcPr>
          <w:p>
            <w:pPr>
              <w:spacing w:line="240" w:lineRule="auto" w:before="0" w:after="0"/>
              <w:pStyle w:val="Compact"/>
            </w:pPr>
            <w:r>
              <w:rPr>
                <w:sz w:val="20"/>
                <w:szCs w:val="20"/>
              </w:rPr>
              <w:t xml:space="preserve">4.4425</w:t>
            </w:r>
          </w:p>
        </w:tc>
        <w:tc>
          <w:tcPr>
            <w:tcW w:w="0" w:type="auto"/>
          </w:tcPr>
          <w:p>
            <w:pPr>
              <w:spacing w:line="240" w:lineRule="auto" w:before="0" w:after="0"/>
              <w:pStyle w:val="Compact"/>
            </w:pPr>
            <w:r>
              <w:rPr>
                <w:sz w:val="20"/>
                <w:szCs w:val="20"/>
              </w:rPr>
              <w:t xml:space="preserve">8.894e-06</w:t>
            </w:r>
          </w:p>
        </w:tc>
        <w:tc>
          <w:tcPr>
            <w:tcW w:w="0" w:type="auto"/>
          </w:tcPr>
          <w:p>
            <w:pPr>
              <w:spacing w:line="240" w:lineRule="auto" w:before="0" w:after="0"/>
              <w:pStyle w:val="Compact"/>
            </w:pPr>
            <w:r>
              <w:rPr>
                <w:sz w:val="20"/>
                <w:szCs w:val="20"/>
              </w:rPr>
              <w:t xml:space="preserve">[3.8423, 9.9094]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0.6095</w:t>
            </w:r>
          </w:p>
        </w:tc>
        <w:tc>
          <w:tcPr>
            <w:tcW w:w="0" w:type="auto"/>
          </w:tcPr>
          <w:p>
            <w:pPr>
              <w:spacing w:line="240" w:lineRule="auto" w:before="0" w:after="0"/>
              <w:pStyle w:val="Compact"/>
            </w:pPr>
            <w:r>
              <w:rPr>
                <w:sz w:val="20"/>
                <w:szCs w:val="20"/>
              </w:rPr>
              <w:t xml:space="preserve">0.5422</w:t>
            </w:r>
          </w:p>
        </w:tc>
        <w:tc>
          <w:tcPr>
            <w:tcW w:w="0" w:type="auto"/>
          </w:tcPr>
          <w:p>
            <w:pPr>
              <w:spacing w:line="240" w:lineRule="auto" w:before="0" w:after="0"/>
              <w:pStyle w:val="Compact"/>
            </w:pPr>
            <w:r>
              <w:rPr>
                <w:sz w:val="20"/>
                <w:szCs w:val="20"/>
              </w:rPr>
              <w:t xml:space="preserve">[-0.2914, 0.5544]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0.2395</w:t>
            </w:r>
          </w:p>
        </w:tc>
        <w:tc>
          <w:tcPr>
            <w:tcW w:w="0" w:type="auto"/>
          </w:tcPr>
          <w:p>
            <w:pPr>
              <w:spacing w:line="240" w:lineRule="auto" w:before="0" w:after="0"/>
              <w:pStyle w:val="Compact"/>
            </w:pPr>
            <w:r>
              <w:rPr>
                <w:sz w:val="20"/>
                <w:szCs w:val="20"/>
              </w:rPr>
              <w:t xml:space="preserve">0.3519</w:t>
            </w:r>
          </w:p>
        </w:tc>
        <w:tc>
          <w:tcPr>
            <w:tcW w:w="0" w:type="auto"/>
          </w:tcPr>
          <w:p>
            <w:pPr>
              <w:spacing w:line="240" w:lineRule="auto" w:before="0" w:after="0"/>
              <w:pStyle w:val="Compact"/>
            </w:pPr>
            <w:r>
              <w:rPr>
                <w:sz w:val="20"/>
                <w:szCs w:val="20"/>
              </w:rPr>
              <w:t xml:space="preserve">0.6807</w:t>
            </w:r>
          </w:p>
        </w:tc>
        <w:tc>
          <w:tcPr>
            <w:tcW w:w="0" w:type="auto"/>
          </w:tcPr>
          <w:p>
            <w:pPr>
              <w:spacing w:line="240" w:lineRule="auto" w:before="0" w:after="0"/>
              <w:pStyle w:val="Compact"/>
            </w:pPr>
            <w:r>
              <w:rPr>
                <w:sz w:val="20"/>
                <w:szCs w:val="20"/>
              </w:rPr>
              <w:t xml:space="preserve">0.496</w:t>
            </w:r>
          </w:p>
        </w:tc>
        <w:tc>
          <w:tcPr>
            <w:tcW w:w="0" w:type="auto"/>
          </w:tcPr>
          <w:p>
            <w:pPr>
              <w:spacing w:line="240" w:lineRule="auto" w:before="0" w:after="0"/>
              <w:pStyle w:val="Compact"/>
            </w:pPr>
            <w:r>
              <w:rPr>
                <w:sz w:val="20"/>
                <w:szCs w:val="20"/>
              </w:rPr>
              <w:t xml:space="preserve">[-0.4501, 0.9292]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-1.7425</w:t>
            </w:r>
          </w:p>
        </w:tc>
        <w:tc>
          <w:tcPr>
            <w:tcW w:w="0" w:type="auto"/>
          </w:tcPr>
          <w:p>
            <w:pPr>
              <w:spacing w:line="240" w:lineRule="auto" w:before="0" w:after="0"/>
              <w:pStyle w:val="Compact"/>
            </w:pPr>
            <w:r>
              <w:rPr>
                <w:sz w:val="20"/>
                <w:szCs w:val="20"/>
              </w:rPr>
              <w:t xml:space="preserve">0.5943</w:t>
            </w:r>
          </w:p>
        </w:tc>
        <w:tc>
          <w:tcPr>
            <w:tcW w:w="0" w:type="auto"/>
          </w:tcPr>
          <w:p>
            <w:pPr>
              <w:spacing w:line="240" w:lineRule="auto" w:before="0" w:after="0"/>
              <w:pStyle w:val="Compact"/>
            </w:pPr>
            <w:r>
              <w:rPr>
                <w:sz w:val="20"/>
                <w:szCs w:val="20"/>
              </w:rPr>
              <w:t xml:space="preserve">-2.9317</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[-2.9074, -0.5776]</w:t>
            </w:r>
          </w:p>
        </w:tc>
      </w:tr>
    </w:tbl>
    <w:p>
      <w:pPr>
        <w:pStyle w:val="BodyText"/>
        <w:spacing w:line="480" w:lineRule="auto"/>
        <w:ind w:firstLine="720"/>
      </w:pPr>
      <w:r>
        <w:t xml:space="preserve">Fit: N = 30 R2 = 0.2565 R2_adj = 0.1707 F = 7.6752 F_p = 0.0007821</w:t>
      </w:r>
    </w:p>
    <w:bookmarkEnd w:id="170"/>
    <w:bookmarkStart w:id="17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2" name="Picture"/>
            <a:graphic>
              <a:graphicData uri="http://schemas.openxmlformats.org/drawingml/2006/picture">
                <pic:pic>
                  <pic:nvPicPr>
                    <pic:cNvPr descr="D:/Claude_Code/brain/collegium/candidates/dissertations/PHD-05/research_papers/p1/paper_fig1.png" id="173" name="Picture"/>
                    <pic:cNvPicPr>
                      <a:picLocks noChangeArrowheads="1" noChangeAspect="1"/>
                    </pic:cNvPicPr>
                  </pic:nvPicPr>
                  <pic:blipFill>
                    <a:blip r:embed="rId1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4"/>
    <w:bookmarkStart w:id="17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https://amostech.space/year/2012/brute-force-modeling-of-the-kessler-syndrome/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https://amostech.space/year/2016/using-machine-learning-for-advanced-anomaly-detection-and-classification/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 Sustainability: Economics of Space Debris in Perspective (OECD)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10.1787/a339de43-en</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175"/>
    <w:bookmarkStart w:id="17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6"/>
    <w:bookmarkEnd w:id="177"/>
    <w:bookmarkStart w:id="185" w:name="X7f40d9c1de9f79ee91afb1241d0e4495ebadc00"/>
    <w:p>
      <w:pPr>
        <w:pStyle w:val="Heading2"/>
        <w:spacing w:line="480" w:lineRule="auto"/>
      </w:pPr>
      <w:r>
        <w:t xml:space="preserve">A.2 Attention Accumulation in SSR Business Case rating-to-behavior: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0.7791</w:t>
            </w:r>
          </w:p>
        </w:tc>
        <w:tc>
          <w:tcPr>
            <w:tcW w:w="0" w:type="auto"/>
          </w:tcPr>
          <w:p>
            <w:pPr>
              <w:spacing w:line="240" w:lineRule="auto" w:before="0" w:after="0"/>
              <w:pStyle w:val="Compact"/>
            </w:pPr>
            <w:r>
              <w:rPr>
                <w:sz w:val="20"/>
                <w:szCs w:val="20"/>
              </w:rPr>
              <w:t xml:space="preserve">0.4466</w:t>
            </w:r>
          </w:p>
        </w:tc>
        <w:tc>
          <w:tcPr>
            <w:tcW w:w="0" w:type="auto"/>
          </w:tcPr>
          <w:p>
            <w:pPr>
              <w:spacing w:line="240" w:lineRule="auto" w:before="0" w:after="0"/>
              <w:pStyle w:val="Compact"/>
            </w:pPr>
            <w:r>
              <w:rPr>
                <w:sz w:val="20"/>
                <w:szCs w:val="20"/>
              </w:rPr>
              <w:t xml:space="preserve">1.7446</w:t>
            </w:r>
          </w:p>
        </w:tc>
        <w:tc>
          <w:tcPr>
            <w:tcW w:w="0" w:type="auto"/>
          </w:tcPr>
          <w:p>
            <w:pPr>
              <w:spacing w:line="240" w:lineRule="auto" w:before="0" w:after="0"/>
              <w:pStyle w:val="Compact"/>
            </w:pPr>
            <w:r>
              <w:rPr>
                <w:sz w:val="20"/>
                <w:szCs w:val="20"/>
              </w:rPr>
              <w:t xml:space="preserve">0.081</w:t>
            </w:r>
          </w:p>
        </w:tc>
        <w:tc>
          <w:tcPr>
            <w:tcW w:w="0" w:type="auto"/>
          </w:tcPr>
          <w:p>
            <w:pPr>
              <w:spacing w:line="240" w:lineRule="auto" w:before="0" w:after="0"/>
              <w:pStyle w:val="Compact"/>
            </w:pPr>
            <w:r>
              <w:rPr>
                <w:sz w:val="20"/>
                <w:szCs w:val="20"/>
              </w:rPr>
              <w:t xml:space="preserve">[-0.0962, 1.6545]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0.216</w:t>
            </w:r>
          </w:p>
        </w:tc>
        <w:tc>
          <w:tcPr>
            <w:tcW w:w="0" w:type="auto"/>
          </w:tcPr>
          <w:p>
            <w:pPr>
              <w:spacing w:line="240" w:lineRule="auto" w:before="0" w:after="0"/>
              <w:pStyle w:val="Compact"/>
            </w:pPr>
            <w:r>
              <w:rPr>
                <w:sz w:val="20"/>
                <w:szCs w:val="20"/>
              </w:rPr>
              <w:t xml:space="preserve">-1.7362</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[-0.7983, 0.0483]</w:t>
            </w:r>
          </w:p>
        </w:tc>
      </w:tr>
    </w:tbl>
    <w:p>
      <w:pPr>
        <w:pStyle w:val="BodyText"/>
        <w:spacing w:line="480" w:lineRule="auto"/>
        <w:ind w:firstLine="720"/>
      </w:pPr>
      <w:r>
        <w:t xml:space="preserve">Fit: N = 30 R2 = 0.2739 elasticity_b = -0.375 progress_ratio_2^b = 0.7711</w:t>
      </w:r>
    </w:p>
    <w:bookmarkEnd w:id="178"/>
    <w:bookmarkStart w:id="18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0" name="Picture"/>
            <a:graphic>
              <a:graphicData uri="http://schemas.openxmlformats.org/drawingml/2006/picture">
                <pic:pic>
                  <pic:nvPicPr>
                    <pic:cNvPr descr="D:/Claude_Code/brain/collegium/candidates/dissertations/PHD-05/research_papers/p2/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2"/>
    <w:bookmarkStart w:id="18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https://amostech.space/year/2012/brute-force-modeling-of-the-kessler-syndrome/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https://amostech.space/year/2016/using-machine-learning-for-advanced-anomaly-detection-and-classification/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 Sustainability: Economics of Space Debris in Perspective (OECD)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10.1787/a339de43-en</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183"/>
    <w:bookmarkStart w:id="18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4"/>
    <w:bookmarkEnd w:id="185"/>
    <w:bookmarkEnd w:id="1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1" Type="http://schemas.openxmlformats.org/officeDocument/2006/relationships/image" Target="media/rId171.png"/><Relationship Id="rId179" Type="http://schemas.openxmlformats.org/officeDocument/2006/relationships/image" Target="media/rId179.png"/><Relationship Id="rId158" Type="http://schemas.openxmlformats.org/officeDocument/2006/relationships/hyperlink" Target="https://doi.org/10.1016/j.actaastro.2025.03.034" TargetMode="External"/><Relationship Id="rId160" Type="http://schemas.openxmlformats.org/officeDocument/2006/relationships/hyperlink" Target="https://doi.org/10.1016/j.actaastro.2025.06.029" TargetMode="External"/><Relationship Id="rId163" Type="http://schemas.openxmlformats.org/officeDocument/2006/relationships/hyperlink" Target="https://doi.org/10.1016/j.scitotenv.2019.02.438" TargetMode="External"/><Relationship Id="rId155" Type="http://schemas.openxmlformats.org/officeDocument/2006/relationships/hyperlink" Target="https://doi.org/10.64861/CKGQ5448" TargetMode="External"/><Relationship Id="rId153" Type="http://schemas.openxmlformats.org/officeDocument/2006/relationships/hyperlink" Target="https://doi.org/10.64861/OHUO6863"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25.03.034" TargetMode="External"/><Relationship Id="rId160" Type="http://schemas.openxmlformats.org/officeDocument/2006/relationships/hyperlink" Target="https://doi.org/10.1016/j.actaastro.2025.06.029" TargetMode="External"/><Relationship Id="rId163" Type="http://schemas.openxmlformats.org/officeDocument/2006/relationships/hyperlink" Target="https://doi.org/10.1016/j.scitotenv.2019.02.438" TargetMode="External"/><Relationship Id="rId155" Type="http://schemas.openxmlformats.org/officeDocument/2006/relationships/hyperlink" Target="https://doi.org/10.64861/CKGQ5448" TargetMode="External"/><Relationship Id="rId153" Type="http://schemas.openxmlformats.org/officeDocument/2006/relationships/hyperlink" Target="https://doi.org/10.64861/OHUO6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 Business Case: rating-to-behavior</dc:title>
  <dc:creator>Lena Yoon (1B-GOV-232)</dc:creator>
  <cp:keywords/>
  <dcterms:created xsi:type="dcterms:W3CDTF">2026-07-02T21:02:47Z</dcterms:created>
  <dcterms:modified xsi:type="dcterms:W3CDTF">2026-07-02T21:02:47Z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