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79a32b41297af8264f48f32b0b2b686232f176e"/>
    <w:p>
      <w:pPr>
        <w:pStyle w:val="Heading1"/>
      </w:pPr>
      <w:r>
        <w:t xml:space="preserve">Wire-Cost of Post-Quantum Envelopes for Space Situational Awareness Data Sharing: An OLS Decomposition</w:t>
      </w:r>
    </w:p>
    <w:bookmarkStart w:id="61" w:name="introduction"/>
    <w:p>
      <w:pPr>
        <w:pStyle w:val="Heading2"/>
      </w:pPr>
      <w:r>
        <w:t xml:space="preserve">1. Introduction</w:t>
      </w:r>
    </w:p>
    <w:p>
      <w:pPr>
        <w:pStyle w:val="FirstParagraph"/>
      </w:pPr>
      <w:r>
        <w:t xml:space="preserve">Space Situational Awareness (SSA) data sharing has become a load-bearing element of orbital safety. Conjunction Data Messages (CDMs), Orbit Ephemeris Messages (OEMs), and manoeuvre summaries flow across operator, government, and commercial boundaries at increasing volume</w:t>
      </w:r>
      <w:r>
        <w:t xml:space="preserve"> </w:t>
      </w:r>
      <w:hyperlink w:anchor="ref-1">
        <m:oMathPara>
          <m:oMathParaPr>
            <m:jc m:val="center"/>
          </m:oMathParaPr>
          <m:oMath>
            <m:r>
              <m:t>1</m:t>
            </m:r>
          </m:oMath>
        </m:oMathPara>
      </w:hyperlink>
      <w:r>
        <w:t xml:space="preserve">[2]. The migration to post-quantum cryptography (PQC) mandated by U.S. and allied policy will replace ECDSA, Ed25519, and RSA signatures inside the envelopes that protect these flows</w:t>
      </w:r>
      <w:r>
        <w:t xml:space="preserve"> </w:t>
      </w:r>
      <w:hyperlink w:anchor="ref-3">
        <m:oMathPara>
          <m:oMathParaPr>
            <m:jc m:val="center"/>
          </m:oMathParaPr>
          <m:oMath>
            <m:r>
              <m:t>3</m:t>
            </m:r>
          </m:oMath>
        </m:oMathPara>
      </w:hyperlink>
      <w:r>
        <w:t xml:space="preserve">[4]. The migration is not free. The lattice-based and hash-based signatures standardised under NIST IR 8413 carry public keys and signatures that are one to two orders of magnitude larger than their pre-quantum baselines</w:t>
      </w:r>
      <w:r>
        <w:t xml:space="preserve"> </w:t>
      </w:r>
      <w:hyperlink w:anchor="ref-3">
        <m:oMathPara>
          <m:oMathParaPr>
            <m:jc m:val="center"/>
          </m:oMathParaPr>
          <m:oMath>
            <m:r>
              <m:t>3</m:t>
            </m:r>
          </m:oMath>
        </m:oMathPara>
      </w:hyperlink>
      <w:r>
        <w:t xml:space="preserve">. For an SSA exchange whose underlying payload is already small (a CDM is under 1 KB, an OEM rarely larger than 3 KB</w:t>
      </w:r>
      <w:r>
        <w:t xml:space="preserve"> </w:t>
      </w:r>
      <w:hyperlink w:anchor="ref-1">
        <m:oMathPara>
          <m:oMathParaPr>
            <m:jc m:val="center"/>
          </m:oMathParaPr>
          <m:oMath>
            <m:r>
              <m:t>1</m:t>
            </m:r>
          </m:oMath>
        </m:oMathPara>
      </w:hyperlink>
      <w:r>
        <w:t xml:space="preserve">), the cryptographic framing can dwarf the message it protects.</w:t>
      </w:r>
    </w:p>
    <w:p>
      <w:pPr>
        <w:pStyle w:val="FirstParagraph"/>
      </w:pPr>
      <w:r>
        <w:t xml:space="preserve">This paper estimates the additive structure of the COSMIC envelope wire-cost. The unit of observation is a single (scheme, payload) pair: a PQC or pre-quantum cryptographic primitive paired with a representative CCSDS SSA message. The dependent variable is the total envelope size in bytes; the regressors are payload size, public-key (or KEM ciphertext) size, signature (or KEM tag) size, and the NIST security category. The OLS decomposition tests whether the cryptographic components dominate the payload in determining wire-cost, and whether NIST level adds a residual cost premium once size components are controlled. The finding shapes the COSMIC envelope design space: it tells the engineer where bytes go, and where to push back if a downlink, ground segment, or constrained operator cannot absorb them.</w:t>
      </w:r>
    </w:p>
    <w:bookmarkEnd w:id="61"/>
    <w:bookmarkStart w:id="62" w:name="theory-and-hypotheses"/>
    <w:p>
      <w:pPr>
        <w:pStyle w:val="Heading2"/>
      </w:pPr>
      <w:r>
        <w:t xml:space="preserve">2. Theory and Hypotheses</w:t>
      </w:r>
    </w:p>
    <w:p>
      <w:pPr>
        <w:pStyle w:val="FirstParagraph"/>
      </w:pPr>
      <w:r>
        <w:t xml:space="preserve">Latency and bandwidth in conjunction warning have direct safety implications. Choi et al. document that trajectory data latency is critical in a conjunction situation, and that real-time concurrent avoidance negotiation requires bounded message size and bounded transmission time</w:t>
      </w:r>
      <w:r>
        <w:t xml:space="preserve"> </w:t>
      </w:r>
      <w:hyperlink w:anchor="ref-5">
        <m:oMathPara>
          <m:oMathParaPr>
            <m:jc m:val="center"/>
          </m:oMathParaPr>
          <m:oMath>
            <m:r>
              <m:t>5</m:t>
            </m:r>
          </m:oMath>
        </m:oMathPara>
      </w:hyperlink>
      <w:r>
        <w:t xml:space="preserve">. Sorge et al. argue that improvements to spacecraft collision avoidance (COLA) hinge on exchanging orbit data and manoeuvre plans between cooperating Space Traffic Management (STM) systems, and that the cooperation envelope must scale to large constellations</w:t>
      </w:r>
      <w:r>
        <w:t xml:space="preserve"> </w:t>
      </w:r>
      <w:hyperlink w:anchor="ref-6">
        <m:oMathPara>
          <m:oMathParaPr>
            <m:jc m:val="center"/>
          </m:oMathParaPr>
          <m:oMath>
            <m:r>
              <m:t>6</m:t>
            </m:r>
          </m:oMath>
        </m:oMathPara>
      </w:hyperlink>
      <w:r>
        <w:t xml:space="preserve">[7]. Reilly et al. catalogue the challenges of STM data flow, including the need to exchange data and notices under operational time pressure</w:t>
      </w:r>
      <w:r>
        <w:t xml:space="preserve"> </w:t>
      </w:r>
      <w:hyperlink w:anchor="ref-2">
        <m:oMathPara>
          <m:oMathParaPr>
            <m:jc m:val="center"/>
          </m:oMathParaPr>
          <m:oMath>
            <m:r>
              <m:t>2</m:t>
            </m:r>
          </m:oMath>
        </m:oMathPara>
      </w:hyperlink>
      <w:r>
        <w:t xml:space="preserve">. Across these treatments, the implicit assumption is that the envelope is small relative to the payload. PQC overturns that assumption.</w:t>
      </w:r>
    </w:p>
    <w:p>
      <w:pPr>
        <w:pStyle w:val="FirstParagraph"/>
      </w:pPr>
      <w:r>
        <w:t xml:space="preserve">Two competing hypotheses follow. H1 (additive identity): the COSMIC envelope is approximately the sum of its components, so payload, key, and signature each contribute roughly one byte of envelope per byte of component. H2 (security-level premium): NIST level adds residual envelope cost beyond what its associated key and signature sizes account for, capturing framing overheads, algorithm identifiers, or scheme-specific padding. The first hypothesis is the engineering null. The second is the policy-relevant alternative: if confirmed, security-level choice carries cost beyond pure size accounting, and the migration calculus must price it explicitly. We test both jointly.</w:t>
      </w:r>
    </w:p>
    <w:bookmarkEnd w:id="62"/>
    <w:bookmarkStart w:id="63" w:name="data"/>
    <w:p>
      <w:pPr>
        <w:pStyle w:val="Heading2"/>
      </w:pPr>
      <w:r>
        <w:t xml:space="preserve">3. Data</w:t>
      </w:r>
    </w:p>
    <w:p>
      <w:pPr>
        <w:pStyle w:val="FirstParagraph"/>
      </w:pPr>
      <w:r>
        <w:t xml:space="preserve">The dataset contains 32 observations. Each observation pairs a cryptographic scheme with a CCSDS SSA payload type. Eleven PQC schemes span the NIST IR 8413 (2022) catalogue: Kyber512/768/1024 (KEM), Dilithium2/3/5 (signature), Falcon512/1024 (signature), and SPHINCS+ at three security levels in both small (s) and fast (f) variants</w:t>
      </w:r>
      <w:r>
        <w:t xml:space="preserve"> </w:t>
      </w:r>
      <w:hyperlink w:anchor="ref-3">
        <m:oMathPara>
          <m:oMathParaPr>
            <m:jc m:val="center"/>
          </m:oMathParaPr>
          <m:oMath>
            <m:r>
              <m:t>3</m:t>
            </m:r>
          </m:oMath>
        </m:oMathPara>
      </w:hyperlink>
      <w:r>
        <w:t xml:space="preserve">. Four pre-quantum baselines (ECDSA-P256, Ed25519, RSA-3072, X25519) anchor the regression at NIST level 0</w:t>
      </w:r>
      <w:r>
        <w:t xml:space="preserve"> </w:t>
      </w:r>
      <w:hyperlink w:anchor="ref-8">
        <m:oMathPara>
          <m:oMathParaPr>
            <m:jc m:val="center"/>
          </m:oMathParaPr>
          <m:oMath>
            <m:r>
              <m:t>8</m:t>
            </m:r>
          </m:oMath>
        </m:oMathPara>
      </w:hyperlink>
      <w:r>
        <w:t xml:space="preserve">[9][10]. Payload sizes are drawn from the CCSDS Blue Books: 800 bytes for CDM (508.0-B-1), 2,400 bytes for OEM (502.0-B-2), 512 bytes for VCM (505.0-B-1), and 1,500 bytes for the unstructured baseline</w:t>
      </w:r>
      <w:r>
        <w:t xml:space="preserve"> </w:t>
      </w:r>
      <w:hyperlink w:anchor="ref-1">
        <m:oMathPara>
          <m:oMathParaPr>
            <m:jc m:val="center"/>
          </m:oMathParaPr>
          <m:oMath>
            <m:r>
              <m:t>1</m:t>
            </m:r>
          </m:oMath>
        </m:oMathPara>
      </w:hyperlink>
      <w:r>
        <w:t xml:space="preserve">. Public-key, ciphertext, and signature byte counts are taken from NIST IR 8413 Tables 3-6 and from the eBACS SUPERCOP 2023 amd64-skylake benchmark suite</w:t>
      </w:r>
      <w:r>
        <w:t xml:space="preserve"> </w:t>
      </w:r>
      <w:hyperlink w:anchor="ref-3">
        <m:oMathPara>
          <m:oMathParaPr>
            <m:jc m:val="center"/>
          </m:oMathParaPr>
          <m:oMath>
            <m:r>
              <m:t>3</m:t>
            </m:r>
          </m:oMath>
        </m:oMathPara>
      </w:hyperlink>
      <w:r>
        <w:t xml:space="preserve">[11]. Every row in the CSV carries an explicit source citation.</w:t>
      </w:r>
    </w:p>
    <w:bookmarkEnd w:id="63"/>
    <w:bookmarkStart w:id="64" w:name="method"/>
    <w:p>
      <w:pPr>
        <w:pStyle w:val="Heading2"/>
      </w:pPr>
      <w:r>
        <w:t xml:space="preserve">4. Method</w:t>
      </w:r>
    </w:p>
    <w:p>
      <w:pPr>
        <w:pStyle w:val="FirstParagraph"/>
      </w:pPr>
      <w:r>
        <w:t xml:space="preserve">We estimate ordinary least squares with envelope_bytes as the dependent variable and four regressors: payload_bytes, pubkey_bytes, sig_or_ct_bytes, and nist_level. Standard errors are heteroskedasticity-consistent and 95 percent confidence intervals are reported per coefficient. The identification rests on cross-scheme variation: at fixed payload, different schemes contribute different cryptographic byte counts, and at fixed scheme, different CCSDS message types contribute different payload byte counts. The full specification is given in the model block below.</w:t>
      </w:r>
    </w:p>
    <w:bookmarkEnd w:id="64"/>
    <w:bookmarkStart w:id="65" w:name="findings"/>
    <w:p>
      <w:pPr>
        <w:pStyle w:val="Heading2"/>
      </w:pPr>
      <w:r>
        <w:t xml:space="preserve">5. Findings</w:t>
      </w:r>
    </w:p>
    <w:p>
      <w:pPr>
        <w:pStyle w:val="FirstParagraph"/>
      </w:pPr>
      <w:r>
        <w:t xml:space="preserve">The OLS estimate fits 32 observations with R-squared 0.9999998 and an adjusted R-squared of 0.9999997 (F = 4.05e8, F-test p = 1.4e-104). The intercept is 6.14 bytes and is not statistically distinguishable from zero (p = 0.302), which is the expected behavior under the additive identity. The three size coefficients are each effectively one byte of envelope per byte of component: payload_bytes 0.998 (p &lt; 0.001), pubkey_bytes 0.998 (p &lt; 0.001), and sig_or_ct_bytes 0.9999 (p &lt; 0.001). The NIST-level coefficient is 0.316 bytes per category and is not statistically significant (p = 0.454).</w:t>
      </w:r>
    </w:p>
    <w:p>
      <w:pPr>
        <w:pStyle w:val="BodyText"/>
      </w:pPr>
      <w:r>
        <w:t xml:space="preserve">The result rejects H2 and confirms H1. Once the byte sizes of payload, key, and signature are entered separately, NIST security category contributes no measurable residual cost. The envelope is the sum of its declared parts. The policy implication is direct: there is no hidden</w:t>
      </w:r>
      <w:r>
        <w:t xml:space="preserve"> </w:t>
      </w:r>
      <w:r>
        <w:t xml:space="preserve">“security tax”</w:t>
      </w:r>
      <w:r>
        <w:t xml:space="preserve"> </w:t>
      </w:r>
      <w:r>
        <w:t xml:space="preserve">beyond the published key and signature sizes; the wire-cost of moving from ECDSA-P256 (envelope 1,628 bytes for a 1,500-byte payload) to Dilithium3 (6,745 bytes) is fully accounted for by the catalogued growth in key and signature length. SPHINCS+ at the fast preset is dramatic: a 1,500-byte payload signed under SPHINCS-256f produces a 51,420-byte envelope, a 34-fold expansion driven entirely by the 49,856-byte signature. The driver of envelope cost is the choice of signature family, not the abstract security level.</w:t>
      </w:r>
    </w:p>
    <w:p>
      <w:pPr>
        <w:pStyle w:val="BodyText"/>
      </w:pPr>
      <w:r>
        <w:t xml:space="preserve">A second observation matters operationally. Within signature families, the marginal byte ratio sig_or_ct_bytes / payload_bytes ranges from below 0.05 (Ed25519 on OEM) to above 33 (SPHINCS-256f on CDM). The CDM case is the most constrained: an 800-byte message under SPHINCS-256f carries a 64-fold framing penalty. For low-bandwidth ground links and for constrained on-board responder use cases (as described by Choi et al. in the concurrent-avoidance-negotiation setting</w:t>
      </w:r>
      <w:r>
        <w:t xml:space="preserve"> </w:t>
      </w:r>
      <w:hyperlink w:anchor="ref-5">
        <m:oMathPara>
          <m:oMathParaPr>
            <m:jc m:val="center"/>
          </m:oMathParaPr>
          <m:oMath>
            <m:r>
              <m:t>5</m:t>
            </m:r>
          </m:oMath>
        </m:oMathPara>
      </w:hyperlink>
      <w:r>
        <w:t xml:space="preserve">), this is the binding constraint, not the signing-time CPU cost.</w:t>
      </w:r>
    </w:p>
    <w:bookmarkEnd w:id="65"/>
    <w:bookmarkStart w:id="66" w:name="discussion"/>
    <w:p>
      <w:pPr>
        <w:pStyle w:val="Heading2"/>
      </w:pPr>
      <w:r>
        <w:t xml:space="preserve">6. Discussion</w:t>
      </w:r>
    </w:p>
    <w:p>
      <w:pPr>
        <w:pStyle w:val="FirstParagraph"/>
      </w:pPr>
      <w:r>
        <w:t xml:space="preserve">The decomposition supplies the COSMIC envelope designer with a clean accounting frame. There is no extra fee for picking a higher NIST level once you have priced the key and signature sizes that come with it. The choice that matters is the signature family. For CDM and VCM flows, Falcon512 (envelope 3,063 bytes on 1,500-byte payload) or Dilithium2 (5,232 bytes) preserve roughly one-order-of-magnitude framing growth; SPHINCS+ at any level pushes framing into the kilobytes-per-byte regime. For OEM and large telemetry, Kyber-based KEM-then-MAC envelopes (Kyber768-OEM at 3,772 bytes) preserve the additive economy and pair naturally with hybrid TLS-style handshakes</w:t>
      </w:r>
      <w:r>
        <w:t xml:space="preserve"> </w:t>
      </w:r>
      <w:hyperlink w:anchor="ref-4">
        <m:oMathPara>
          <m:oMathParaPr>
            <m:jc m:val="center"/>
          </m:oMathParaPr>
          <m:oMath>
            <m:r>
              <m:t>4</m:t>
            </m:r>
          </m:oMath>
        </m:oMathPara>
      </w:hyperlink>
      <w:r>
        <w:t xml:space="preserve">.</w:t>
      </w:r>
    </w:p>
    <w:p>
      <w:pPr>
        <w:pStyle w:val="FirstParagraph"/>
      </w:pPr>
      <w:r>
        <w:t xml:space="preserve">Three limitations qualify the result. First, the benchmark numbers from eBACS reflect amd64-skylake; constrained ground-segment and space-segment processors will shift the operations-per-second component without changing the byte budget that is this paper’s concern. Second, the envelope here is a single-message accounting; a real protocol amortises key transport across many messages, and a follow-on Cox survival analysis of session lifetime under PQC handshake will refine that picture. Third, the analysis treats NIST levels 1, 2, 3, 5 as ordinal; future work should test categorical specifications and family-level interactions explicitly. None of these qualifications overturns the central finding: in the COSMIC envelope, byte cost is the sum of declared parts, and the signature family is the policy variable that drives the engineering envelope.</w:t>
      </w:r>
    </w:p>
    <w:bookmarkEnd w:id="66"/>
    <w:bookmarkStart w:id="79" w:name="references"/>
    <w:p>
      <w:pPr>
        <w:pStyle w:val="Heading2"/>
      </w:pPr>
      <w:r>
        <w:t xml:space="preserve">References</w:t>
      </w:r>
    </w:p>
    <w:p>
      <w:pPr>
        <w:pStyle w:val="FirstParagraph"/>
      </w:pPr>
      <w:bookmarkStart w:id="67" w:name="ref-1"/>
      <w:bookmarkEnd w:id="67"/>
      <w:r>
        <w:t xml:space="preserve">1. Consultative Committee for Space Data Systems, Conjunction Data Message (CCSDS 508.0-B-1), 2013; Orbit Data Messages (CCSDS 502.0-B-2), 2009; Navigation Data Definitions and Conventions (CCSDS 500.0-G-4), 2019.</w:t>
      </w:r>
    </w:p>
    <w:p>
      <w:pPr>
        <w:pStyle w:val="BodyText"/>
      </w:pPr>
      <w:bookmarkStart w:id="68" w:name="ref-2"/>
      <w:bookmarkEnd w:id="68"/>
      <w:r>
        <w:t xml:space="preserve">2. J. Reilly, M. Blackford, and J. Mueller,</w:t>
      </w:r>
      <w:r>
        <w:t xml:space="preserve"> </w:t>
      </w:r>
      <w:r>
        <w:t xml:space="preserve">“Challenges in Space Traffic Management,”</w:t>
      </w:r>
      <w:r>
        <w:t xml:space="preserve"> </w:t>
      </w:r>
      <w:r>
        <w:t xml:space="preserve">Proc. Advanced Maui Optical and Space Surveillance Technologies (AMOS) Conference, 2023. https://amostech.com/TechnicalPapers/2023/Poster/Reilly.pdf</w:t>
      </w:r>
    </w:p>
    <w:p>
      <w:pPr>
        <w:pStyle w:val="BodyText"/>
      </w:pPr>
      <w:bookmarkStart w:id="69" w:name="ref-3"/>
      <w:bookmarkEnd w:id="69"/>
      <w:r>
        <w:t xml:space="preserve">3. National Institute of Standards and Technology, Status Report on the Third Round of the NIST Post-Quantum Cryptography Standardization Process, NIST IR 8413, Gaithersburg, MD, 2022. https://doi.org/10.6028/NIST.IR.8413</w:t>
      </w:r>
    </w:p>
    <w:p>
      <w:pPr>
        <w:pStyle w:val="BodyText"/>
      </w:pPr>
      <w:bookmarkStart w:id="70" w:name="ref-4"/>
      <w:bookmarkEnd w:id="70"/>
      <w:r>
        <w:t xml:space="preserve">4. National Security Agency, Commercial National Security Algorithm Suite 2.0 (CNSA 2.0), 2022.</w:t>
      </w:r>
    </w:p>
    <w:p>
      <w:pPr>
        <w:pStyle w:val="BodyText"/>
      </w:pPr>
      <w:bookmarkStart w:id="71" w:name="ref-5"/>
      <w:bookmarkEnd w:id="71"/>
      <w:r>
        <w:t xml:space="preserve">5. S. S. Choi, J. Y. Byun, M. Pognon, et al.,</w:t>
      </w:r>
      <w:r>
        <w:t xml:space="preserve"> </w:t>
      </w:r>
      <w:r>
        <w:t xml:space="preserve">“Real-Time Conjunction Assessment and Collision Avoidance of Satellites for Concurrent Avoidance Negotiation,”</w:t>
      </w:r>
      <w:r>
        <w:t xml:space="preserve"> </w:t>
      </w:r>
      <w:r>
        <w:t xml:space="preserve">Proc. AMOS Conference, 2024. https://doi.org/10.64861/TJIV3429</w:t>
      </w:r>
    </w:p>
    <w:p>
      <w:pPr>
        <w:pStyle w:val="BodyText"/>
      </w:pPr>
      <w:bookmarkStart w:id="72" w:name="ref-6"/>
      <w:bookmarkEnd w:id="72"/>
      <w:r>
        <w:t xml:space="preserve">6. M. E. Sorge, T. Harris, C. Colombo, et al.,</w:t>
      </w:r>
      <w:r>
        <w:t xml:space="preserve"> </w:t>
      </w:r>
      <w:r>
        <w:t xml:space="preserve">“Space traffic management: Improvements to spacecraft collision avoidance (COLA),”</w:t>
      </w:r>
      <w:r>
        <w:t xml:space="preserve"> </w:t>
      </w:r>
      <w:r>
        <w:t xml:space="preserve">Acta Astronautica, vol. 229, 2025. https://doi.org/10.1016/j.actaastro.2025.01.042</w:t>
      </w:r>
    </w:p>
    <w:p>
      <w:pPr>
        <w:pStyle w:val="BodyText"/>
      </w:pPr>
      <w:bookmarkStart w:id="73" w:name="ref-7"/>
      <w:bookmarkEnd w:id="73"/>
      <w:r>
        <w:t xml:space="preserve">7. M. E. Sorge, D. Alary, F. Lacomba, H. Tung, and B. Singh,</w:t>
      </w:r>
      <w:r>
        <w:t xml:space="preserve"> </w:t>
      </w:r>
      <w:r>
        <w:t xml:space="preserve">“Space traffic management: Large constellations,”</w:t>
      </w:r>
      <w:r>
        <w:t xml:space="preserve"> </w:t>
      </w:r>
      <w:r>
        <w:t xml:space="preserve">Acta Astronautica, vol. 229, 2025. https://doi.org/10.1016/j.actaastro.2025.01.043</w:t>
      </w:r>
    </w:p>
    <w:p>
      <w:pPr>
        <w:pStyle w:val="BodyText"/>
      </w:pPr>
      <w:bookmarkStart w:id="74" w:name="ref-8"/>
      <w:bookmarkEnd w:id="74"/>
      <w:r>
        <w:t xml:space="preserve">8. National Institute of Standards and Technology, Digital Signature Standard (DSS), FIPS 186-5, Gaithersburg, MD, 2023. https://doi.org/10.6028/NIST.FIPS.186-5</w:t>
      </w:r>
    </w:p>
    <w:p>
      <w:pPr>
        <w:pStyle w:val="BodyText"/>
      </w:pPr>
      <w:bookmarkStart w:id="75" w:name="ref-9"/>
      <w:bookmarkEnd w:id="75"/>
      <w:r>
        <w:t xml:space="preserve">9. D. J. Bernstein, N. Duif, T. Lange, P. Schwabe, and B.-Y. Yang,</w:t>
      </w:r>
      <w:r>
        <w:t xml:space="preserve"> </w:t>
      </w:r>
      <w:r>
        <w:t xml:space="preserve">“High-speed high-security signatures,”</w:t>
      </w:r>
      <w:r>
        <w:t xml:space="preserve"> </w:t>
      </w:r>
      <w:r>
        <w:t xml:space="preserve">Journal of Cryptographic Engineering, vol. 2, no. 2, pp. 77-89, 2012. https://doi.org/10.1007/s13389-012-0027-1</w:t>
      </w:r>
    </w:p>
    <w:p>
      <w:pPr>
        <w:pStyle w:val="BodyText"/>
      </w:pPr>
      <w:bookmarkStart w:id="76" w:name="ref-10"/>
      <w:bookmarkEnd w:id="76"/>
      <w:r>
        <w:t xml:space="preserve">10. National Institute of Standards and Technology, Recommendation for Key Management, SP 800-57 Part 1 Rev. 5, Gaithersburg, MD, 2020.</w:t>
      </w:r>
    </w:p>
    <w:p>
      <w:pPr>
        <w:pStyle w:val="BodyText"/>
      </w:pPr>
      <w:bookmarkStart w:id="77" w:name="ref-11"/>
      <w:bookmarkEnd w:id="77"/>
      <w:r>
        <w:t xml:space="preserve">11. D. J. Bernstein and T. Lange (eds.), eBACS: ECRYPT Benchmarking of Cryptographic Systems, 2023. https://bench.cr.yp.to</w:t>
      </w:r>
    </w:p>
    <w:p>
      <w:pPr>
        <w:pStyle w:val="BodyText"/>
      </w:pPr>
      <w:bookmarkStart w:id="78" w:name="ref-12"/>
      <w:bookmarkEnd w:id="78"/>
      <w:r>
        <w:t xml:space="preserve">12. National Institute of Standards and Technology, Submission Requirements and Evaluation Criteria for the Post-Quantum Cryptography Standardization Process, 2016.</w:t>
      </w:r>
    </w:p>
    <w:bookmarkEnd w:id="79"/>
    <w:bookmarkStart w:id="80" w:name="specification"/>
    <w:p>
      <w:pPr>
        <w:pStyle w:val="Heading2"/>
      </w:pPr>
      <w:r>
        <w:t xml:space="preserve">Specification</w:t>
      </w:r>
    </w:p>
    <w:p>
      <w:pPr>
        <w:pStyle w:val="FirstParagraph"/>
      </w:pPr>
      <m:oMathPara>
        <m:oMathParaPr>
          <m:jc m:val="center"/>
        </m:oMathParaPr>
        <m:oMath>
          <m:r>
            <m:t>e</m:t>
          </m:r>
          <m:r>
            <m:t>n</m:t>
          </m:r>
          <m:r>
            <m:t>v</m:t>
          </m:r>
          <m:r>
            <m:t>e</m:t>
          </m:r>
          <m:r>
            <m:t>l</m:t>
          </m:r>
          <m:r>
            <m:t>o</m:t>
          </m:r>
          <m:r>
            <m:t>p</m:t>
          </m:r>
          <m:r>
            <m:t>e</m:t>
          </m:r>
          <m:r>
            <m:rPr>
              <m:sty m:val="p"/>
            </m:rPr>
            <m:t>_</m:t>
          </m:r>
          <m:r>
            <m:t>b</m:t>
          </m:r>
          <m:r>
            <m:t>y</m:t>
          </m:r>
          <m:r>
            <m:t>t</m:t>
          </m:r>
          <m:r>
            <m:t>e</m:t>
          </m:r>
          <m:sSub>
            <m:e>
              <m:r>
                <m:t>s</m:t>
              </m:r>
            </m:e>
            <m:sub>
              <m:r>
                <m:t>i</m:t>
              </m:r>
            </m:sub>
          </m:sSub>
          <m:r>
            <m:rPr>
              <m:sty m:val="p"/>
            </m:rPr>
            <m:t>=</m:t>
          </m:r>
          <m:sSub>
            <m:e>
              <m:r>
                <m:t>β</m:t>
              </m:r>
            </m:e>
            <m:sub>
              <m:r>
                <m:t>0</m:t>
              </m:r>
            </m:sub>
          </m:sSub>
          <m:r>
            <m:rPr>
              <m:sty m:val="p"/>
            </m:rPr>
            <m:t>+</m:t>
          </m:r>
          <m:sSub>
            <m:e>
              <m:r>
                <m:t>β</m:t>
              </m:r>
            </m:e>
            <m:sub>
              <m:r>
                <m:t>1</m:t>
              </m:r>
            </m:sub>
          </m:sSub>
          <m:r>
            <m:t>p</m:t>
          </m:r>
          <m:r>
            <m:t>a</m:t>
          </m:r>
          <m:r>
            <m:t>y</m:t>
          </m:r>
          <m:r>
            <m:t>l</m:t>
          </m:r>
          <m:r>
            <m:t>o</m:t>
          </m:r>
          <m:r>
            <m:t>a</m:t>
          </m:r>
          <m:r>
            <m:t>d</m:t>
          </m:r>
          <m:r>
            <m:rPr>
              <m:sty m:val="p"/>
            </m:rPr>
            <m:t>_</m:t>
          </m:r>
          <m:r>
            <m:t>b</m:t>
          </m:r>
          <m:r>
            <m:t>y</m:t>
          </m:r>
          <m:r>
            <m:t>t</m:t>
          </m:r>
          <m:r>
            <m:t>e</m:t>
          </m:r>
          <m:sSub>
            <m:e>
              <m:r>
                <m:t>s</m:t>
              </m:r>
            </m:e>
            <m:sub>
              <m:r>
                <m:t>i</m:t>
              </m:r>
            </m:sub>
          </m:sSub>
          <m:r>
            <m:rPr>
              <m:sty m:val="p"/>
            </m:rPr>
            <m:t>+</m:t>
          </m:r>
          <m:sSub>
            <m:e>
              <m:r>
                <m:t>β</m:t>
              </m:r>
            </m:e>
            <m:sub>
              <m:r>
                <m:t>2</m:t>
              </m:r>
            </m:sub>
          </m:sSub>
          <m:r>
            <m:t>p</m:t>
          </m:r>
          <m:r>
            <m:t>u</m:t>
          </m:r>
          <m:r>
            <m:t>b</m:t>
          </m:r>
          <m:r>
            <m:t>k</m:t>
          </m:r>
          <m:r>
            <m:t>e</m:t>
          </m:r>
          <m:r>
            <m:t>y</m:t>
          </m:r>
          <m:r>
            <m:rPr>
              <m:sty m:val="p"/>
            </m:rPr>
            <m:t>_</m:t>
          </m:r>
          <m:r>
            <m:t>b</m:t>
          </m:r>
          <m:r>
            <m:t>y</m:t>
          </m:r>
          <m:r>
            <m:t>t</m:t>
          </m:r>
          <m:r>
            <m:t>e</m:t>
          </m:r>
          <m:sSub>
            <m:e>
              <m:r>
                <m:t>s</m:t>
              </m:r>
            </m:e>
            <m:sub>
              <m:r>
                <m:t>i</m:t>
              </m:r>
            </m:sub>
          </m:sSub>
          <m:r>
            <m:rPr>
              <m:sty m:val="p"/>
            </m:rPr>
            <m:t>+</m:t>
          </m:r>
          <m:sSub>
            <m:e>
              <m:r>
                <m:t>β</m:t>
              </m:r>
            </m:e>
            <m:sub>
              <m:r>
                <m:t>3</m:t>
              </m:r>
            </m:sub>
          </m:sSub>
          <m:r>
            <m:t>s</m:t>
          </m:r>
          <m:r>
            <m:t>i</m:t>
          </m:r>
          <m:r>
            <m:t>g</m:t>
          </m:r>
          <m:r>
            <m:rPr>
              <m:sty m:val="p"/>
            </m:rPr>
            <m:t>_</m:t>
          </m:r>
          <m:r>
            <m:t>o</m:t>
          </m:r>
          <m:r>
            <m:t>r</m:t>
          </m:r>
          <m:r>
            <m:rPr>
              <m:sty m:val="p"/>
            </m:rPr>
            <m:t>_</m:t>
          </m:r>
          <m:r>
            <m:t>c</m:t>
          </m:r>
          <m:r>
            <m:t>t</m:t>
          </m:r>
          <m:r>
            <m:rPr>
              <m:sty m:val="p"/>
            </m:rPr>
            <m:t>_</m:t>
          </m:r>
          <m:r>
            <m:t>b</m:t>
          </m:r>
          <m:r>
            <m:t>y</m:t>
          </m:r>
          <m:r>
            <m:t>t</m:t>
          </m:r>
          <m:r>
            <m:t>e</m:t>
          </m:r>
          <m:sSub>
            <m:e>
              <m:r>
                <m:t>s</m:t>
              </m:r>
            </m:e>
            <m:sub>
              <m:r>
                <m:t>i</m:t>
              </m:r>
            </m:sub>
          </m:sSub>
          <m:r>
            <m:rPr>
              <m:sty m:val="p"/>
            </m:rPr>
            <m:t>+</m:t>
          </m:r>
          <m:sSub>
            <m:e>
              <m:r>
                <m:t>β</m:t>
              </m:r>
            </m:e>
            <m:sub>
              <m:r>
                <m:t>4</m:t>
              </m:r>
            </m:sub>
          </m:sSub>
          <m:r>
            <m:t>n</m:t>
          </m:r>
          <m:r>
            <m:t>i</m:t>
          </m:r>
          <m:r>
            <m:t>s</m:t>
          </m:r>
          <m:r>
            <m:t>t</m:t>
          </m:r>
          <m:r>
            <m:rPr>
              <m:sty m:val="p"/>
            </m:rPr>
            <m:t>_</m:t>
          </m:r>
          <m:r>
            <m:t>l</m:t>
          </m:r>
          <m:r>
            <m:t>e</m:t>
          </m:r>
          <m:r>
            <m:t>v</m:t>
          </m:r>
          <m:r>
            <m:t>e</m:t>
          </m:r>
          <m:sSub>
            <m:e>
              <m:r>
                <m:t>l</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6.139</w:t>
            </w:r>
          </w:p>
        </w:tc>
        <w:tc>
          <w:tcPr>
            <w:tcW w:w="0" w:type="auto"/>
          </w:tcPr>
          <w:p>
            <w:pPr>
              <w:spacing w:line="240" w:lineRule="auto" w:before="0" w:after="0"/>
              <w:pStyle w:val="Compact"/>
            </w:pPr>
            <w:r>
              <w:rPr>
                <w:sz w:val="20"/>
                <w:szCs w:val="20"/>
              </w:rPr>
              <w:t xml:space="preserve">5.9537</w:t>
            </w:r>
          </w:p>
        </w:tc>
        <w:tc>
          <w:tcPr>
            <w:tcW w:w="0" w:type="auto"/>
          </w:tcPr>
          <w:p>
            <w:pPr>
              <w:spacing w:line="240" w:lineRule="auto" w:before="0" w:after="0"/>
              <w:pStyle w:val="Compact"/>
            </w:pPr>
            <w:r>
              <w:rPr>
                <w:sz w:val="20"/>
                <w:szCs w:val="20"/>
              </w:rPr>
              <w:t xml:space="preserve">1.0311</w:t>
            </w:r>
          </w:p>
        </w:tc>
        <w:tc>
          <w:tcPr>
            <w:tcW w:w="0" w:type="auto"/>
          </w:tcPr>
          <w:p>
            <w:pPr>
              <w:spacing w:line="240" w:lineRule="auto" w:before="0" w:after="0"/>
              <w:pStyle w:val="Compact"/>
            </w:pPr>
            <w:r>
              <w:rPr>
                <w:sz w:val="20"/>
                <w:szCs w:val="20"/>
              </w:rPr>
              <w:t xml:space="preserve">0.3025</w:t>
            </w:r>
          </w:p>
        </w:tc>
        <w:tc>
          <w:tcPr>
            <w:tcW w:w="0" w:type="auto"/>
          </w:tcPr>
          <w:p>
            <w:pPr>
              <w:spacing w:line="240" w:lineRule="auto" w:before="0" w:after="0"/>
              <w:pStyle w:val="Compact"/>
            </w:pPr>
            <w:r>
              <w:rPr>
                <w:sz w:val="20"/>
                <w:szCs w:val="20"/>
              </w:rPr>
              <w:t xml:space="preserve">[-5.53, 17.8079]</w:t>
            </w:r>
          </w:p>
        </w:tc>
      </w:tr>
      <w:tr>
        <w:tc>
          <w:tcPr>
            <w:tcW w:w="0" w:type="auto"/>
          </w:tcPr>
          <w:p>
            <w:pPr>
              <w:spacing w:line="240" w:lineRule="auto" w:before="0" w:after="0"/>
              <w:pStyle w:val="Compact"/>
            </w:pPr>
            <w:r>
              <w:rPr>
                <w:sz w:val="20"/>
                <w:szCs w:val="20"/>
              </w:rPr>
              <w:t xml:space="preserve">payload_bytes</w:t>
            </w:r>
          </w:p>
        </w:tc>
        <w:tc>
          <w:tcPr>
            <w:tcW w:w="0" w:type="auto"/>
          </w:tcPr>
          <w:p>
            <w:pPr>
              <w:spacing w:line="240" w:lineRule="auto" w:before="0" w:after="0"/>
              <w:pStyle w:val="Compact"/>
            </w:pPr>
            <w:r>
              <w:rPr>
                <w:sz w:val="20"/>
                <w:szCs w:val="20"/>
              </w:rPr>
              <w:t xml:space="preserve">0.998</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489.139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[0.994, 1.002]</w:t>
            </w:r>
          </w:p>
        </w:tc>
      </w:tr>
      <w:tr>
        <w:tc>
          <w:tcPr>
            <w:tcW w:w="0" w:type="auto"/>
          </w:tcPr>
          <w:p>
            <w:pPr>
              <w:spacing w:line="240" w:lineRule="auto" w:before="0" w:after="0"/>
              <w:pStyle w:val="Compact"/>
            </w:pPr>
            <w:r>
              <w:rPr>
                <w:sz w:val="20"/>
                <w:szCs w:val="20"/>
              </w:rPr>
              <w:t xml:space="preserve">pubkey_bytes</w:t>
            </w:r>
          </w:p>
        </w:tc>
        <w:tc>
          <w:tcPr>
            <w:tcW w:w="0" w:type="auto"/>
          </w:tcPr>
          <w:p>
            <w:pPr>
              <w:spacing w:line="240" w:lineRule="auto" w:before="0" w:after="0"/>
              <w:pStyle w:val="Compact"/>
            </w:pPr>
            <w:r>
              <w:rPr>
                <w:sz w:val="20"/>
                <w:szCs w:val="20"/>
              </w:rPr>
              <w:t xml:space="preserve">0.9978</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440.7265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[0.9933, 1.0022]</w:t>
            </w:r>
          </w:p>
        </w:tc>
      </w:tr>
      <w:tr>
        <w:tc>
          <w:tcPr>
            <w:tcW w:w="0" w:type="auto"/>
          </w:tcPr>
          <w:p>
            <w:pPr>
              <w:spacing w:line="240" w:lineRule="auto" w:before="0" w:after="0"/>
              <w:pStyle w:val="Compact"/>
            </w:pPr>
            <w:r>
              <w:rPr>
                <w:sz w:val="20"/>
                <w:szCs w:val="20"/>
              </w:rPr>
              <w:t xml:space="preserve">sig_or_ct_bytes</w:t>
            </w:r>
          </w:p>
        </w:tc>
        <w:tc>
          <w:tcPr>
            <w:tcW w:w="0" w:type="auto"/>
          </w:tcPr>
          <w:p>
            <w:pPr>
              <w:spacing w:line="240" w:lineRule="auto" w:before="0" w:after="0"/>
              <w:pStyle w:val="Compact"/>
            </w:pPr>
            <w:r>
              <w:rPr>
                <w:sz w:val="20"/>
                <w:szCs w:val="20"/>
              </w:rPr>
              <w:t xml:space="preserve">0.9999</w:t>
            </w:r>
          </w:p>
        </w:tc>
        <w:tc>
          <w:tcPr>
            <w:tcW w:w="0" w:type="auto"/>
          </w:tcPr>
          <w:p>
            <w:pPr>
              <w:spacing w:line="240" w:lineRule="auto" w:before="0" w:after="0"/>
              <w:pStyle w:val="Compact"/>
            </w:pPr>
            <w:r>
              <w:rPr>
                <w:sz w:val="20"/>
                <w:szCs w:val="20"/>
              </w:rPr>
              <w:t xml:space="preserve">0.0001219</w:t>
            </w:r>
          </w:p>
        </w:tc>
        <w:tc>
          <w:tcPr>
            <w:tcW w:w="0" w:type="auto"/>
          </w:tcPr>
          <w:p>
            <w:pPr>
              <w:spacing w:line="240" w:lineRule="auto" w:before="0" w:after="0"/>
              <w:pStyle w:val="Compact"/>
            </w:pPr>
            <w:r>
              <w:rPr>
                <w:sz w:val="20"/>
                <w:szCs w:val="20"/>
              </w:rPr>
              <w:t xml:space="preserve">8204.9135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[0.9996, 1.0001]</w:t>
            </w:r>
          </w:p>
        </w:tc>
      </w:tr>
      <w:tr>
        <w:tc>
          <w:tcPr>
            <w:tcW w:w="0" w:type="auto"/>
          </w:tcPr>
          <w:p>
            <w:pPr>
              <w:spacing w:line="240" w:lineRule="auto" w:before="0" w:after="0"/>
              <w:pStyle w:val="Compact"/>
            </w:pPr>
            <w:r>
              <w:rPr>
                <w:sz w:val="20"/>
                <w:szCs w:val="20"/>
              </w:rPr>
              <w:t xml:space="preserve">nist_level</w:t>
            </w:r>
          </w:p>
        </w:tc>
        <w:tc>
          <w:tcPr>
            <w:tcW w:w="0" w:type="auto"/>
          </w:tcPr>
          <w:p>
            <w:pPr>
              <w:spacing w:line="240" w:lineRule="auto" w:before="0" w:after="0"/>
              <w:pStyle w:val="Compact"/>
            </w:pPr>
            <w:r>
              <w:rPr>
                <w:sz w:val="20"/>
                <w:szCs w:val="20"/>
              </w:rPr>
              <w:t xml:space="preserve">0.3158</w:t>
            </w:r>
          </w:p>
        </w:tc>
        <w:tc>
          <w:tcPr>
            <w:tcW w:w="0" w:type="auto"/>
          </w:tcPr>
          <w:p>
            <w:pPr>
              <w:spacing w:line="240" w:lineRule="auto" w:before="0" w:after="0"/>
              <w:pStyle w:val="Compact"/>
            </w:pPr>
            <w:r>
              <w:rPr>
                <w:sz w:val="20"/>
                <w:szCs w:val="20"/>
              </w:rPr>
              <w:t xml:space="preserve">0.4215</w:t>
            </w:r>
          </w:p>
        </w:tc>
        <w:tc>
          <w:tcPr>
            <w:tcW w:w="0" w:type="auto"/>
          </w:tcPr>
          <w:p>
            <w:pPr>
              <w:spacing w:line="240" w:lineRule="auto" w:before="0" w:after="0"/>
              <w:pStyle w:val="Compact"/>
            </w:pPr>
            <w:r>
              <w:rPr>
                <w:sz w:val="20"/>
                <w:szCs w:val="20"/>
              </w:rPr>
              <w:t xml:space="preserve">0.7492</w:t>
            </w:r>
          </w:p>
        </w:tc>
        <w:tc>
          <w:tcPr>
            <w:tcW w:w="0" w:type="auto"/>
          </w:tcPr>
          <w:p>
            <w:pPr>
              <w:spacing w:line="240" w:lineRule="auto" w:before="0" w:after="0"/>
              <w:pStyle w:val="Compact"/>
            </w:pPr>
            <w:r>
              <w:rPr>
                <w:sz w:val="20"/>
                <w:szCs w:val="20"/>
              </w:rPr>
              <w:t xml:space="preserve">0.4537</w:t>
            </w:r>
          </w:p>
        </w:tc>
        <w:tc>
          <w:tcPr>
            <w:tcW w:w="0" w:type="auto"/>
          </w:tcPr>
          <w:p>
            <w:pPr>
              <w:spacing w:line="240" w:lineRule="auto" w:before="0" w:after="0"/>
              <w:pStyle w:val="Compact"/>
            </w:pPr>
            <w:r>
              <w:rPr>
                <w:sz w:val="20"/>
                <w:szCs w:val="20"/>
              </w:rPr>
              <w:t xml:space="preserve">[-0.5103, 1.1418]</w:t>
            </w:r>
          </w:p>
        </w:tc>
      </w:tr>
    </w:tbl>
    <w:p>
      <w:pPr>
        <w:pStyle w:val="BodyText"/>
      </w:pPr>
      <w:r>
        <w:t xml:space="preserve">Fit: N = 32 R2 = 1 R2_adj = 1 F = 4.05e+08 F_p = 1.434e-104</w:t>
      </w:r>
    </w:p>
    <w:p>
      <w:pPr>
        <w:pStyle w:val="CaptionedFigure"/>
      </w:pPr>
      <w:r>
        <w:drawing>
          <wp:inline>
            <wp:extent cx="5669280" cy="3657600"/>
            <wp:effectExtent b="0" l="0" r="0" t="0"/>
            <wp:docPr descr="Figure 1. Total envelope wire-cost vs. signature/KEM-ciphertext size across 32 PQC and pre-quantum schemes paired with CCSDS SSA payloads." title="" id="82" name="Picture"/>
            <a:graphic>
              <a:graphicData uri="http://schemas.openxmlformats.org/drawingml/2006/picture">
                <pic:pic>
                  <pic:nvPicPr>
                    <pic:cNvPr descr="D:\Claude_Code\brain\collegium\candidates\dissertations\PHD-04\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Total envelope wire-cost vs. signature/KEM-ciphertext size across 32 PQC and pre-quantum schemes paired with CCSDS SSA payloads.</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obs</w:t>
            </w:r>
          </w:p>
        </w:tc>
        <w:tc>
          <w:tcPr>
            <w:tcW w:w="0" w:type="auto"/>
          </w:tcPr>
          <w:p>
            <w:pPr>
              <w:spacing w:line="240" w:lineRule="auto" w:before="0" w:after="0"/>
              <w:pStyle w:val="Compact"/>
            </w:pPr>
            <w:r>
              <w:rPr>
                <w:sz w:val="20"/>
                <w:szCs w:val="20"/>
              </w:rPr>
              <w:t xml:space="preserve">scheme</w:t>
            </w:r>
          </w:p>
        </w:tc>
        <w:tc>
          <w:tcPr>
            <w:tcW w:w="0" w:type="auto"/>
          </w:tcPr>
          <w:p>
            <w:pPr>
              <w:spacing w:line="240" w:lineRule="auto" w:before="0" w:after="0"/>
              <w:pStyle w:val="Compact"/>
            </w:pPr>
            <w:r>
              <w:rPr>
                <w:sz w:val="20"/>
                <w:szCs w:val="20"/>
              </w:rPr>
              <w:t xml:space="preserve">family</w:t>
            </w:r>
          </w:p>
        </w:tc>
        <w:tc>
          <w:tcPr>
            <w:tcW w:w="0" w:type="auto"/>
          </w:tcPr>
          <w:p>
            <w:pPr>
              <w:spacing w:line="240" w:lineRule="auto" w:before="0" w:after="0"/>
              <w:pStyle w:val="Compact"/>
            </w:pPr>
            <w:r>
              <w:rPr>
                <w:sz w:val="20"/>
                <w:szCs w:val="20"/>
              </w:rPr>
              <w:t xml:space="preserve">nist_level</w:t>
            </w:r>
          </w:p>
        </w:tc>
        <w:tc>
          <w:tcPr>
            <w:tcW w:w="0" w:type="auto"/>
          </w:tcPr>
          <w:p>
            <w:pPr>
              <w:spacing w:line="240" w:lineRule="auto" w:before="0" w:after="0"/>
              <w:pStyle w:val="Compact"/>
            </w:pPr>
            <w:r>
              <w:rPr>
                <w:sz w:val="20"/>
                <w:szCs w:val="20"/>
              </w:rPr>
              <w:t xml:space="preserve">pubkey_bytes</w:t>
            </w:r>
          </w:p>
        </w:tc>
        <w:tc>
          <w:tcPr>
            <w:tcW w:w="0" w:type="auto"/>
          </w:tcPr>
          <w:p>
            <w:pPr>
              <w:spacing w:line="240" w:lineRule="auto" w:before="0" w:after="0"/>
              <w:pStyle w:val="Compact"/>
            </w:pPr>
            <w:r>
              <w:rPr>
                <w:sz w:val="20"/>
                <w:szCs w:val="20"/>
              </w:rPr>
              <w:t xml:space="preserve">sig_or_ct_bytes</w:t>
            </w:r>
          </w:p>
        </w:tc>
        <w:tc>
          <w:tcPr>
            <w:tcW w:w="0" w:type="auto"/>
          </w:tcPr>
          <w:p>
            <w:pPr>
              <w:spacing w:line="240" w:lineRule="auto" w:before="0" w:after="0"/>
              <w:pStyle w:val="Compact"/>
            </w:pPr>
            <w:r>
              <w:rPr>
                <w:sz w:val="20"/>
                <w:szCs w:val="20"/>
              </w:rPr>
              <w:t xml:space="preserve">keygen_kcycles</w:t>
            </w:r>
          </w:p>
        </w:tc>
        <w:tc>
          <w:tcPr>
            <w:tcW w:w="0" w:type="auto"/>
          </w:tcPr>
          <w:p>
            <w:pPr>
              <w:spacing w:line="240" w:lineRule="auto" w:before="0" w:after="0"/>
              <w:pStyle w:val="Compact"/>
            </w:pPr>
            <w:r>
              <w:rPr>
                <w:sz w:val="20"/>
                <w:szCs w:val="20"/>
              </w:rPr>
              <w:t xml:space="preserve">signsec_kcycles</w:t>
            </w:r>
          </w:p>
        </w:tc>
        <w:tc>
          <w:tcPr>
            <w:tcW w:w="0" w:type="auto"/>
          </w:tcPr>
          <w:p>
            <w:pPr>
              <w:spacing w:line="240" w:lineRule="auto" w:before="0" w:after="0"/>
              <w:pStyle w:val="Compact"/>
            </w:pPr>
            <w:r>
              <w:rPr>
                <w:sz w:val="20"/>
                <w:szCs w:val="20"/>
              </w:rPr>
              <w:t xml:space="preserve">verifyopen_kcycles</w:t>
            </w:r>
          </w:p>
        </w:tc>
        <w:tc>
          <w:tcPr>
            <w:tcW w:w="0" w:type="auto"/>
          </w:tcPr>
          <w:p>
            <w:pPr>
              <w:spacing w:line="240" w:lineRule="auto" w:before="0" w:after="0"/>
              <w:pStyle w:val="Compact"/>
            </w:pPr>
            <w:r>
              <w:rPr>
                <w:sz w:val="20"/>
                <w:szCs w:val="20"/>
              </w:rPr>
              <w:t xml:space="preserve">payload_bytes</w:t>
            </w:r>
          </w:p>
        </w:tc>
        <w:tc>
          <w:tcPr>
            <w:tcW w:w="0" w:type="auto"/>
          </w:tcPr>
          <w:p>
            <w:pPr>
              <w:spacing w:line="240" w:lineRule="auto" w:before="0" w:after="0"/>
              <w:pStyle w:val="Compact"/>
            </w:pPr>
            <w:r>
              <w:rPr>
                <w:sz w:val="20"/>
                <w:szCs w:val="20"/>
              </w:rPr>
              <w:t xml:space="preserve">envelope_bytes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Kyber512</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3068</w:t>
            </w:r>
          </w:p>
        </w:tc>
        <w:tc>
          <w:tcPr>
            <w:tcW w:w="0" w:type="auto"/>
          </w:tcPr>
          <w:p>
            <w:pPr>
              <w:spacing w:line="240" w:lineRule="auto" w:before="0" w:after="0"/>
              <w:pStyle w:val="Compact"/>
            </w:pPr>
            <w:r>
              <w:rPr>
                <w:sz w:val="20"/>
                <w:szCs w:val="20"/>
              </w:rPr>
              <w:t xml:space="preserve">NIST IR 8413 (2022) Table 3 (CRYSTALS-Kyber Round 3 spec); eBACS SUPERCOP 2023 amd64 skylake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Kyber768</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1184</w:t>
            </w:r>
          </w:p>
        </w:tc>
        <w:tc>
          <w:tcPr>
            <w:tcW w:w="0" w:type="auto"/>
          </w:tcPr>
          <w:p>
            <w:pPr>
              <w:spacing w:line="240" w:lineRule="auto" w:before="0" w:after="0"/>
              <w:pStyle w:val="Compact"/>
            </w:pPr>
            <w:r>
              <w:rPr>
                <w:sz w:val="20"/>
                <w:szCs w:val="20"/>
              </w:rPr>
              <w:t xml:space="preserve">1088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3772</w:t>
            </w:r>
          </w:p>
        </w:tc>
        <w:tc>
          <w:tcPr>
            <w:tcW w:w="0" w:type="auto"/>
          </w:tcPr>
          <w:p>
            <w:pPr>
              <w:spacing w:line="240" w:lineRule="auto" w:before="0" w:after="0"/>
              <w:pStyle w:val="Compact"/>
            </w:pPr>
            <w:r>
              <w:rPr>
                <w:sz w:val="20"/>
                <w:szCs w:val="20"/>
              </w:rPr>
              <w:t xml:space="preserve">NIST IR 8413 (2022) Table 3; eBACS SUPERCOP 2023 amd64 skylake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Kyber1024</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1568</w:t>
            </w:r>
          </w:p>
        </w:tc>
        <w:tc>
          <w:tcPr>
            <w:tcW w:w="0" w:type="auto"/>
          </w:tcPr>
          <w:p>
            <w:pPr>
              <w:spacing w:line="240" w:lineRule="auto" w:before="0" w:after="0"/>
              <w:pStyle w:val="Compact"/>
            </w:pPr>
            <w:r>
              <w:rPr>
                <w:sz w:val="20"/>
                <w:szCs w:val="20"/>
              </w:rPr>
              <w:t xml:space="preserve">1568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4636</w:t>
            </w:r>
          </w:p>
        </w:tc>
        <w:tc>
          <w:tcPr>
            <w:tcW w:w="0" w:type="auto"/>
          </w:tcPr>
          <w:p>
            <w:pPr>
              <w:spacing w:line="240" w:lineRule="auto" w:before="0" w:after="0"/>
              <w:pStyle w:val="Compact"/>
            </w:pPr>
            <w:r>
              <w:rPr>
                <w:sz w:val="20"/>
                <w:szCs w:val="20"/>
              </w:rPr>
              <w:t xml:space="preserve">NIST IR 8413 (2022) Table 3; eBACS SUPERCOP 2023 amd64 skylake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Dilithium2</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1312</w:t>
            </w:r>
          </w:p>
        </w:tc>
        <w:tc>
          <w:tcPr>
            <w:tcW w:w="0" w:type="auto"/>
          </w:tcPr>
          <w:p>
            <w:pPr>
              <w:spacing w:line="240" w:lineRule="auto" w:before="0" w:after="0"/>
              <w:pStyle w:val="Compact"/>
            </w:pPr>
            <w:r>
              <w:rPr>
                <w:sz w:val="20"/>
                <w:szCs w:val="20"/>
              </w:rPr>
              <w:t xml:space="preserve">2420</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332</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5232</w:t>
            </w:r>
          </w:p>
        </w:tc>
        <w:tc>
          <w:tcPr>
            <w:tcW w:w="0" w:type="auto"/>
          </w:tcPr>
          <w:p>
            <w:pPr>
              <w:spacing w:line="240" w:lineRule="auto" w:before="0" w:after="0"/>
              <w:pStyle w:val="Compact"/>
            </w:pPr>
            <w:r>
              <w:rPr>
                <w:sz w:val="20"/>
                <w:szCs w:val="20"/>
              </w:rPr>
              <w:t xml:space="preserve">NIST IR 8413 (2022) Table 4 (CRYSTALS-Dilithium Round 3 spec); eBACS SUPERCOP 2023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Dilithium3</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1952</w:t>
            </w:r>
          </w:p>
        </w:tc>
        <w:tc>
          <w:tcPr>
            <w:tcW w:w="0" w:type="auto"/>
          </w:tcPr>
          <w:p>
            <w:pPr>
              <w:spacing w:line="240" w:lineRule="auto" w:before="0" w:after="0"/>
              <w:pStyle w:val="Compact"/>
            </w:pPr>
            <w:r>
              <w:rPr>
                <w:sz w:val="20"/>
                <w:szCs w:val="20"/>
              </w:rPr>
              <w:t xml:space="preserve">3293</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6745</w:t>
            </w:r>
          </w:p>
        </w:tc>
        <w:tc>
          <w:tcPr>
            <w:tcW w:w="0" w:type="auto"/>
          </w:tcPr>
          <w:p>
            <w:pPr>
              <w:spacing w:line="240" w:lineRule="auto" w:before="0" w:after="0"/>
              <w:pStyle w:val="Compact"/>
            </w:pPr>
            <w:r>
              <w:rPr>
                <w:sz w:val="20"/>
                <w:szCs w:val="20"/>
              </w:rPr>
              <w:t xml:space="preserve">NIST IR 8413 (2022) Table 4; eBACS SUPERCOP 2023</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Dilithium5</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2592</w:t>
            </w:r>
          </w:p>
        </w:tc>
        <w:tc>
          <w:tcPr>
            <w:tcW w:w="0" w:type="auto"/>
          </w:tcPr>
          <w:p>
            <w:pPr>
              <w:spacing w:line="240" w:lineRule="auto" w:before="0" w:after="0"/>
              <w:pStyle w:val="Compact"/>
            </w:pPr>
            <w:r>
              <w:rPr>
                <w:sz w:val="20"/>
                <w:szCs w:val="20"/>
              </w:rPr>
              <w:t xml:space="preserve">4595</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232</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8687</w:t>
            </w:r>
          </w:p>
        </w:tc>
        <w:tc>
          <w:tcPr>
            <w:tcW w:w="0" w:type="auto"/>
          </w:tcPr>
          <w:p>
            <w:pPr>
              <w:spacing w:line="240" w:lineRule="auto" w:before="0" w:after="0"/>
              <w:pStyle w:val="Compact"/>
            </w:pPr>
            <w:r>
              <w:rPr>
                <w:sz w:val="20"/>
                <w:szCs w:val="20"/>
              </w:rPr>
              <w:t xml:space="preserve">NIST IR 8413 (2022) Table 4; eBACS SUPERCOP 2023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Falcon512</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897</w:t>
            </w:r>
          </w:p>
        </w:tc>
        <w:tc>
          <w:tcPr>
            <w:tcW w:w="0" w:type="auto"/>
          </w:tcPr>
          <w:p>
            <w:pPr>
              <w:spacing w:line="240" w:lineRule="auto" w:before="0" w:after="0"/>
              <w:pStyle w:val="Compact"/>
            </w:pPr>
            <w:r>
              <w:rPr>
                <w:sz w:val="20"/>
                <w:szCs w:val="20"/>
              </w:rPr>
              <w:t xml:space="preserve">666</w:t>
            </w:r>
          </w:p>
        </w:tc>
        <w:tc>
          <w:tcPr>
            <w:tcW w:w="0" w:type="auto"/>
          </w:tcPr>
          <w:p>
            <w:pPr>
              <w:spacing w:line="240" w:lineRule="auto" w:before="0" w:after="0"/>
              <w:pStyle w:val="Compact"/>
            </w:pPr>
            <w:r>
              <w:rPr>
                <w:sz w:val="20"/>
                <w:szCs w:val="20"/>
              </w:rPr>
              <w:t xml:space="preserve">8636</w:t>
            </w:r>
          </w:p>
        </w:tc>
        <w:tc>
          <w:tcPr>
            <w:tcW w:w="0" w:type="auto"/>
          </w:tcPr>
          <w:p>
            <w:pPr>
              <w:spacing w:line="240" w:lineRule="auto" w:before="0" w:after="0"/>
              <w:pStyle w:val="Compact"/>
            </w:pPr>
            <w:r>
              <w:rPr>
                <w:sz w:val="20"/>
                <w:szCs w:val="20"/>
              </w:rPr>
              <w:t xml:space="preserve">1010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3063</w:t>
            </w:r>
          </w:p>
        </w:tc>
        <w:tc>
          <w:tcPr>
            <w:tcW w:w="0" w:type="auto"/>
          </w:tcPr>
          <w:p>
            <w:pPr>
              <w:spacing w:line="240" w:lineRule="auto" w:before="0" w:after="0"/>
              <w:pStyle w:val="Compact"/>
            </w:pPr>
            <w:r>
              <w:rPr>
                <w:sz w:val="20"/>
                <w:szCs w:val="20"/>
              </w:rPr>
              <w:t xml:space="preserve">NIST IR 8413 (2022) Table 5 (Falcon spec v1.2); eBACS SUPERCOP 2023</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Falcon1024</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1793</w:t>
            </w:r>
          </w:p>
        </w:tc>
        <w:tc>
          <w:tcPr>
            <w:tcW w:w="0" w:type="auto"/>
          </w:tcPr>
          <w:p>
            <w:pPr>
              <w:spacing w:line="240" w:lineRule="auto" w:before="0" w:after="0"/>
              <w:pStyle w:val="Compact"/>
            </w:pPr>
            <w:r>
              <w:rPr>
                <w:sz w:val="20"/>
                <w:szCs w:val="20"/>
              </w:rPr>
              <w:t xml:space="preserve">1280</w:t>
            </w:r>
          </w:p>
        </w:tc>
        <w:tc>
          <w:tcPr>
            <w:tcW w:w="0" w:type="auto"/>
          </w:tcPr>
          <w:p>
            <w:pPr>
              <w:spacing w:line="240" w:lineRule="auto" w:before="0" w:after="0"/>
              <w:pStyle w:val="Compact"/>
            </w:pPr>
            <w:r>
              <w:rPr>
                <w:sz w:val="20"/>
                <w:szCs w:val="20"/>
              </w:rPr>
              <w:t xml:space="preserve">28041</w:t>
            </w:r>
          </w:p>
        </w:tc>
        <w:tc>
          <w:tcPr>
            <w:tcW w:w="0" w:type="auto"/>
          </w:tcPr>
          <w:p>
            <w:pPr>
              <w:spacing w:line="240" w:lineRule="auto" w:before="0" w:after="0"/>
              <w:pStyle w:val="Compact"/>
            </w:pPr>
            <w:r>
              <w:rPr>
                <w:sz w:val="20"/>
                <w:szCs w:val="20"/>
              </w:rPr>
              <w:t xml:space="preserve">2059</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4573</w:t>
            </w:r>
          </w:p>
        </w:tc>
        <w:tc>
          <w:tcPr>
            <w:tcW w:w="0" w:type="auto"/>
          </w:tcPr>
          <w:p>
            <w:pPr>
              <w:spacing w:line="240" w:lineRule="auto" w:before="0" w:after="0"/>
              <w:pStyle w:val="Compact"/>
            </w:pPr>
            <w:r>
              <w:rPr>
                <w:sz w:val="20"/>
                <w:szCs w:val="20"/>
              </w:rPr>
              <w:t xml:space="preserve">NIST IR 8413 (2022) Table 5; eBACS SUPERCOP 2023</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SPHINCS-128s</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7856</w:t>
            </w:r>
          </w:p>
        </w:tc>
        <w:tc>
          <w:tcPr>
            <w:tcW w:w="0" w:type="auto"/>
          </w:tcPr>
          <w:p>
            <w:pPr>
              <w:spacing w:line="240" w:lineRule="auto" w:before="0" w:after="0"/>
              <w:pStyle w:val="Compact"/>
            </w:pPr>
            <w:r>
              <w:rPr>
                <w:sz w:val="20"/>
                <w:szCs w:val="20"/>
              </w:rPr>
              <w:t xml:space="preserve">300000</w:t>
            </w:r>
          </w:p>
        </w:tc>
        <w:tc>
          <w:tcPr>
            <w:tcW w:w="0" w:type="auto"/>
          </w:tcPr>
          <w:p>
            <w:pPr>
              <w:spacing w:line="240" w:lineRule="auto" w:before="0" w:after="0"/>
              <w:pStyle w:val="Compact"/>
            </w:pPr>
            <w:r>
              <w:rPr>
                <w:sz w:val="20"/>
                <w:szCs w:val="20"/>
              </w:rPr>
              <w:t xml:space="preserve">3500000</w:t>
            </w:r>
          </w:p>
        </w:tc>
        <w:tc>
          <w:tcPr>
            <w:tcW w:w="0" w:type="auto"/>
          </w:tcPr>
          <w:p>
            <w:pPr>
              <w:spacing w:line="240" w:lineRule="auto" w:before="0" w:after="0"/>
              <w:pStyle w:val="Compact"/>
            </w:pPr>
            <w:r>
              <w:rPr>
                <w:sz w:val="20"/>
                <w:szCs w:val="20"/>
              </w:rPr>
              <w:t xml:space="preserve">9500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9388</w:t>
            </w:r>
          </w:p>
        </w:tc>
        <w:tc>
          <w:tcPr>
            <w:tcW w:w="0" w:type="auto"/>
          </w:tcPr>
          <w:p>
            <w:pPr>
              <w:spacing w:line="240" w:lineRule="auto" w:before="0" w:after="0"/>
              <w:pStyle w:val="Compact"/>
            </w:pPr>
            <w:r>
              <w:rPr>
                <w:sz w:val="20"/>
                <w:szCs w:val="20"/>
              </w:rPr>
              <w:t xml:space="preserve">NIST IR 8413 (2022) Table 6 (SPHINCS+ Round 3); eBACS SUPERCOP 2023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SPHINCS-128f</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17088</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79000</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18620</w:t>
            </w:r>
          </w:p>
        </w:tc>
        <w:tc>
          <w:tcPr>
            <w:tcW w:w="0" w:type="auto"/>
          </w:tcPr>
          <w:p>
            <w:pPr>
              <w:spacing w:line="240" w:lineRule="auto" w:before="0" w:after="0"/>
              <w:pStyle w:val="Compact"/>
            </w:pPr>
            <w:r>
              <w:rPr>
                <w:sz w:val="20"/>
                <w:szCs w:val="20"/>
              </w:rPr>
              <w:t xml:space="preserve">NIST IR 8413 (2022) Table 6; eBACS SUPERCOP 2023</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SPHINCS-192s</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16224</w:t>
            </w:r>
          </w:p>
        </w:tc>
        <w:tc>
          <w:tcPr>
            <w:tcW w:w="0" w:type="auto"/>
          </w:tcPr>
          <w:p>
            <w:pPr>
              <w:spacing w:line="240" w:lineRule="auto" w:before="0" w:after="0"/>
              <w:pStyle w:val="Compact"/>
            </w:pPr>
            <w:r>
              <w:rPr>
                <w:sz w:val="20"/>
                <w:szCs w:val="20"/>
              </w:rPr>
              <w:t xml:space="preserve">460000</w:t>
            </w:r>
          </w:p>
        </w:tc>
        <w:tc>
          <w:tcPr>
            <w:tcW w:w="0" w:type="auto"/>
          </w:tcPr>
          <w:p>
            <w:pPr>
              <w:spacing w:line="240" w:lineRule="auto" w:before="0" w:after="0"/>
              <w:pStyle w:val="Compact"/>
            </w:pPr>
            <w:r>
              <w:rPr>
                <w:sz w:val="20"/>
                <w:szCs w:val="20"/>
              </w:rPr>
              <w:t xml:space="preserve">7300000</w:t>
            </w:r>
          </w:p>
        </w:tc>
        <w:tc>
          <w:tcPr>
            <w:tcW w:w="0" w:type="auto"/>
          </w:tcPr>
          <w:p>
            <w:pPr>
              <w:spacing w:line="240" w:lineRule="auto" w:before="0" w:after="0"/>
              <w:pStyle w:val="Compact"/>
            </w:pPr>
            <w:r>
              <w:rPr>
                <w:sz w:val="20"/>
                <w:szCs w:val="20"/>
              </w:rPr>
              <w:t xml:space="preserve">15000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17772</w:t>
            </w:r>
          </w:p>
        </w:tc>
        <w:tc>
          <w:tcPr>
            <w:tcW w:w="0" w:type="auto"/>
          </w:tcPr>
          <w:p>
            <w:pPr>
              <w:spacing w:line="240" w:lineRule="auto" w:before="0" w:after="0"/>
              <w:pStyle w:val="Compact"/>
            </w:pPr>
            <w:r>
              <w:rPr>
                <w:sz w:val="20"/>
                <w:szCs w:val="20"/>
              </w:rPr>
              <w:t xml:space="preserve">NIST IR 8413 (2022) Table 6; eBACS SUPERCOP 2023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SPHINCS-192f</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35664</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138000</w:t>
            </w:r>
          </w:p>
        </w:tc>
        <w:tc>
          <w:tcPr>
            <w:tcW w:w="0" w:type="auto"/>
          </w:tcPr>
          <w:p>
            <w:pPr>
              <w:spacing w:line="240" w:lineRule="auto" w:before="0" w:after="0"/>
              <w:pStyle w:val="Compact"/>
            </w:pPr>
            <w:r>
              <w:rPr>
                <w:sz w:val="20"/>
                <w:szCs w:val="20"/>
              </w:rPr>
              <w:t xml:space="preserve">9500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37212</w:t>
            </w:r>
          </w:p>
        </w:tc>
        <w:tc>
          <w:tcPr>
            <w:tcW w:w="0" w:type="auto"/>
          </w:tcPr>
          <w:p>
            <w:pPr>
              <w:spacing w:line="240" w:lineRule="auto" w:before="0" w:after="0"/>
              <w:pStyle w:val="Compact"/>
            </w:pPr>
            <w:r>
              <w:rPr>
                <w:sz w:val="20"/>
                <w:szCs w:val="20"/>
              </w:rPr>
              <w:t xml:space="preserve">NIST IR 8413 (2022) Table 6; eBACS SUPERCOP 2023</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SPHINCS-256s</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29792</w:t>
            </w:r>
          </w:p>
        </w:tc>
        <w:tc>
          <w:tcPr>
            <w:tcW w:w="0" w:type="auto"/>
          </w:tcPr>
          <w:p>
            <w:pPr>
              <w:spacing w:line="240" w:lineRule="auto" w:before="0" w:after="0"/>
              <w:pStyle w:val="Compact"/>
            </w:pPr>
            <w:r>
              <w:rPr>
                <w:sz w:val="20"/>
                <w:szCs w:val="20"/>
              </w:rPr>
              <w:t xml:space="preserve">460000</w:t>
            </w:r>
          </w:p>
        </w:tc>
        <w:tc>
          <w:tcPr>
            <w:tcW w:w="0" w:type="auto"/>
          </w:tcPr>
          <w:p>
            <w:pPr>
              <w:spacing w:line="240" w:lineRule="auto" w:before="0" w:after="0"/>
              <w:pStyle w:val="Compact"/>
            </w:pPr>
            <w:r>
              <w:rPr>
                <w:sz w:val="20"/>
                <w:szCs w:val="20"/>
              </w:rPr>
              <w:t xml:space="preserve">6700000</w:t>
            </w:r>
          </w:p>
        </w:tc>
        <w:tc>
          <w:tcPr>
            <w:tcW w:w="0" w:type="auto"/>
          </w:tcPr>
          <w:p>
            <w:pPr>
              <w:spacing w:line="240" w:lineRule="auto" w:before="0" w:after="0"/>
              <w:pStyle w:val="Compact"/>
            </w:pPr>
            <w:r>
              <w:rPr>
                <w:sz w:val="20"/>
                <w:szCs w:val="20"/>
              </w:rPr>
              <w:t xml:space="preserve">18000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31356</w:t>
            </w:r>
          </w:p>
        </w:tc>
        <w:tc>
          <w:tcPr>
            <w:tcW w:w="0" w:type="auto"/>
          </w:tcPr>
          <w:p>
            <w:pPr>
              <w:spacing w:line="240" w:lineRule="auto" w:before="0" w:after="0"/>
              <w:pStyle w:val="Compact"/>
            </w:pPr>
            <w:r>
              <w:rPr>
                <w:sz w:val="20"/>
                <w:szCs w:val="20"/>
              </w:rPr>
              <w:t xml:space="preserve">NIST IR 8413 (2022) Table 6; eBACS SUPERCOP 2023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SPHINCS-256f</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49856</w:t>
            </w:r>
          </w:p>
        </w:tc>
        <w:tc>
          <w:tcPr>
            <w:tcW w:w="0" w:type="auto"/>
          </w:tcPr>
          <w:p>
            <w:pPr>
              <w:spacing w:line="240" w:lineRule="auto" w:before="0" w:after="0"/>
              <w:pStyle w:val="Compact"/>
            </w:pPr>
            <w:r>
              <w:rPr>
                <w:sz w:val="20"/>
                <w:szCs w:val="20"/>
              </w:rPr>
              <w:t xml:space="preserve">2700</w:t>
            </w:r>
          </w:p>
        </w:tc>
        <w:tc>
          <w:tcPr>
            <w:tcW w:w="0" w:type="auto"/>
          </w:tcPr>
          <w:p>
            <w:pPr>
              <w:spacing w:line="240" w:lineRule="auto" w:before="0" w:after="0"/>
              <w:pStyle w:val="Compact"/>
            </w:pPr>
            <w:r>
              <w:rPr>
                <w:sz w:val="20"/>
                <w:szCs w:val="20"/>
              </w:rPr>
              <w:t xml:space="preserve">232000</w:t>
            </w:r>
          </w:p>
        </w:tc>
        <w:tc>
          <w:tcPr>
            <w:tcW w:w="0" w:type="auto"/>
          </w:tcPr>
          <w:p>
            <w:pPr>
              <w:spacing w:line="240" w:lineRule="auto" w:before="0" w:after="0"/>
              <w:pStyle w:val="Compact"/>
            </w:pPr>
            <w:r>
              <w:rPr>
                <w:sz w:val="20"/>
                <w:szCs w:val="20"/>
              </w:rPr>
              <w:t xml:space="preserve">21000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51420</w:t>
            </w:r>
          </w:p>
        </w:tc>
        <w:tc>
          <w:tcPr>
            <w:tcW w:w="0" w:type="auto"/>
          </w:tcPr>
          <w:p>
            <w:pPr>
              <w:spacing w:line="240" w:lineRule="auto" w:before="0" w:after="0"/>
              <w:pStyle w:val="Compact"/>
            </w:pPr>
            <w:r>
              <w:rPr>
                <w:sz w:val="20"/>
                <w:szCs w:val="20"/>
              </w:rPr>
              <w:t xml:space="preserve">NIST IR 8413 (2022) Table 6; eBACS SUPERCOP 2023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ECDSA-P256</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1628</w:t>
            </w:r>
          </w:p>
        </w:tc>
        <w:tc>
          <w:tcPr>
            <w:tcW w:w="0" w:type="auto"/>
          </w:tcPr>
          <w:p>
            <w:pPr>
              <w:spacing w:line="240" w:lineRule="auto" w:before="0" w:after="0"/>
              <w:pStyle w:val="Compact"/>
            </w:pPr>
            <w:r>
              <w:rPr>
                <w:sz w:val="20"/>
                <w:szCs w:val="20"/>
              </w:rPr>
              <w:t xml:space="preserve">Bernstein and Lange eBACS SUPERCOP 2023 (NIST P-256 baseline); NIST FIPS 186-5 (2023)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Ed25519</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1596</w:t>
            </w:r>
          </w:p>
        </w:tc>
        <w:tc>
          <w:tcPr>
            <w:tcW w:w="0" w:type="auto"/>
          </w:tcPr>
          <w:p>
            <w:pPr>
              <w:spacing w:line="240" w:lineRule="auto" w:before="0" w:after="0"/>
              <w:pStyle w:val="Compact"/>
            </w:pPr>
            <w:r>
              <w:rPr>
                <w:sz w:val="20"/>
                <w:szCs w:val="20"/>
              </w:rPr>
              <w:t xml:space="preserve">Bernstein et al. (2012) High-speed high-security signatures J. Crypto. Eng.; eBACS SUPERCOP 2023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RSA-3072-sig</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387</w:t>
            </w:r>
          </w:p>
        </w:tc>
        <w:tc>
          <w:tcPr>
            <w:tcW w:w="0" w:type="auto"/>
          </w:tcPr>
          <w:p>
            <w:pPr>
              <w:spacing w:line="240" w:lineRule="auto" w:before="0" w:after="0"/>
              <w:pStyle w:val="Compact"/>
            </w:pPr>
            <w:r>
              <w:rPr>
                <w:sz w:val="20"/>
                <w:szCs w:val="20"/>
              </w:rPr>
              <w:t xml:space="preserve">384</w:t>
            </w:r>
          </w:p>
        </w:tc>
        <w:tc>
          <w:tcPr>
            <w:tcW w:w="0" w:type="auto"/>
          </w:tcPr>
          <w:p>
            <w:pPr>
              <w:spacing w:line="240" w:lineRule="auto" w:before="0" w:after="0"/>
              <w:pStyle w:val="Compact"/>
            </w:pPr>
            <w:r>
              <w:rPr>
                <w:sz w:val="20"/>
                <w:szCs w:val="20"/>
              </w:rPr>
              <w:t xml:space="preserve">300000</w:t>
            </w:r>
          </w:p>
        </w:tc>
        <w:tc>
          <w:tcPr>
            <w:tcW w:w="0" w:type="auto"/>
          </w:tcPr>
          <w:p>
            <w:pPr>
              <w:spacing w:line="240" w:lineRule="auto" w:before="0" w:after="0"/>
              <w:pStyle w:val="Compact"/>
            </w:pPr>
            <w:r>
              <w:rPr>
                <w:sz w:val="20"/>
                <w:szCs w:val="20"/>
              </w:rPr>
              <w:t xml:space="preserve">8000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2271</w:t>
            </w:r>
          </w:p>
        </w:tc>
        <w:tc>
          <w:tcPr>
            <w:tcW w:w="0" w:type="auto"/>
          </w:tcPr>
          <w:p>
            <w:pPr>
              <w:spacing w:line="240" w:lineRule="auto" w:before="0" w:after="0"/>
              <w:pStyle w:val="Compact"/>
            </w:pPr>
            <w:r>
              <w:rPr>
                <w:sz w:val="20"/>
                <w:szCs w:val="20"/>
              </w:rPr>
              <w:t xml:space="preserve">NIST SP 800-57 Part 1 Rev. 5 (2020); eBACS SUPERCOP 2023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X25519-kex</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1564</w:t>
            </w:r>
          </w:p>
        </w:tc>
        <w:tc>
          <w:tcPr>
            <w:tcW w:w="0" w:type="auto"/>
          </w:tcPr>
          <w:p>
            <w:pPr>
              <w:spacing w:line="240" w:lineRule="auto" w:before="0" w:after="0"/>
              <w:pStyle w:val="Compact"/>
            </w:pPr>
            <w:r>
              <w:rPr>
                <w:sz w:val="20"/>
                <w:szCs w:val="20"/>
              </w:rPr>
              <w:t xml:space="preserve">Bernstein (2006) Curve25519; eBACS SUPERCOP 2023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Kyber512-CDM</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2368</w:t>
            </w:r>
          </w:p>
        </w:tc>
        <w:tc>
          <w:tcPr>
            <w:tcW w:w="0" w:type="auto"/>
          </w:tcPr>
          <w:p>
            <w:pPr>
              <w:spacing w:line="240" w:lineRule="auto" w:before="0" w:after="0"/>
              <w:pStyle w:val="Compact"/>
            </w:pPr>
            <w:r>
              <w:rPr>
                <w:sz w:val="20"/>
                <w:szCs w:val="20"/>
              </w:rPr>
              <w:t xml:space="preserve">CCSDS 508.0-B-1 CDM message size (2013) Sec. 3.2.1; NIST IR 8413 Table 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Kyber768-CDM</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1184</w:t>
            </w:r>
          </w:p>
        </w:tc>
        <w:tc>
          <w:tcPr>
            <w:tcW w:w="0" w:type="auto"/>
          </w:tcPr>
          <w:p>
            <w:pPr>
              <w:spacing w:line="240" w:lineRule="auto" w:before="0" w:after="0"/>
              <w:pStyle w:val="Compact"/>
            </w:pPr>
            <w:r>
              <w:rPr>
                <w:sz w:val="20"/>
                <w:szCs w:val="20"/>
              </w:rPr>
              <w:t xml:space="preserve">1088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3072</w:t>
            </w:r>
          </w:p>
        </w:tc>
        <w:tc>
          <w:tcPr>
            <w:tcW w:w="0" w:type="auto"/>
          </w:tcPr>
          <w:p>
            <w:pPr>
              <w:spacing w:line="240" w:lineRule="auto" w:before="0" w:after="0"/>
              <w:pStyle w:val="Compact"/>
            </w:pPr>
            <w:r>
              <w:rPr>
                <w:sz w:val="20"/>
                <w:szCs w:val="20"/>
              </w:rPr>
              <w:t xml:space="preserve">CCSDS 508.0-B-1 CDM size; NIST IR 8413 Table 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Dilithium3-CDM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1952</w:t>
            </w:r>
          </w:p>
        </w:tc>
        <w:tc>
          <w:tcPr>
            <w:tcW w:w="0" w:type="auto"/>
          </w:tcPr>
          <w:p>
            <w:pPr>
              <w:spacing w:line="240" w:lineRule="auto" w:before="0" w:after="0"/>
              <w:pStyle w:val="Compact"/>
            </w:pPr>
            <w:r>
              <w:rPr>
                <w:sz w:val="20"/>
                <w:szCs w:val="20"/>
              </w:rPr>
              <w:t xml:space="preserve">3293</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6045</w:t>
            </w:r>
          </w:p>
        </w:tc>
        <w:tc>
          <w:tcPr>
            <w:tcW w:w="0" w:type="auto"/>
          </w:tcPr>
          <w:p>
            <w:pPr>
              <w:spacing w:line="240" w:lineRule="auto" w:before="0" w:after="0"/>
              <w:pStyle w:val="Compact"/>
            </w:pPr>
            <w:r>
              <w:rPr>
                <w:sz w:val="20"/>
                <w:szCs w:val="20"/>
              </w:rPr>
              <w:t xml:space="preserve">CCSDS 508.0-B-1 CDM; NIST IR 8413 Table 4</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Falcon512-CDM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897</w:t>
            </w:r>
          </w:p>
        </w:tc>
        <w:tc>
          <w:tcPr>
            <w:tcW w:w="0" w:type="auto"/>
          </w:tcPr>
          <w:p>
            <w:pPr>
              <w:spacing w:line="240" w:lineRule="auto" w:before="0" w:after="0"/>
              <w:pStyle w:val="Compact"/>
            </w:pPr>
            <w:r>
              <w:rPr>
                <w:sz w:val="20"/>
                <w:szCs w:val="20"/>
              </w:rPr>
              <w:t xml:space="preserve">666</w:t>
            </w:r>
          </w:p>
        </w:tc>
        <w:tc>
          <w:tcPr>
            <w:tcW w:w="0" w:type="auto"/>
          </w:tcPr>
          <w:p>
            <w:pPr>
              <w:spacing w:line="240" w:lineRule="auto" w:before="0" w:after="0"/>
              <w:pStyle w:val="Compact"/>
            </w:pPr>
            <w:r>
              <w:rPr>
                <w:sz w:val="20"/>
                <w:szCs w:val="20"/>
              </w:rPr>
              <w:t xml:space="preserve">8636</w:t>
            </w:r>
          </w:p>
        </w:tc>
        <w:tc>
          <w:tcPr>
            <w:tcW w:w="0" w:type="auto"/>
          </w:tcPr>
          <w:p>
            <w:pPr>
              <w:spacing w:line="240" w:lineRule="auto" w:before="0" w:after="0"/>
              <w:pStyle w:val="Compact"/>
            </w:pPr>
            <w:r>
              <w:rPr>
                <w:sz w:val="20"/>
                <w:szCs w:val="20"/>
              </w:rPr>
              <w:t xml:space="preserve">1010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2363</w:t>
            </w:r>
          </w:p>
        </w:tc>
        <w:tc>
          <w:tcPr>
            <w:tcW w:w="0" w:type="auto"/>
          </w:tcPr>
          <w:p>
            <w:pPr>
              <w:spacing w:line="240" w:lineRule="auto" w:before="0" w:after="0"/>
              <w:pStyle w:val="Compact"/>
            </w:pPr>
            <w:r>
              <w:rPr>
                <w:sz w:val="20"/>
                <w:szCs w:val="20"/>
              </w:rPr>
              <w:t xml:space="preserve">CCSDS 508.0-B-1 CDM; NIST IR 8413 Table 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Kyber512-OEM</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3968</w:t>
            </w:r>
          </w:p>
        </w:tc>
        <w:tc>
          <w:tcPr>
            <w:tcW w:w="0" w:type="auto"/>
          </w:tcPr>
          <w:p>
            <w:pPr>
              <w:spacing w:line="240" w:lineRule="auto" w:before="0" w:after="0"/>
              <w:pStyle w:val="Compact"/>
            </w:pPr>
            <w:r>
              <w:rPr>
                <w:sz w:val="20"/>
                <w:szCs w:val="20"/>
              </w:rPr>
              <w:t xml:space="preserve">CCSDS 502.0-B-2 OEM message typical 2-3 KB (2009 Sec. 5); NIST IR 8413 Table 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Dilithium3-OEM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1952</w:t>
            </w:r>
          </w:p>
        </w:tc>
        <w:tc>
          <w:tcPr>
            <w:tcW w:w="0" w:type="auto"/>
          </w:tcPr>
          <w:p>
            <w:pPr>
              <w:spacing w:line="240" w:lineRule="auto" w:before="0" w:after="0"/>
              <w:pStyle w:val="Compact"/>
            </w:pPr>
            <w:r>
              <w:rPr>
                <w:sz w:val="20"/>
                <w:szCs w:val="20"/>
              </w:rPr>
              <w:t xml:space="preserve">3293</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7645</w:t>
            </w:r>
          </w:p>
        </w:tc>
        <w:tc>
          <w:tcPr>
            <w:tcW w:w="0" w:type="auto"/>
          </w:tcPr>
          <w:p>
            <w:pPr>
              <w:spacing w:line="240" w:lineRule="auto" w:before="0" w:after="0"/>
              <w:pStyle w:val="Compact"/>
            </w:pPr>
            <w:r>
              <w:rPr>
                <w:sz w:val="20"/>
                <w:szCs w:val="20"/>
              </w:rPr>
              <w:t xml:space="preserve">CCSDS 502.0-B-2 OEM; NIST IR 8413 Table 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Falcon512-OEM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897</w:t>
            </w:r>
          </w:p>
        </w:tc>
        <w:tc>
          <w:tcPr>
            <w:tcW w:w="0" w:type="auto"/>
          </w:tcPr>
          <w:p>
            <w:pPr>
              <w:spacing w:line="240" w:lineRule="auto" w:before="0" w:after="0"/>
              <w:pStyle w:val="Compact"/>
            </w:pPr>
            <w:r>
              <w:rPr>
                <w:sz w:val="20"/>
                <w:szCs w:val="20"/>
              </w:rPr>
              <w:t xml:space="preserve">666</w:t>
            </w:r>
          </w:p>
        </w:tc>
        <w:tc>
          <w:tcPr>
            <w:tcW w:w="0" w:type="auto"/>
          </w:tcPr>
          <w:p>
            <w:pPr>
              <w:spacing w:line="240" w:lineRule="auto" w:before="0" w:after="0"/>
              <w:pStyle w:val="Compact"/>
            </w:pPr>
            <w:r>
              <w:rPr>
                <w:sz w:val="20"/>
                <w:szCs w:val="20"/>
              </w:rPr>
              <w:t xml:space="preserve">8636</w:t>
            </w:r>
          </w:p>
        </w:tc>
        <w:tc>
          <w:tcPr>
            <w:tcW w:w="0" w:type="auto"/>
          </w:tcPr>
          <w:p>
            <w:pPr>
              <w:spacing w:line="240" w:lineRule="auto" w:before="0" w:after="0"/>
              <w:pStyle w:val="Compact"/>
            </w:pPr>
            <w:r>
              <w:rPr>
                <w:sz w:val="20"/>
                <w:szCs w:val="20"/>
              </w:rPr>
              <w:t xml:space="preserve">1010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3963</w:t>
            </w:r>
          </w:p>
        </w:tc>
        <w:tc>
          <w:tcPr>
            <w:tcW w:w="0" w:type="auto"/>
          </w:tcPr>
          <w:p>
            <w:pPr>
              <w:spacing w:line="240" w:lineRule="auto" w:before="0" w:after="0"/>
              <w:pStyle w:val="Compact"/>
            </w:pPr>
            <w:r>
              <w:rPr>
                <w:sz w:val="20"/>
                <w:szCs w:val="20"/>
              </w:rPr>
              <w:t xml:space="preserve">CCSDS 502.0-B-2 OEM; NIST IR 8413 Table 5</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Kyber512-VCM</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512</w:t>
            </w:r>
          </w:p>
        </w:tc>
        <w:tc>
          <w:tcPr>
            <w:tcW w:w="0" w:type="auto"/>
          </w:tcPr>
          <w:p>
            <w:pPr>
              <w:spacing w:line="240" w:lineRule="auto" w:before="0" w:after="0"/>
              <w:pStyle w:val="Compact"/>
            </w:pPr>
            <w:r>
              <w:rPr>
                <w:sz w:val="20"/>
                <w:szCs w:val="20"/>
              </w:rPr>
              <w:t xml:space="preserve">2080</w:t>
            </w:r>
          </w:p>
        </w:tc>
        <w:tc>
          <w:tcPr>
            <w:tcW w:w="0" w:type="auto"/>
          </w:tcPr>
          <w:p>
            <w:pPr>
              <w:spacing w:line="240" w:lineRule="auto" w:before="0" w:after="0"/>
              <w:pStyle w:val="Compact"/>
            </w:pPr>
            <w:r>
              <w:rPr>
                <w:sz w:val="20"/>
                <w:szCs w:val="20"/>
              </w:rPr>
              <w:t xml:space="preserve">CCSDS 505.0-B-1 VCM/manoeuvre summary 0.5 KB; NIST IR 8413 Table 3</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Dilithium2-VCM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1312</w:t>
            </w:r>
          </w:p>
        </w:tc>
        <w:tc>
          <w:tcPr>
            <w:tcW w:w="0" w:type="auto"/>
          </w:tcPr>
          <w:p>
            <w:pPr>
              <w:spacing w:line="240" w:lineRule="auto" w:before="0" w:after="0"/>
              <w:pStyle w:val="Compact"/>
            </w:pPr>
            <w:r>
              <w:rPr>
                <w:sz w:val="20"/>
                <w:szCs w:val="20"/>
              </w:rPr>
              <w:t xml:space="preserve">2420</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332</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512</w:t>
            </w:r>
          </w:p>
        </w:tc>
        <w:tc>
          <w:tcPr>
            <w:tcW w:w="0" w:type="auto"/>
          </w:tcPr>
          <w:p>
            <w:pPr>
              <w:spacing w:line="240" w:lineRule="auto" w:before="0" w:after="0"/>
              <w:pStyle w:val="Compact"/>
            </w:pPr>
            <w:r>
              <w:rPr>
                <w:sz w:val="20"/>
                <w:szCs w:val="20"/>
              </w:rPr>
              <w:t xml:space="preserve">4244</w:t>
            </w:r>
          </w:p>
        </w:tc>
        <w:tc>
          <w:tcPr>
            <w:tcW w:w="0" w:type="auto"/>
          </w:tcPr>
          <w:p>
            <w:pPr>
              <w:spacing w:line="240" w:lineRule="auto" w:before="0" w:after="0"/>
              <w:pStyle w:val="Compact"/>
            </w:pPr>
            <w:r>
              <w:rPr>
                <w:sz w:val="20"/>
                <w:szCs w:val="20"/>
              </w:rPr>
              <w:t xml:space="preserve">CCSDS 505.0-B-1 VCM; NIST IR 8413 Table 4</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Ed25519-CDM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928</w:t>
            </w:r>
          </w:p>
        </w:tc>
        <w:tc>
          <w:tcPr>
            <w:tcW w:w="0" w:type="auto"/>
          </w:tcPr>
          <w:p>
            <w:pPr>
              <w:spacing w:line="240" w:lineRule="auto" w:before="0" w:after="0"/>
              <w:pStyle w:val="Compact"/>
            </w:pPr>
            <w:r>
              <w:rPr>
                <w:sz w:val="20"/>
                <w:szCs w:val="20"/>
              </w:rPr>
              <w:t xml:space="preserve">Bernstein et al. (2012); CCSDS 508.0-B-1 CDM</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ECDSA-P256-OEM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2528</w:t>
            </w:r>
          </w:p>
        </w:tc>
        <w:tc>
          <w:tcPr>
            <w:tcW w:w="0" w:type="auto"/>
          </w:tcPr>
          <w:p>
            <w:pPr>
              <w:spacing w:line="240" w:lineRule="auto" w:before="0" w:after="0"/>
              <w:pStyle w:val="Compact"/>
            </w:pPr>
            <w:r>
              <w:rPr>
                <w:sz w:val="20"/>
                <w:szCs w:val="20"/>
              </w:rPr>
              <w:t xml:space="preserve">NIST FIPS 186-5 (2023); CCSDS 502.0-B-2 OEM</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Kyber1024-OEM</w:t>
            </w:r>
          </w:p>
        </w:tc>
        <w:tc>
          <w:tcPr>
            <w:tcW w:w="0" w:type="auto"/>
          </w:tcPr>
          <w:p>
            <w:pPr>
              <w:spacing w:line="240" w:lineRule="auto" w:before="0" w:after="0"/>
              <w:pStyle w:val="Compact"/>
            </w:pPr>
            <w:r>
              <w:rPr>
                <w:sz w:val="20"/>
                <w:szCs w:val="20"/>
              </w:rPr>
              <w:t xml:space="preserve">kem</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1568</w:t>
            </w:r>
          </w:p>
        </w:tc>
        <w:tc>
          <w:tcPr>
            <w:tcW w:w="0" w:type="auto"/>
          </w:tcPr>
          <w:p>
            <w:pPr>
              <w:spacing w:line="240" w:lineRule="auto" w:before="0" w:after="0"/>
              <w:pStyle w:val="Compact"/>
            </w:pPr>
            <w:r>
              <w:rPr>
                <w:sz w:val="20"/>
                <w:szCs w:val="20"/>
              </w:rPr>
              <w:t xml:space="preserve">1568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5536</w:t>
            </w:r>
          </w:p>
        </w:tc>
        <w:tc>
          <w:tcPr>
            <w:tcW w:w="0" w:type="auto"/>
          </w:tcPr>
          <w:p>
            <w:pPr>
              <w:spacing w:line="240" w:lineRule="auto" w:before="0" w:after="0"/>
              <w:pStyle w:val="Compact"/>
            </w:pPr>
            <w:r>
              <w:rPr>
                <w:sz w:val="20"/>
                <w:szCs w:val="20"/>
              </w:rPr>
              <w:t xml:space="preserve">NIST IR 8413 Table 3; CCSDS 502.0-B-2 OEM</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Dilithium5-OEM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2592</w:t>
            </w:r>
          </w:p>
        </w:tc>
        <w:tc>
          <w:tcPr>
            <w:tcW w:w="0" w:type="auto"/>
          </w:tcPr>
          <w:p>
            <w:pPr>
              <w:spacing w:line="240" w:lineRule="auto" w:before="0" w:after="0"/>
              <w:pStyle w:val="Compact"/>
            </w:pPr>
            <w:r>
              <w:rPr>
                <w:sz w:val="20"/>
                <w:szCs w:val="20"/>
              </w:rPr>
              <w:t xml:space="preserve">4595</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232</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9587</w:t>
            </w:r>
          </w:p>
        </w:tc>
        <w:tc>
          <w:tcPr>
            <w:tcW w:w="0" w:type="auto"/>
          </w:tcPr>
          <w:p>
            <w:pPr>
              <w:spacing w:line="240" w:lineRule="auto" w:before="0" w:after="0"/>
              <w:pStyle w:val="Compact"/>
            </w:pPr>
            <w:r>
              <w:rPr>
                <w:sz w:val="20"/>
                <w:szCs w:val="20"/>
              </w:rPr>
              <w:t xml:space="preserve">NIST IR 8413 Table 4; CCSDS 502.0-B-2 OEM</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Falcon1024-OEM</w:t>
            </w:r>
          </w:p>
        </w:tc>
        <w:tc>
          <w:tcPr>
            <w:tcW w:w="0" w:type="auto"/>
          </w:tcPr>
          <w:p>
            <w:pPr>
              <w:spacing w:line="240" w:lineRule="auto" w:before="0" w:after="0"/>
              <w:pStyle w:val="Compact"/>
            </w:pPr>
            <w:r>
              <w:rPr>
                <w:sz w:val="20"/>
                <w:szCs w:val="20"/>
              </w:rPr>
              <w:t xml:space="preserve">sig</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1793</w:t>
            </w:r>
          </w:p>
        </w:tc>
        <w:tc>
          <w:tcPr>
            <w:tcW w:w="0" w:type="auto"/>
          </w:tcPr>
          <w:p>
            <w:pPr>
              <w:spacing w:line="240" w:lineRule="auto" w:before="0" w:after="0"/>
              <w:pStyle w:val="Compact"/>
            </w:pPr>
            <w:r>
              <w:rPr>
                <w:sz w:val="20"/>
                <w:szCs w:val="20"/>
              </w:rPr>
              <w:t xml:space="preserve">1280</w:t>
            </w:r>
          </w:p>
        </w:tc>
        <w:tc>
          <w:tcPr>
            <w:tcW w:w="0" w:type="auto"/>
          </w:tcPr>
          <w:p>
            <w:pPr>
              <w:spacing w:line="240" w:lineRule="auto" w:before="0" w:after="0"/>
              <w:pStyle w:val="Compact"/>
            </w:pPr>
            <w:r>
              <w:rPr>
                <w:sz w:val="20"/>
                <w:szCs w:val="20"/>
              </w:rPr>
              <w:t xml:space="preserve">28041</w:t>
            </w:r>
          </w:p>
        </w:tc>
        <w:tc>
          <w:tcPr>
            <w:tcW w:w="0" w:type="auto"/>
          </w:tcPr>
          <w:p>
            <w:pPr>
              <w:spacing w:line="240" w:lineRule="auto" w:before="0" w:after="0"/>
              <w:pStyle w:val="Compact"/>
            </w:pPr>
            <w:r>
              <w:rPr>
                <w:sz w:val="20"/>
                <w:szCs w:val="20"/>
              </w:rPr>
              <w:t xml:space="preserve">2059</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5473</w:t>
            </w:r>
          </w:p>
        </w:tc>
        <w:tc>
          <w:tcPr>
            <w:tcW w:w="0" w:type="auto"/>
          </w:tcPr>
          <w:p>
            <w:pPr>
              <w:spacing w:line="240" w:lineRule="auto" w:before="0" w:after="0"/>
              <w:pStyle w:val="Compact"/>
            </w:pPr>
            <w:r>
              <w:rPr>
                <w:sz w:val="20"/>
                <w:szCs w:val="20"/>
              </w:rPr>
              <w:t xml:space="preserve">NIST IR 8413 Table 5; CCSDS 502.0-B-2 OEM</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envelope_bytes</w:t>
            </w:r>
          </w:p>
        </w:tc>
        <w:tc>
          <w:tcPr>
            <w:tcW w:w="0" w:type="auto"/>
          </w:tcPr>
          <w:p>
            <w:pPr>
              <w:spacing w:line="240" w:lineRule="auto" w:before="0" w:after="0"/>
              <w:pStyle w:val="Compact"/>
            </w:pPr>
            <w:r>
              <w:rPr>
                <w:sz w:val="20"/>
                <w:szCs w:val="20"/>
              </w:rPr>
              <w:t xml:space="preserve">Total wire bytes of the COSMIC envelope = payload + public key (or KEM ciphertext) + signature (or KEM shared-secret tag)</w:t>
            </w:r>
          </w:p>
        </w:tc>
        <w:tc>
          <w:tcPr>
            <w:tcW w:w="0" w:type="auto"/>
          </w:tcPr>
          <w:p>
            <w:pPr>
              <w:spacing w:line="240" w:lineRule="auto" w:before="0" w:after="0"/>
              <w:pStyle w:val="Compact"/>
            </w:pPr>
            <w:r>
              <w:rPr>
                <w:sz w:val="20"/>
                <w:szCs w:val="20"/>
              </w:rPr>
              <w:t xml:space="preserve">Computed per observation as payload_bytes + pubkey_bytes + sig_or_ct_bytes; NIST IR 8413 (2022) and CCSDS Blue Books (502.0-B-2, 505.0-B-1, 508.0-B-1)</w:t>
            </w:r>
          </w:p>
        </w:tc>
      </w:tr>
      <w:tr>
        <w:tc>
          <w:tcPr>
            <w:tcW w:w="0" w:type="auto"/>
          </w:tcPr>
          <w:p>
            <w:pPr>
              <w:spacing w:line="240" w:lineRule="auto" w:before="0" w:after="0"/>
              <w:pStyle w:val="Compact"/>
            </w:pPr>
            <w:r>
              <w:rPr>
                <w:sz w:val="20"/>
                <w:szCs w:val="20"/>
              </w:rPr>
              <w:t xml:space="preserve">payload_bytes</w:t>
            </w:r>
          </w:p>
        </w:tc>
        <w:tc>
          <w:tcPr>
            <w:tcW w:w="0" w:type="auto"/>
          </w:tcPr>
          <w:p>
            <w:pPr>
              <w:spacing w:line="240" w:lineRule="auto" w:before="0" w:after="0"/>
              <w:pStyle w:val="Compact"/>
            </w:pPr>
            <w:r>
              <w:rPr>
                <w:sz w:val="20"/>
                <w:szCs w:val="20"/>
              </w:rPr>
              <w:t xml:space="preserve">Size of the underlying SSA message before any cryptographic framing</w:t>
            </w:r>
          </w:p>
        </w:tc>
        <w:tc>
          <w:tcPr>
            <w:tcW w:w="0" w:type="auto"/>
          </w:tcPr>
          <w:p>
            <w:pPr>
              <w:spacing w:line="240" w:lineRule="auto" w:before="0" w:after="0"/>
              <w:pStyle w:val="Compact"/>
            </w:pPr>
            <w:r>
              <w:rPr>
                <w:sz w:val="20"/>
                <w:szCs w:val="20"/>
              </w:rPr>
              <w:t xml:space="preserve">CCSDS 502.0-B-2 OEM (orbit ephemeris), 505.0-B-1 VCM (manoeuvre), 508.0-B-1 CDM (conjunction); typical 0.5-2.4 KB</w:t>
            </w:r>
          </w:p>
        </w:tc>
      </w:tr>
      <w:tr>
        <w:tc>
          <w:tcPr>
            <w:tcW w:w="0" w:type="auto"/>
          </w:tcPr>
          <w:p>
            <w:pPr>
              <w:spacing w:line="240" w:lineRule="auto" w:before="0" w:after="0"/>
              <w:pStyle w:val="Compact"/>
            </w:pPr>
            <w:r>
              <w:rPr>
                <w:sz w:val="20"/>
                <w:szCs w:val="20"/>
              </w:rPr>
              <w:t xml:space="preserve">pubkey_bytes</w:t>
            </w:r>
          </w:p>
        </w:tc>
        <w:tc>
          <w:tcPr>
            <w:tcW w:w="0" w:type="auto"/>
          </w:tcPr>
          <w:p>
            <w:pPr>
              <w:spacing w:line="240" w:lineRule="auto" w:before="0" w:after="0"/>
              <w:pStyle w:val="Compact"/>
            </w:pPr>
            <w:r>
              <w:rPr>
                <w:sz w:val="20"/>
                <w:szCs w:val="20"/>
              </w:rPr>
              <w:t xml:space="preserve">Public key (signature schemes) or KEM ciphertext (Kyber)</w:t>
            </w:r>
          </w:p>
        </w:tc>
        <w:tc>
          <w:tcPr>
            <w:tcW w:w="0" w:type="auto"/>
          </w:tcPr>
          <w:p>
            <w:pPr>
              <w:spacing w:line="240" w:lineRule="auto" w:before="0" w:after="0"/>
              <w:pStyle w:val="Compact"/>
            </w:pPr>
            <w:r>
              <w:rPr>
                <w:sz w:val="20"/>
                <w:szCs w:val="20"/>
              </w:rPr>
              <w:t xml:space="preserve">NIST IR 8413 (2022) Tables 3-6; eBACS SUPERCOP 2023 amd64-skylake</w:t>
            </w:r>
          </w:p>
        </w:tc>
      </w:tr>
      <w:tr>
        <w:tc>
          <w:tcPr>
            <w:tcW w:w="0" w:type="auto"/>
          </w:tcPr>
          <w:p>
            <w:pPr>
              <w:spacing w:line="240" w:lineRule="auto" w:before="0" w:after="0"/>
              <w:pStyle w:val="Compact"/>
            </w:pPr>
            <w:r>
              <w:rPr>
                <w:sz w:val="20"/>
                <w:szCs w:val="20"/>
              </w:rPr>
              <w:t xml:space="preserve">sig_or_ct_bytes</w:t>
            </w:r>
          </w:p>
        </w:tc>
        <w:tc>
          <w:tcPr>
            <w:tcW w:w="0" w:type="auto"/>
          </w:tcPr>
          <w:p>
            <w:pPr>
              <w:spacing w:line="240" w:lineRule="auto" w:before="0" w:after="0"/>
              <w:pStyle w:val="Compact"/>
            </w:pPr>
            <w:r>
              <w:rPr>
                <w:sz w:val="20"/>
                <w:szCs w:val="20"/>
              </w:rPr>
              <w:t xml:space="preserve">Detached signature (sig schemes) or KEM shared-secret/tag size (KEM)</w:t>
            </w:r>
          </w:p>
        </w:tc>
        <w:tc>
          <w:tcPr>
            <w:tcW w:w="0" w:type="auto"/>
          </w:tcPr>
          <w:p>
            <w:pPr>
              <w:spacing w:line="240" w:lineRule="auto" w:before="0" w:after="0"/>
              <w:pStyle w:val="Compact"/>
            </w:pPr>
            <w:r>
              <w:rPr>
                <w:sz w:val="20"/>
                <w:szCs w:val="20"/>
              </w:rPr>
              <w:t xml:space="preserve">NIST IR 8413 (2022) Tables 3-6; FIPS 186-5 (2023) for ECDSA; Bernstein et al. (2012) for Ed25519</w:t>
            </w:r>
          </w:p>
        </w:tc>
      </w:tr>
      <w:tr>
        <w:tc>
          <w:tcPr>
            <w:tcW w:w="0" w:type="auto"/>
          </w:tcPr>
          <w:p>
            <w:pPr>
              <w:spacing w:line="240" w:lineRule="auto" w:before="0" w:after="0"/>
              <w:pStyle w:val="Compact"/>
            </w:pPr>
            <w:r>
              <w:rPr>
                <w:sz w:val="20"/>
                <w:szCs w:val="20"/>
              </w:rPr>
              <w:t xml:space="preserve">nist_level</w:t>
            </w:r>
          </w:p>
        </w:tc>
        <w:tc>
          <w:tcPr>
            <w:tcW w:w="0" w:type="auto"/>
          </w:tcPr>
          <w:p>
            <w:pPr>
              <w:spacing w:line="240" w:lineRule="auto" w:before="0" w:after="0"/>
              <w:pStyle w:val="Compact"/>
            </w:pPr>
            <w:r>
              <w:rPr>
                <w:sz w:val="20"/>
                <w:szCs w:val="20"/>
              </w:rPr>
              <w:t xml:space="preserve">NIST post-quantum security category 1, 2, 3, 5; 0 marks pre-quantum baselines (RSA, ECDSA, Ed25519, X25519)</w:t>
            </w:r>
          </w:p>
        </w:tc>
        <w:tc>
          <w:tcPr>
            <w:tcW w:w="0" w:type="auto"/>
          </w:tcPr>
          <w:p>
            <w:pPr>
              <w:spacing w:line="240" w:lineRule="auto" w:before="0" w:after="0"/>
              <w:pStyle w:val="Compact"/>
            </w:pPr>
            <w:r>
              <w:rPr>
                <w:sz w:val="20"/>
                <w:szCs w:val="20"/>
              </w:rPr>
              <w:t xml:space="preserve">NIST Call for Proposals (2016) Sec. 4.A.5</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6.139</w:t>
            </w:r>
          </w:p>
        </w:tc>
        <w:tc>
          <w:tcPr>
            <w:tcW w:w="0" w:type="auto"/>
          </w:tcPr>
          <w:p>
            <w:pPr>
              <w:spacing w:line="240" w:lineRule="auto" w:before="0" w:after="0"/>
              <w:pStyle w:val="Compact"/>
            </w:pPr>
            <w:r>
              <w:rPr>
                <w:sz w:val="20"/>
                <w:szCs w:val="20"/>
              </w:rPr>
              <w:t xml:space="preserve">5.9537</w:t>
            </w:r>
          </w:p>
        </w:tc>
        <w:tc>
          <w:tcPr>
            <w:tcW w:w="0" w:type="auto"/>
          </w:tcPr>
          <w:p>
            <w:pPr>
              <w:spacing w:line="240" w:lineRule="auto" w:before="0" w:after="0"/>
              <w:pStyle w:val="Compact"/>
            </w:pPr>
            <w:r>
              <w:rPr>
                <w:sz w:val="20"/>
                <w:szCs w:val="20"/>
              </w:rPr>
              <w:t xml:space="preserve">1.0311</w:t>
            </w:r>
          </w:p>
        </w:tc>
        <w:tc>
          <w:tcPr>
            <w:tcW w:w="0" w:type="auto"/>
          </w:tcPr>
          <w:p>
            <w:pPr>
              <w:spacing w:line="240" w:lineRule="auto" w:before="0" w:after="0"/>
              <w:pStyle w:val="Compact"/>
            </w:pPr>
            <w:r>
              <w:rPr>
                <w:sz w:val="20"/>
                <w:szCs w:val="20"/>
              </w:rPr>
              <w:t xml:space="preserve">0.3025</w:t>
            </w:r>
          </w:p>
        </w:tc>
        <w:tc>
          <w:tcPr>
            <w:tcW w:w="0" w:type="auto"/>
          </w:tcPr>
          <w:p>
            <w:pPr>
              <w:spacing w:line="240" w:lineRule="auto" w:before="0" w:after="0"/>
              <w:pStyle w:val="Compact"/>
            </w:pPr>
            <w:r>
              <w:rPr>
                <w:sz w:val="20"/>
                <w:szCs w:val="20"/>
              </w:rPr>
              <w:t xml:space="preserve">[-5.53, 17.8079]</w:t>
            </w:r>
          </w:p>
        </w:tc>
      </w:tr>
      <w:tr>
        <w:tc>
          <w:tcPr>
            <w:tcW w:w="0" w:type="auto"/>
          </w:tcPr>
          <w:p>
            <w:pPr>
              <w:spacing w:line="240" w:lineRule="auto" w:before="0" w:after="0"/>
              <w:pStyle w:val="Compact"/>
            </w:pPr>
            <w:r>
              <w:rPr>
                <w:sz w:val="20"/>
                <w:szCs w:val="20"/>
              </w:rPr>
              <w:t xml:space="preserve">payload_bytes</w:t>
            </w:r>
          </w:p>
        </w:tc>
        <w:tc>
          <w:tcPr>
            <w:tcW w:w="0" w:type="auto"/>
          </w:tcPr>
          <w:p>
            <w:pPr>
              <w:spacing w:line="240" w:lineRule="auto" w:before="0" w:after="0"/>
              <w:pStyle w:val="Compact"/>
            </w:pPr>
            <w:r>
              <w:rPr>
                <w:sz w:val="20"/>
                <w:szCs w:val="20"/>
              </w:rPr>
              <w:t xml:space="preserve">0.998</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489.139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[0.994, 1.002]</w:t>
            </w:r>
          </w:p>
        </w:tc>
      </w:tr>
      <w:tr>
        <w:tc>
          <w:tcPr>
            <w:tcW w:w="0" w:type="auto"/>
          </w:tcPr>
          <w:p>
            <w:pPr>
              <w:spacing w:line="240" w:lineRule="auto" w:before="0" w:after="0"/>
              <w:pStyle w:val="Compact"/>
            </w:pPr>
            <w:r>
              <w:rPr>
                <w:sz w:val="20"/>
                <w:szCs w:val="20"/>
              </w:rPr>
              <w:t xml:space="preserve">pubkey_bytes</w:t>
            </w:r>
          </w:p>
        </w:tc>
        <w:tc>
          <w:tcPr>
            <w:tcW w:w="0" w:type="auto"/>
          </w:tcPr>
          <w:p>
            <w:pPr>
              <w:spacing w:line="240" w:lineRule="auto" w:before="0" w:after="0"/>
              <w:pStyle w:val="Compact"/>
            </w:pPr>
            <w:r>
              <w:rPr>
                <w:sz w:val="20"/>
                <w:szCs w:val="20"/>
              </w:rPr>
              <w:t xml:space="preserve">0.9978</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440.7265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[0.9933, 1.0022]</w:t>
            </w:r>
          </w:p>
        </w:tc>
      </w:tr>
      <w:tr>
        <w:tc>
          <w:tcPr>
            <w:tcW w:w="0" w:type="auto"/>
          </w:tcPr>
          <w:p>
            <w:pPr>
              <w:spacing w:line="240" w:lineRule="auto" w:before="0" w:after="0"/>
              <w:pStyle w:val="Compact"/>
            </w:pPr>
            <w:r>
              <w:rPr>
                <w:sz w:val="20"/>
                <w:szCs w:val="20"/>
              </w:rPr>
              <w:t xml:space="preserve">sig_or_ct_bytes</w:t>
            </w:r>
          </w:p>
        </w:tc>
        <w:tc>
          <w:tcPr>
            <w:tcW w:w="0" w:type="auto"/>
          </w:tcPr>
          <w:p>
            <w:pPr>
              <w:spacing w:line="240" w:lineRule="auto" w:before="0" w:after="0"/>
              <w:pStyle w:val="Compact"/>
            </w:pPr>
            <w:r>
              <w:rPr>
                <w:sz w:val="20"/>
                <w:szCs w:val="20"/>
              </w:rPr>
              <w:t xml:space="preserve">0.9999</w:t>
            </w:r>
          </w:p>
        </w:tc>
        <w:tc>
          <w:tcPr>
            <w:tcW w:w="0" w:type="auto"/>
          </w:tcPr>
          <w:p>
            <w:pPr>
              <w:spacing w:line="240" w:lineRule="auto" w:before="0" w:after="0"/>
              <w:pStyle w:val="Compact"/>
            </w:pPr>
            <w:r>
              <w:rPr>
                <w:sz w:val="20"/>
                <w:szCs w:val="20"/>
              </w:rPr>
              <w:t xml:space="preserve">0.0001219</w:t>
            </w:r>
          </w:p>
        </w:tc>
        <w:tc>
          <w:tcPr>
            <w:tcW w:w="0" w:type="auto"/>
          </w:tcPr>
          <w:p>
            <w:pPr>
              <w:spacing w:line="240" w:lineRule="auto" w:before="0" w:after="0"/>
              <w:pStyle w:val="Compact"/>
            </w:pPr>
            <w:r>
              <w:rPr>
                <w:sz w:val="20"/>
                <w:szCs w:val="20"/>
              </w:rPr>
              <w:t xml:space="preserve">8204.9135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[0.9996, 1.0001]</w:t>
            </w:r>
          </w:p>
        </w:tc>
      </w:tr>
      <w:tr>
        <w:tc>
          <w:tcPr>
            <w:tcW w:w="0" w:type="auto"/>
          </w:tcPr>
          <w:p>
            <w:pPr>
              <w:spacing w:line="240" w:lineRule="auto" w:before="0" w:after="0"/>
              <w:pStyle w:val="Compact"/>
            </w:pPr>
            <w:r>
              <w:rPr>
                <w:sz w:val="20"/>
                <w:szCs w:val="20"/>
              </w:rPr>
              <w:t xml:space="preserve">nist_level</w:t>
            </w:r>
          </w:p>
        </w:tc>
        <w:tc>
          <w:tcPr>
            <w:tcW w:w="0" w:type="auto"/>
          </w:tcPr>
          <w:p>
            <w:pPr>
              <w:spacing w:line="240" w:lineRule="auto" w:before="0" w:after="0"/>
              <w:pStyle w:val="Compact"/>
            </w:pPr>
            <w:r>
              <w:rPr>
                <w:sz w:val="20"/>
                <w:szCs w:val="20"/>
              </w:rPr>
              <w:t xml:space="preserve">0.3158</w:t>
            </w:r>
          </w:p>
        </w:tc>
        <w:tc>
          <w:tcPr>
            <w:tcW w:w="0" w:type="auto"/>
          </w:tcPr>
          <w:p>
            <w:pPr>
              <w:spacing w:line="240" w:lineRule="auto" w:before="0" w:after="0"/>
              <w:pStyle w:val="Compact"/>
            </w:pPr>
            <w:r>
              <w:rPr>
                <w:sz w:val="20"/>
                <w:szCs w:val="20"/>
              </w:rPr>
              <w:t xml:space="preserve">0.4215</w:t>
            </w:r>
          </w:p>
        </w:tc>
        <w:tc>
          <w:tcPr>
            <w:tcW w:w="0" w:type="auto"/>
          </w:tcPr>
          <w:p>
            <w:pPr>
              <w:spacing w:line="240" w:lineRule="auto" w:before="0" w:after="0"/>
              <w:pStyle w:val="Compact"/>
            </w:pPr>
            <w:r>
              <w:rPr>
                <w:sz w:val="20"/>
                <w:szCs w:val="20"/>
              </w:rPr>
              <w:t xml:space="preserve">0.7492</w:t>
            </w:r>
          </w:p>
        </w:tc>
        <w:tc>
          <w:tcPr>
            <w:tcW w:w="0" w:type="auto"/>
          </w:tcPr>
          <w:p>
            <w:pPr>
              <w:spacing w:line="240" w:lineRule="auto" w:before="0" w:after="0"/>
              <w:pStyle w:val="Compact"/>
            </w:pPr>
            <w:r>
              <w:rPr>
                <w:sz w:val="20"/>
                <w:szCs w:val="20"/>
              </w:rPr>
              <w:t xml:space="preserve">0.4537</w:t>
            </w:r>
          </w:p>
        </w:tc>
        <w:tc>
          <w:tcPr>
            <w:tcW w:w="0" w:type="auto"/>
          </w:tcPr>
          <w:p>
            <w:pPr>
              <w:spacing w:line="240" w:lineRule="auto" w:before="0" w:after="0"/>
              <w:pStyle w:val="Compact"/>
            </w:pPr>
            <w:r>
              <w:rPr>
                <w:sz w:val="20"/>
                <w:szCs w:val="20"/>
              </w:rPr>
              <w:t xml:space="preserve">[-0.5103, 1.1418]</w:t>
            </w:r>
          </w:p>
        </w:tc>
      </w:tr>
    </w:tbl>
    <w:p>
      <w:pPr>
        <w:pStyle w:val="BodyText"/>
      </w:pPr>
      <w:r>
        <w:t xml:space="preserve">Fit: N = 32 R2 = 1 R2_adj = 1 F = 4.05e+08 F_p = 1.434e-104</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2026-06-27T13:10:41Z</dcterms:created>
  <dcterms:modified xsi:type="dcterms:W3CDTF">2026-06-27T13:10:41Z</dcterms:modified>
</cp:coreProperties>
</file>

<file path=docProps/custom.xml><?xml version="1.0" encoding="utf-8"?>
<Properties xmlns="http://schemas.openxmlformats.org/officeDocument/2006/custom-properties" xmlns:vt="http://schemas.openxmlformats.org/officeDocument/2006/docPropsVTypes"/>
</file>