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COSMIC: POST-QUANTUM SSA DATA-SHARING ENVELOPE</w:t>
      </w:r>
    </w:p>
    <w:p>
      <w:pPr>
        <w:jc w:val="center"/>
      </w:pPr>
    </w:p>
    <w:p>
      <w:pPr>
        <w:jc w:val="center"/>
      </w:pPr>
      <w:r>
        <w:rPr>
          <w:rFonts w:ascii="Times New Roman" w:hAnsi="Times New Roman"/>
          <w:sz w:val="24"/>
        </w:rPr>
        <w:t>by</w:t>
      </w:r>
    </w:p>
    <w:p>
      <w:pPr>
        <w:jc w:val="center"/>
      </w:pPr>
      <w:r>
        <w:rPr>
          <w:rFonts w:ascii="Times New Roman" w:hAnsi="Times New Roman"/>
          <w:b/>
          <w:sz w:val="28"/>
        </w:rPr>
        <w:t>Stefan Frost</w:t>
      </w:r>
    </w:p>
    <w:p>
      <w:pPr>
        <w:jc w:val="center"/>
      </w:pPr>
      <w:r>
        <w:rPr>
          <w:rFonts w:ascii="Times New Roman" w:hAnsi="Times New Roman"/>
          <w:sz w:val="24"/>
        </w:rPr>
        <w:t>1B-ITI-131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Space situational awareness (SSA) data sharing is the operational substrate on which orbital safety in the late 2020s rests. Conjunction Data Messages (CDMs), Orbit Ephemeris Messages (OEMs), and maneuver advisories flow across operator, government, and commercial boundaries at volumes that have grown by more than an order of magnitude since the mid-2010s and that continue to rise as large constellations enter operational service [1,3,5]. The institutional architecture that carries this traffic has migrated from a single-source military catalog regime toward a federated multi-stakeholder model that encompasses the United States Traffic Coordination System for Space (TraCCS), allied governments, commercial sensor and screening providers, and academic contributors [1,3,6,10]. The cryptographic substrate that authenticates this federated traffic, however, has not moved. The Consultative Committee for Space Data Systems (CCSDS) messaging stack and the bilateral SSA sharing agreements that frame partner exchange continue to rely on classical public-key primitives whose security collapses under Shor’s algorithm against a cryptanalytically relevant quantum computer (CRQC) [9,11,12].</w:t>
      </w:r>
    </w:p>
    <w:p>
      <w:pPr>
        <w:pStyle w:val="BodyText"/>
        <w:spacing w:line="480" w:lineRule="auto"/>
        <w:ind w:firstLine="720"/>
      </w:pPr>
      <w:r>
        <w:t xml:space="preserve">The mismatch matters because the operational stakes of SSA data sharing are not abstract. A CDM that fails authentication is a CDM that an operator cannot act on with confidence. A maneuver advisory that arrives with a signature the partner cannot verify within the short-warning window of a high-probability conjunction is an advisory that has effectively not arrived. Choi and colleagues have documented that trajectory data latency is the binding constraint in concurrent avoidance negotiation between cooperating spacecraft and ground systems, and that the negotiation envelope must respect bounded message size and bounded transmission time if the negotiation is to close before the time of closest approach</w:t>
      </w:r>
      <w:r>
        <w:t xml:space="preserve"> </w:t>
      </w:r>
      <w:hyperlink w:anchor="ref-13">
        <w:r>
          <w:rPr>
            <w:rStyle w:val="Hyperlink"/>
          </w:rPr>
          <w:t xml:space="preserve">[13]</w:t>
        </w:r>
      </w:hyperlink>
      <w:r>
        <w:t xml:space="preserve">. Sorge and colleagues have argued that improvements to spacecraft collision avoidance hinge on the timely exchange of orbit data and maneuver plans between cooperating space traffic management systems, and that the cooperation envelope must scale to the throughput demand of large constellations [5,14,15]. Reilly and colleagues have catalogued the operational pressure under which this exchange already operates</w:t>
      </w:r>
      <w:r>
        <w:t xml:space="preserve"> </w:t>
      </w:r>
      <w:hyperlink w:anchor="ref-10">
        <w:r>
          <w:rPr>
            <w:rStyle w:val="Hyperlink"/>
          </w:rPr>
          <w:t xml:space="preserve">[10]</w:t>
        </w:r>
      </w:hyperlink>
      <w:r>
        <w:t xml:space="preserve">. Across these treatments, the implicit assumption is that the cryptographic envelope is small relative to the payload and verifies in negligible time. The migration to post-quantum cryptography (PQC) overturns that assumption.</w:t>
      </w:r>
    </w:p>
    <w:p>
      <w:pPr>
        <w:pStyle w:val="BodyText"/>
        <w:spacing w:line="480" w:lineRule="auto"/>
        <w:ind w:firstLine="720"/>
      </w:pPr>
      <w:r>
        <w:t xml:space="preserve">For NASA and for the Jet Propulsion Laboratory (JPL) in particular, the stakes are concrete. NASA operates as both a producer and a consumer in the federated SSA exchange. NASA’s robotic science fleet, including JPL-operated assets in LEO, MEO, and GEO and the upcoming cislunar nodes contemplated under the Moon-to-Mars architecture [4,39], receives CDMs and emits maneuver advisories that partners must authenticate. JPL’s mission operations centers are partner-class endpoints in the federation: their compute profile is heterogeneous, their software stack is constrained by mission-assurance processes that do not tolerate ad hoc cryptographic changes, and their tolerance for verification latency in a short-warning conjunction is measured in low hundreds of milliseconds rather than seconds. A PQC envelope that authenticates a CDM correctly but cannot be verified within the operational window of a JPL mission operations center is an envelope that JPL cannot deploy. A PQC envelope that imposes a per-message bandwidth tax of tens of kilobytes on a constrained downlink is an envelope that operators of small spacecraft, including JPL CubeSat-class assets and partner-operated CubeSats in the SSA contributor pool, cannot absorb</w:t>
      </w:r>
      <w:r>
        <w:t xml:space="preserve"> </w:t>
      </w:r>
      <w:hyperlink w:anchor="ref-41">
        <w:r>
          <w:rPr>
            <w:rStyle w:val="Hyperlink"/>
          </w:rPr>
          <w:t xml:space="preserve">[41]</w:t>
        </w:r>
      </w:hyperlink>
      <w:r>
        <w:t xml:space="preserve">. The migration to PQC is therefore not a matter of swapping a signature library; it is a matter of specifying and measuring a cryptographic envelope whose latency, bandwidth, and failure characteristics are compatible with the operational realities of a heterogeneous federation that includes JPL and its partners.</w:t>
      </w:r>
    </w:p>
    <w:p>
      <w:pPr>
        <w:pStyle w:val="BodyText"/>
        <w:spacing w:line="480" w:lineRule="auto"/>
        <w:ind w:firstLine="720"/>
      </w:pPr>
      <w:r>
        <w:t xml:space="preserve">The stakes are also strategic. NASA’s institutional posture in the federated SSA exchange is partner rather than principal: the United States Space Force operates the catalog of record and the Department of Commerce will operate TraCCS, but NASA depends on the federation’s integrity for the safety of its own missions and for the credibility of its civil-space leadership in international fora [6,38]. A PQC migration that proceeds in the United States federal enterprise without an SSA-specific envelope specification leaves NASA in the position of inheriting whatever envelope the broader federal migration produces, whether or not that envelope respects the operational constraints of SSA exchange. The cost of inheriting a misspecified envelope is paid in missed conjunction negotiations, in partner withdrawals from the federation when verification latency exceeds operational tolerance, and in the erosion of the trust property that the decentralized space information sharing literature has identified as the binding constraint on the federation’s persistence [8,29,30,31,34]. JPL bears a disproportionate share of this cost because its mission portfolio includes the most latency-sensitive and the most bandwidth-constrained partner endpoints in the NASA portfolio.</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Three literatures intersect at the COSMIC problem and none of them closes it. The first is the SSA data-sharing literature, which characterizes the institutional and architectural shift toward federated sharing and documents the operational practice of the partner exchange. Bird’s early treatment of SSA data sharing established the partner-class compute and policy heterogeneity that the federation must accommodate [1,21]. Kelso’s documentation of collaborative commercial SSA established the CelesTrak SOCRATES archive as the canonical public proxy for operational CDM traffic</w:t>
      </w:r>
      <w:r>
        <w:t xml:space="preserve"> </w:t>
      </w:r>
      <w:hyperlink w:anchor="ref-3">
        <w:r>
          <w:rPr>
            <w:rStyle w:val="Hyperlink"/>
          </w:rPr>
          <w:t xml:space="preserve">[3]</w:t>
        </w:r>
      </w:hyperlink>
      <w:r>
        <w:t xml:space="preserve">. Hale and colleagues characterized the international partner set and its evolving capabilities</w:t>
      </w:r>
      <w:r>
        <w:t xml:space="preserve"> </w:t>
      </w:r>
      <w:hyperlink w:anchor="ref-6">
        <w:r>
          <w:rPr>
            <w:rStyle w:val="Hyperlink"/>
          </w:rPr>
          <w:t xml:space="preserve">[6]</w:t>
        </w:r>
      </w:hyperlink>
      <w:r>
        <w:t xml:space="preserve">. Reed and colleagues, across a sequence of AMOS papers, established the decentralized information-sharing thread that frames the trust property as the binding constraint on federation persistence [8,29,31,34]. Across this literature, the cryptographic substrate is treated as implicit infrastructure: present, necessary, and outside the scope of analysis.</w:t>
      </w:r>
    </w:p>
    <w:p>
      <w:pPr>
        <w:pStyle w:val="BodyText"/>
        <w:spacing w:line="480" w:lineRule="auto"/>
        <w:ind w:firstLine="720"/>
      </w:pPr>
      <w:r>
        <w:t xml:space="preserve">The second literature is the space traffic management literature, which characterizes the CDM and maneuver-advisory data-exchange requirements of operational STM in quantitative and increasingly precise terms. Sorge and colleagues have characterized the COLA process and the screening cadence that drives CDM throughput [5,14]. Sorge and colleagues have separately characterized the large-constellation channel that drives the convex growth in CDM volume</w:t>
      </w:r>
      <w:r>
        <w:t xml:space="preserve"> </w:t>
      </w:r>
      <w:hyperlink w:anchor="ref-15">
        <w:r>
          <w:rPr>
            <w:rStyle w:val="Hyperlink"/>
          </w:rPr>
          <w:t xml:space="preserve">[15]</w:t>
        </w:r>
      </w:hyperlink>
      <w:r>
        <w:t xml:space="preserve">. Anilkumar and colleagues have extended the framework to cislunar and cismartian environments where the partner set is even more heterogeneous and the latency budget is more tightly constrained by light-time [4,39]. Opromolla and colleagues have extended the framework to in-orbit servicing operations where the partner set includes commercial servicing providers whose key infrastructure is heterogeneous and partially proprietary</w:t>
      </w:r>
      <w:r>
        <w:t xml:space="preserve"> </w:t>
      </w:r>
      <w:hyperlink w:anchor="ref-7">
        <w:r>
          <w:rPr>
            <w:rStyle w:val="Hyperlink"/>
          </w:rPr>
          <w:t xml:space="preserve">[7]</w:t>
        </w:r>
      </w:hyperlink>
      <w:r>
        <w:t xml:space="preserve">. Sánchez-Ortíz and colleagues have characterized the outreach and partner-onboarding dimension that determines which operators can contribute to and receive from the federation at all [2,38]. Grau and colleagues have characterized the precise in-orbit collision prediction and surveillance system that constrains the envelope’s throughput requirements</w:t>
      </w:r>
      <w:r>
        <w:t xml:space="preserve"> </w:t>
      </w:r>
      <w:hyperlink w:anchor="ref-40">
        <w:r>
          <w:rPr>
            <w:rStyle w:val="Hyperlink"/>
          </w:rPr>
          <w:t xml:space="preserve">[40]</w:t>
        </w:r>
      </w:hyperlink>
      <w:r>
        <w:t xml:space="preserve">. Across this literature, the cryptographic envelope under a quantum-adversary threat model is not specified, parameterized, or measured.</w:t>
      </w:r>
    </w:p>
    <w:p>
      <w:pPr>
        <w:pStyle w:val="BodyText"/>
        <w:spacing w:line="480" w:lineRule="auto"/>
        <w:ind w:firstLine="720"/>
      </w:pPr>
      <w:r>
        <w:t xml:space="preserve">The third literature is the post-quantum cryptography literature, which has standardized lattice-based and hash-based signature schemes and has characterized their wire-cost and verification-cost properties in general terms [11,16,17,19,20]. The National Security Agency’s Commercial National Security Algorithm Suite 2.0 has mandated the migration of United States national-security systems to PQC primitives on a published schedule</w:t>
      </w:r>
      <w:r>
        <w:t xml:space="preserve"> </w:t>
      </w:r>
      <w:hyperlink w:anchor="ref-12">
        <w:r>
          <w:rPr>
            <w:rStyle w:val="Hyperlink"/>
          </w:rPr>
          <w:t xml:space="preserve">[12]</w:t>
        </w:r>
      </w:hyperlink>
      <w:r>
        <w:t xml:space="preserve">. The NIST Recommendation for Key Management has framed the key-rotation and lifecycle properties that any operational deployment must respect</w:t>
      </w:r>
      <w:r>
        <w:t xml:space="preserve"> </w:t>
      </w:r>
      <w:hyperlink w:anchor="ref-18">
        <w:r>
          <w:rPr>
            <w:rStyle w:val="Hyperlink"/>
          </w:rPr>
          <w:t xml:space="preserve">[18]</w:t>
        </w:r>
      </w:hyperlink>
      <w:r>
        <w:t xml:space="preserve">. The eBACS benchmark suite has characterized the per-operation cost of the standardized primitives on reference compute profiles</w:t>
      </w:r>
      <w:r>
        <w:t xml:space="preserve"> </w:t>
      </w:r>
      <w:hyperlink w:anchor="ref-19">
        <w:r>
          <w:rPr>
            <w:rStyle w:val="Hyperlink"/>
          </w:rPr>
          <w:t xml:space="preserve">[19]</w:t>
        </w:r>
      </w:hyperlink>
      <w:r>
        <w:t xml:space="preserve">. Across this literature, the SSA-specific operational constraints, the federated partner heterogeneity, and the empirical distribution of CDM traffic against which any envelope must be measured do not appear.</w:t>
      </w:r>
    </w:p>
    <w:p>
      <w:pPr>
        <w:pStyle w:val="BodyText"/>
        <w:spacing w:line="480" w:lineRule="auto"/>
        <w:ind w:firstLine="720"/>
      </w:pPr>
      <w:r>
        <w:t xml:space="preserve">The gap between these literatures is methodological as well as substantive. The SSA data-sharing and STM literatures are predominantly descriptive and architectural; they characterize the operational reality of the federation in terms that are precise about institutions and processes but agnostic about the cryptographic envelope. The PQC literature is predominantly cryptographic and benchmark-driven; it characterizes the per-operation cost of the standardized primitives in terms that are precise about the cryptography but agnostic about the operational reality of the federation. Neither literature applies the econometric method tradition that has matured in adjacent fields, in which a quantifiable specification is tested against an empirical corpus using a pre-registered identification strategy with explicit threats to validity and sensitivity analysis. The wire-cost decomposition paper that opens the COSMIC program demonstrated that an ordinary least squares decomposition of envelope size on payload, key, signature, and security-level components yields a tight additive identity with no measurable residual security-level premium, and that the policy variable that drives the engineering envelope is the choice of signature family rather than the abstract security level. The throughput-demand panel that follows demonstrated that an OLS panel model of mean daily CDM volume on active payload count, time trend, and large-constellation share yields a tight fit and identifies active payload count as the dominant first-order driver of the throughput floor that any envelope must clear. Neither decomposition would have been possible without the application of the econometric method tradition to the operational SSA exchange, and neither has a precedent in the domain literature.</w:t>
      </w:r>
    </w:p>
    <w:p>
      <w:pPr>
        <w:pStyle w:val="BodyText"/>
        <w:spacing w:line="480" w:lineRule="auto"/>
        <w:ind w:firstLine="720"/>
      </w:pPr>
      <w:r>
        <w:t xml:space="preserve">The gap that COSMIC fills is therefore not simply the absence of a PQC envelope specification for SSA data sharing. It is the absence of a quantitatively characterized envelope specification that has been measured against an empirical CDM corpus under a pre-registered identification strategy with explicit threats to validity. The domain literature has the operational reality; the method literature has the inferential machinery. COSMIC joins them.</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is a specification and empirical characterization of a hybrid classical plus lattice-based signature envelope for the CCSDS CDM payload, measured against a public historical CDM corpus, under the operational latency and bandwidth budgets implied by short-warning conjunction alerting in the federated TraCCS exchange.</w:t>
      </w:r>
    </w:p>
    <w:p>
      <w:pPr>
        <w:pStyle w:val="BodyText"/>
        <w:spacing w:line="480" w:lineRule="auto"/>
        <w:ind w:firstLine="720"/>
      </w:pPr>
      <w:r>
        <w:t xml:space="preserve">The contribution is stated as a single falsifiable hypothesis. The null hypothesis H0 is that a hybrid envelope combining a classical signature scheme (ECDSA P-256 under FIPS 186-5</w:t>
      </w:r>
      <w:r>
        <w:t xml:space="preserve"> </w:t>
      </w:r>
      <w:hyperlink w:anchor="ref-16">
        <w:r>
          <w:rPr>
            <w:rStyle w:val="Hyperlink"/>
          </w:rPr>
          <w:t xml:space="preserve">[16]</w:t>
        </w:r>
      </w:hyperlink>
      <w:r>
        <w:t xml:space="preserve">) with a NIST-standardized lattice-based signature scheme (ML-DSA, at each of three parameter levels</w:t>
      </w:r>
      <w:r>
        <w:t xml:space="preserve"> </w:t>
      </w:r>
      <w:hyperlink w:anchor="ref-11">
        <w:r>
          <w:rPr>
            <w:rStyle w:val="Hyperlink"/>
          </w:rPr>
          <w:t xml:space="preserve">[11]</w:t>
        </w:r>
      </w:hyperlink>
      <w:r>
        <w:t xml:space="preserve">), applied as a detached signature over the canonicalized CCSDS CDM payload</w:t>
      </w:r>
      <w:r>
        <w:t xml:space="preserve"> </w:t>
      </w:r>
      <w:hyperlink w:anchor="ref-9">
        <w:r>
          <w:rPr>
            <w:rStyle w:val="Hyperlink"/>
          </w:rPr>
          <w:t xml:space="preserve">[9]</w:t>
        </w:r>
      </w:hyperlink>
      <w:r>
        <w:t xml:space="preserve">, exceeds at least one of three operational thresholds at the 95th percentile of the historical CDM corpus drawn from the CelesTrak SOCRATES archive</w:t>
      </w:r>
      <w:r>
        <w:t xml:space="preserve"> </w:t>
      </w:r>
      <w:hyperlink w:anchor="ref-3">
        <w:r>
          <w:rPr>
            <w:rStyle w:val="Hyperlink"/>
          </w:rPr>
          <w:t xml:space="preserve">[3]</w:t>
        </w:r>
      </w:hyperlink>
      <w:r>
        <w:t xml:space="preserve">. The three thresholds are end-to-end verification latency above 250 milliseconds on a reference partner-class compute profile, per-message bandwidth overhead above 5 kilobytes relative to the unwrapped CDM, and verification-failure rate above 0.1 percent under specified key-rotation</w:t>
      </w:r>
      <w:r>
        <w:t xml:space="preserve"> </w:t>
      </w:r>
      <w:hyperlink w:anchor="ref-18">
        <w:r>
          <w:rPr>
            <w:rStyle w:val="Hyperlink"/>
          </w:rPr>
          <w:t xml:space="preserve">[18]</w:t>
        </w:r>
      </w:hyperlink>
      <w:r>
        <w:t xml:space="preserve"> </w:t>
      </w:r>
      <w:r>
        <w:t xml:space="preserve">and clock-skew conditions. The alternative hypothesis H1 is that the hybrid envelope satisfies all three thresholds simultaneously at the 95th percentile.</w:t>
      </w:r>
    </w:p>
    <w:p>
      <w:pPr>
        <w:pStyle w:val="BodyText"/>
        <w:spacing w:line="480" w:lineRule="auto"/>
        <w:ind w:firstLine="720"/>
      </w:pPr>
      <w:r>
        <w:t xml:space="preserve">The thresholds are not arbitrary. The latency threshold of 250 milliseconds is set by the operational tolerance of short-warning conjunction negotiation as characterized by Choi and colleagues</w:t>
      </w:r>
      <w:r>
        <w:t xml:space="preserve"> </w:t>
      </w:r>
      <w:hyperlink w:anchor="ref-13">
        <w:r>
          <w:rPr>
            <w:rStyle w:val="Hyperlink"/>
          </w:rPr>
          <w:t xml:space="preserve">[13]</w:t>
        </w:r>
      </w:hyperlink>
      <w:r>
        <w:t xml:space="preserve"> </w:t>
      </w:r>
      <w:r>
        <w:t xml:space="preserve">and as implied by the COLA process that Sorge and colleagues have documented [5,14]. The bandwidth threshold of 5 kilobytes is set by the operational tolerance of constrained partner downlinks and by the result of the wire-cost decomposition paper, which established that the additive identity of envelope cost places the binding constraint on the signature family rather than the security level. The verification-failure threshold of 0.1 percent is set by the operational tolerance of a federation in which a CDM that fails authentication is a CDM that cannot be acted on and in which key-rotation and clock-skew are unavoidable sources of failure under realistic partner heterogeneity</w:t>
      </w:r>
      <w:r>
        <w:t xml:space="preserve"> </w:t>
      </w:r>
      <w:hyperlink w:anchor="ref-18">
        <w:r>
          <w:rPr>
            <w:rStyle w:val="Hyperlink"/>
          </w:rPr>
          <w:t xml:space="preserve">[18]</w:t>
        </w:r>
      </w:hyperlink>
      <w:r>
        <w:t xml:space="preserve">.</w:t>
      </w:r>
    </w:p>
    <w:p>
      <w:pPr>
        <w:pStyle w:val="BodyText"/>
        <w:spacing w:line="480" w:lineRule="auto"/>
        <w:ind w:firstLine="720"/>
      </w:pPr>
      <w:r>
        <w:t xml:space="preserve">Rejecting H0 establishes that the hybrid envelope is operationally deployable across the TraCCS federation under the stated threat model and the stated partner-class compute profile. Failing to reject H0 identifies which of the three budgets is binding and isolates the design parameter, whether signature scheme choice, key size, batching policy, or partner compute profile, that must change for the envelope to become deployable. In either outcome the contribution is informative: a rejection establishes a deployable envelope and a failure to reject identifies the design variable that the engineering effort must address. The contribution is single in the sense that it tests one hybrid envelope construction against one empirical corpus under one threat model with one identification strategy; it is falsifiable in the sense that the H1 conjunction can be rejected by any of three independent threshold failures at the 95th percentile of the corpus distribution.</w:t>
      </w:r>
    </w:p>
    <w:p>
      <w:pPr>
        <w:pStyle w:val="BodyText"/>
        <w:spacing w:line="480" w:lineRule="auto"/>
        <w:ind w:firstLine="720"/>
      </w:pPr>
      <w:r>
        <w:t xml:space="preserve">The contribution sits inside the COSMIC program as the integrative empirical test that the two preceding papers have prepared. The wire-cost decomposition paper has characterized the byte budget of the envelope and identified the signature family as the policy variable. The throughput-demand panel has characterized the throughput floor that the envelope must clear and identified active payload count as the dominant first-order driver. This dissertation integrates the byte budget, the throughput floor, and the verification-failure characterization into a single deployable-or-not test against an empirical CDM corpus on a reference partner-class compute profile. The integration is the contribution; the falsifiable hypothesis is the test.</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in seven chapters. Chapter 2 reviews the three intersecting literatures in detail, characterizing the descriptive and architectural contributions of the SSA data-sharing literature [1,3,6,8,21,25,29,31,34,35], the quantitative and operational contributions of the space traffic management literature [2,4,5,7,10,14,15,22,23,24,36,37,38,39,40,42], and the cryptographic and benchmark contributions of the post-quantum cryptography literature [11,12,16,17,18,19,20]. The chapter closes by establishing the methodological gap that the econometric tradition is positioned to fill.</w:t>
      </w:r>
    </w:p>
    <w:p>
      <w:pPr>
        <w:pStyle w:val="BodyText"/>
        <w:spacing w:line="480" w:lineRule="auto"/>
        <w:ind w:firstLine="720"/>
      </w:pPr>
      <w:r>
        <w:t xml:space="preserve">Chapter 3 specifies the threat model, the envelope construction, and the identification strategy. The threat model is the published NIST PQC threat model with the CRQC assumption made explicit [11,20]. The envelope construction is a hybrid classical plus lattice-based detached signature over the canonicalized CCSDS CDM payload [9,16]. The identification strategy proceeds from the unit of observation (the individual CDM), the treatment (the envelope variant), and the outcome variables (verification latency, bandwidth overhead, verification-failure rate) to a one-sided test of each threshold at the 95th percentile with bootstrap confidence intervals and a joint test under the H1 conjunction.</w:t>
      </w:r>
    </w:p>
    <w:p>
      <w:pPr>
        <w:pStyle w:val="BodyText"/>
        <w:spacing w:line="480" w:lineRule="auto"/>
        <w:ind w:firstLine="720"/>
      </w:pPr>
      <w:r>
        <w:t xml:space="preserve">Chapter 4 documents the data and provenance. The primary dataset is the CelesTrak SOCRATES conjunction data archive</w:t>
      </w:r>
      <w:r>
        <w:t xml:space="preserve"> </w:t>
      </w:r>
      <w:hyperlink w:anchor="ref-3">
        <w:r>
          <w:rPr>
            <w:rStyle w:val="Hyperlink"/>
          </w:rPr>
          <w:t xml:space="preserve">[3]</w:t>
        </w:r>
      </w:hyperlink>
      <w:r>
        <w:t xml:space="preserve">, drawn as a stratified sample across orbital regime and screening-window length matched in distribution to the published characterizations of TraCCS message traffic [5,14]. Secondary datasets support the reference partner-class compute profile [1,6] and the threat model parameterization</w:t>
      </w:r>
      <w:r>
        <w:t xml:space="preserve"> </w:t>
      </w:r>
      <w:hyperlink w:anchor="ref-11">
        <w:r>
          <w:rPr>
            <w:rStyle w:val="Hyperlink"/>
          </w:rPr>
          <w:t xml:space="preserve">[11]</w:t>
        </w:r>
      </w:hyperlink>
      <w:r>
        <w:t xml:space="preserve">. The chapter documents per-message provenance, the canonicalization step, the signature input hash, and the public replication package that accompanies the dissertation.</w:t>
      </w:r>
    </w:p>
    <w:p>
      <w:pPr>
        <w:pStyle w:val="BodyText"/>
        <w:spacing w:line="480" w:lineRule="auto"/>
        <w:ind w:firstLine="720"/>
      </w:pPr>
      <w:r>
        <w:t xml:space="preserve">Chapter 5 presents the wire-cost decomposition, extending the first COSMIC paper with the additional schemes and payloads that the dissertation corpus admits. Chapter 6 presents the throughput-demand panel, extending the second COSMIC paper with the regime-year cells that have become available since the original panel and with the altitude-shell disaggregation that the original panel deferred [3,5,15,23,24,26,27]. Chapter 7 presents the integrative deployable-or-not test against the empirical CDM corpus on the reference partner-class compute profile, with the pre-registered sensitivity analyses under alternative corpora, alternative compute profiles, and alternative threat parameterizations [11,18].</w:t>
      </w:r>
    </w:p>
    <w:p>
      <w:pPr>
        <w:pStyle w:val="BodyText"/>
        <w:spacing w:line="480" w:lineRule="auto"/>
        <w:ind w:firstLine="720"/>
      </w:pPr>
      <w:r>
        <w:t xml:space="preserve">Chapter 8 discusses the threats to validity in detail. Construct validity is addressed through the stratified sampling design and the pre-registered sensitivity analysis under alternative stratifications</w:t>
      </w:r>
      <w:r>
        <w:t xml:space="preserve"> </w:t>
      </w:r>
      <w:hyperlink w:anchor="ref-5">
        <w:r>
          <w:rPr>
            <w:rStyle w:val="Hyperlink"/>
          </w:rPr>
          <w:t xml:space="preserve">[5]</w:t>
        </w:r>
      </w:hyperlink>
      <w:r>
        <w:t xml:space="preserve">. Internal validity is addressed through the fixed reference implementation, the multiple library implementations as a robustness set, and the per-message reporting of the hardware and library profile</w:t>
      </w:r>
      <w:r>
        <w:t xml:space="preserve"> </w:t>
      </w:r>
      <w:hyperlink w:anchor="ref-19">
        <w:r>
          <w:rPr>
            <w:rStyle w:val="Hyperlink"/>
          </w:rPr>
          <w:t xml:space="preserve">[19]</w:t>
        </w:r>
      </w:hyperlink>
      <w:r>
        <w:t xml:space="preserve">. External validity is addressed through the three partner profiles (high, median, low compute) with the binding profile reported [1,6]. Threat-model validity is addressed through the hybrid envelope construction that preserves classical security if the lattice assumption fails and post-quantum security if the classical assumption fails [11,12]. Statistical validity is addressed through the full empirical CDF reporting and the bootstrap confidence intervals at the 90th, 95th, and 99th percentiles.</w:t>
      </w:r>
    </w:p>
    <w:p>
      <w:pPr>
        <w:pStyle w:val="BodyText"/>
        <w:spacing w:line="480" w:lineRule="auto"/>
        <w:ind w:firstLine="720"/>
      </w:pPr>
      <w:r>
        <w:t xml:space="preserve">Chapter 9 concludes by stating the result of the falsifiable test, the implications for the TraCCS federation and for NASA and JPL as partner-class endpoints, and the avenues for follow-on work. The follow-on avenues include the extension of the envelope to the cislunar and cismartian partner sets that Anilkumar and colleagues have characterized [4,39], the extension to the in-orbit servicing partner set that Opromolla and colleagues have characterized</w:t>
      </w:r>
      <w:r>
        <w:t xml:space="preserve"> </w:t>
      </w:r>
      <w:hyperlink w:anchor="ref-7">
        <w:r>
          <w:rPr>
            <w:rStyle w:val="Hyperlink"/>
          </w:rPr>
          <w:t xml:space="preserve">[7]</w:t>
        </w:r>
      </w:hyperlink>
      <w:r>
        <w:t xml:space="preserve">, and the integration with the decentralized space information sharing fabrics that Reed and colleagues have characterized [8,29,30,31,34]. The conclusion returns to the stakes for NASA and JPL with which this chapter opened and states what the deployable-or-not result means for the institutional posture of NASA in the federated SSA exchange.</w:t>
      </w:r>
    </w:p>
    <w:bookmarkEnd w:id="64"/>
    <w:bookmarkEnd w:id="65"/>
    <w:bookmarkStart w:id="72"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The COSMIC dissertation sits at the intersection of two literatures that, despite roughly two decades of parallel maturation, have not yet been joined. The first is the technical and institutional literature on space situational awareness (SSA) data sharing, conjunction assessment, and the cryptographic and architectural substrate that protects the messages on which orbital safety now depends. The second is the empirical methodological literature on regression-based decomposition of system cost and demand, including the ordinary least squares (OLS) panel and cross-sectional designs that have been used to characterize federation throughput and per-message overhead. This chapter reviews each literature in its own terms, identifies the unjoined point at which the two should meet, and articulates the gap that the COSMIC contribution closes.</w:t>
      </w:r>
    </w:p>
    <w:p>
      <w:pPr>
        <w:pStyle w:val="BodyText"/>
        <w:spacing w:line="480" w:lineRule="auto"/>
        <w:ind w:firstLine="720"/>
      </w:pPr>
      <w:r>
        <w:t xml:space="preserve">The review is organized in five parts. Section 2.2 reviews the domain technical literature on SSA data sharing and conjunction data message (CDM) production. Section 2.3 reviews the literature on space traffic management (STM), collision avoidance (COLA), and operational latency in conjunction warning. Section 2.4 reviews the literature on decentralized and trust-fabric approaches to space information sharing, including the SNARE, BESTA, and GREAT family of proposals, and the cryptographic primitives that any envelope over CCSDS messaging must employ. Section 2.5 reviews the empirical methodological literature on regression decomposition as applied to system byte cost and panel throughput demand. Section 2.6 synthesizes the two literatures and specifies the gap.</w:t>
      </w:r>
    </w:p>
    <w:bookmarkEnd w:id="66"/>
    <w:bookmarkStart w:id="67" w:name="Xd794c790b47c8bd2b7903064b120cfe15e9a868"/>
    <w:p>
      <w:pPr>
        <w:pStyle w:val="Heading2"/>
        <w:spacing w:line="480" w:lineRule="auto"/>
      </w:pPr>
      <w:r>
        <w:t xml:space="preserve">2.2 The Domain Technical Literature: SSA Data Sharing and Conjunction Data Messages</w:t>
      </w:r>
    </w:p>
    <w:p>
      <w:pPr>
        <w:pStyle w:val="FirstParagraph"/>
        <w:spacing w:line="480" w:lineRule="auto"/>
      </w:pPr>
      <w:r>
        <w:t xml:space="preserve">The institutional architecture of SSA data sharing began as a single-source military catalog regime and has migrated, over the past fifteen years, toward a federated multi-stakeholder model. The earliest treatment in the corpus is Bird’s 2010 articulation of the original sharing architecture, which characterized the catalog and screening services then provided through the United States military and the initial set of bilateral arrangements with allied governments and commercial operators [1,21]. Bird described a regime in which a single authoritative catalog source produced screening output that was disseminated through controlled channels, and in which the cryptographic and trust substrate was implicit in the bilateral relationship rather than carried in the message envelope itself.</w:t>
      </w:r>
    </w:p>
    <w:p>
      <w:pPr>
        <w:pStyle w:val="BodyText"/>
        <w:spacing w:line="480" w:lineRule="auto"/>
        <w:ind w:firstLine="720"/>
      </w:pPr>
      <w:r>
        <w:t xml:space="preserve">Kelso’s 2013 contribution at the AMOS Conference extended this account by demonstrating that a commercial and academic provider could publish a parallel screening service, SOCRATES, drawn from the public two-line element catalog</w:t>
      </w:r>
      <w:r>
        <w:t xml:space="preserve"> </w:t>
      </w:r>
      <w:hyperlink w:anchor="ref-3">
        <w:r>
          <w:rPr>
            <w:rStyle w:val="Hyperlink"/>
          </w:rPr>
          <w:t xml:space="preserve">[3]</w:t>
        </w:r>
      </w:hyperlink>
      <w:r>
        <w:t xml:space="preserve">. The SOCRATES system has since become the canonical public proxy for operational conjunction screening output, because it publishes its output in CCSDS-format messages and is obtainable without restriction. The substantive contribution of Kelso’s work for the present dissertation is twofold. First, it established that the CDM as a payload format has a public empirical record dense enough to support per-message measurement studies. Second, it documented the institutional reality that screening providers outside the military catalog have become structurally embedded in the operational practice of operators, which means that the cryptographic envelope problem is not confined to a single sovereign relationship.</w:t>
      </w:r>
    </w:p>
    <w:p>
      <w:pPr>
        <w:pStyle w:val="BodyText"/>
        <w:spacing w:line="480" w:lineRule="auto"/>
        <w:ind w:firstLine="720"/>
      </w:pPr>
      <w:r>
        <w:t xml:space="preserve">Hale, Last, Denamur-Paul, and Barber extended the institutional account in 2022 with their characterization of partner-not-boss arrangements for international space domain awareness</w:t>
      </w:r>
      <w:r>
        <w:t xml:space="preserve"> </w:t>
      </w:r>
      <w:hyperlink w:anchor="ref-6">
        <w:r>
          <w:rPr>
            <w:rStyle w:val="Hyperlink"/>
          </w:rPr>
          <w:t xml:space="preserve">[6]</w:t>
        </w:r>
      </w:hyperlink>
      <w:r>
        <w:t xml:space="preserve">. Their treatment specified the operational requirements that bilateral and multilateral SSA sharing arrangements place on partner-class infrastructure, including the heterogeneity of partner compute profiles and the partial-commercial composition of partner sensor networks. The Hale account is significant for the present dissertation because it makes explicit the assumption, which is implicit in earlier work, that the partner set is not homogeneous in its cryptographic verification capacity. A migration to post-quantum primitives must therefore be designed against the partner with the most constrained compute profile, not against an idealized reference profile.</w:t>
      </w:r>
    </w:p>
    <w:p>
      <w:pPr>
        <w:pStyle w:val="BodyText"/>
        <w:spacing w:line="480" w:lineRule="auto"/>
        <w:ind w:firstLine="720"/>
      </w:pPr>
      <w:r>
        <w:t xml:space="preserve">A second institutional thread documents the volume side of the CDM stream. Moomey, Falcon, and Khan’s 2022 trending and analysis poster reported a corpus of 30.3 million CDMs from low Earth orbit below 1000 km across the 2016 through 2021 window</w:t>
      </w:r>
      <w:r>
        <w:t xml:space="preserve"> </w:t>
      </w:r>
      <w:hyperlink w:anchor="ref-23">
        <w:r>
          <w:rPr>
            <w:rStyle w:val="Hyperlink"/>
          </w:rPr>
          <w:t xml:space="preserve">[23]</w:t>
        </w:r>
      </w:hyperlink>
      <w:r>
        <w:t xml:space="preserve">. The Moomey corpus is, to the present author’s knowledge, the most explicit public statement of CDM volume per regime-year currently available, and it forms the empirical backbone of the panel constructed in the second COSMIC research paper. The corpus is significant because it documents a regime-specific growth pattern in CDM production that tracks the deployment of large commercial constellations into the LEO below 1000 km shell.</w:t>
      </w:r>
    </w:p>
    <w:p>
      <w:pPr>
        <w:pStyle w:val="BodyText"/>
        <w:spacing w:line="480" w:lineRule="auto"/>
        <w:ind w:firstLine="720"/>
      </w:pPr>
      <w:r>
        <w:t xml:space="preserve">Oltrogge, Alfano, Law, Cacioni, and Kelso’s 2018 comprehensive assessment of collision likelihood in geosynchronous Earth orbit provides the complementary picture for the GEO regime</w:t>
      </w:r>
      <w:r>
        <w:t xml:space="preserve"> </w:t>
      </w:r>
      <w:hyperlink w:anchor="ref-24">
        <w:r>
          <w:rPr>
            <w:rStyle w:val="Hyperlink"/>
          </w:rPr>
          <w:t xml:space="preserve">[24]</w:t>
        </w:r>
      </w:hyperlink>
      <w:r>
        <w:t xml:space="preserve">. The Oltrogge assessment is the canonical reference for the order of magnitude of the conjunction screening problem at GEO, and it establishes that the GEO regime produces a fundamentally different CDM volume profile from the LEO below 1000 km regime. The two together support a regime-disaggregated panel specification rather than an aggregate volume regression.</w:t>
      </w:r>
    </w:p>
    <w:p>
      <w:pPr>
        <w:pStyle w:val="BodyText"/>
        <w:spacing w:line="480" w:lineRule="auto"/>
        <w:ind w:firstLine="720"/>
      </w:pPr>
      <w:r>
        <w:t xml:space="preserve">The Union of Concerned Scientists Satellite Database and McDowell’s Jonathan’s Space Report constellation tables provide the active payload counts that anchor the population side of the CDM volume model [26,27]. These two sources have established themselves as the canonical public registries of active payload counts and constellation composition, and they have been used extensively in the published STM literature for the same purpose for which they are used here.</w:t>
      </w:r>
    </w:p>
    <w:p>
      <w:pPr>
        <w:pStyle w:val="BodyText"/>
        <w:spacing w:line="480" w:lineRule="auto"/>
        <w:ind w:firstLine="720"/>
      </w:pPr>
      <w:r>
        <w:t xml:space="preserve">The most recent contribution in the domain stream is Sorge and colleagues’ 2025 treatment of improvements to spacecraft collision avoidance in the COLA process [5,14]. The Sorge COLA paper documents the operational screening cadence that the United States and partner systems have adopted in response to megaconstellation traffic, and it is the source on which the post-2021 cells of the second COSMIC paper’s panel rely. The companion Sorge, Alary, Lacomba, Tung, and Singh paper on large constellations</w:t>
      </w:r>
      <w:r>
        <w:t xml:space="preserve"> </w:t>
      </w:r>
      <w:hyperlink w:anchor="ref-15">
        <w:r>
          <w:rPr>
            <w:rStyle w:val="Hyperlink"/>
          </w:rPr>
          <w:t xml:space="preserve">[15]</w:t>
        </w:r>
      </w:hyperlink>
      <w:r>
        <w:t xml:space="preserve"> </w:t>
      </w:r>
      <w:r>
        <w:t xml:space="preserve">documents the structural shift that the deployment of Starlink, OneWeb, Project Kuiper, and Qianfan has produced in the LEO below 1000 km demand surface.</w:t>
      </w:r>
    </w:p>
    <w:p>
      <w:pPr>
        <w:pStyle w:val="BodyText"/>
        <w:spacing w:line="480" w:lineRule="auto"/>
        <w:ind w:firstLine="720"/>
      </w:pPr>
      <w:r>
        <w:t xml:space="preserve">Three further domain references frame the cislunar and in-orbit servicing extensions of the problem. Anilkumar and colleagues’ 2025 cislunar and cismartian STM paper specifies the data exchange requirements of conjunction screening in the cislunar regime, where assets operated by different sovereigns and firms must coordinate manoeuvres in near-real time [4,39]. Opromolla and colleagues’ 2024 treatment of in-orbit servicing in the STM context documents the same point for the servicing case</w:t>
      </w:r>
      <w:r>
        <w:t xml:space="preserve"> </w:t>
      </w:r>
      <w:hyperlink w:anchor="ref-7">
        <w:r>
          <w:rPr>
            <w:rStyle w:val="Hyperlink"/>
          </w:rPr>
          <w:t xml:space="preserve">[7]</w:t>
        </w:r>
      </w:hyperlink>
      <w:r>
        <w:t xml:space="preserve">. Sánchez-Ortíz and colleagues’ 2025 outreach paper on STM characterizes the broader institutional context in which the data exchange requirements are situated [2,38]. Across these three sources the operational requirement is consistent: real-time exchange of small, latency-sensitive messages between heterogeneous partners.</w:t>
      </w:r>
    </w:p>
    <w:p>
      <w:pPr>
        <w:pStyle w:val="BodyText"/>
        <w:spacing w:line="480" w:lineRule="auto"/>
        <w:ind w:firstLine="720"/>
      </w:pPr>
      <w:r>
        <w:t xml:space="preserve">Grau and colleagues’ 2025 mission operations paper on precise in-orbit collision prediction documents the ground-segment side of the same problem and supplies the operational latency budgets that any envelope must respect</w:t>
      </w:r>
      <w:r>
        <w:t xml:space="preserve"> </w:t>
      </w:r>
      <w:hyperlink w:anchor="ref-40">
        <w:r>
          <w:rPr>
            <w:rStyle w:val="Hyperlink"/>
          </w:rPr>
          <w:t xml:space="preserve">[40]</w:t>
        </w:r>
      </w:hyperlink>
      <w:r>
        <w:t xml:space="preserve">. Bouhanna and Bridges’ 2020 inter-satellite ranging paper supplies the cooperative ranging side of the same picture</w:t>
      </w:r>
      <w:r>
        <w:t xml:space="preserve"> </w:t>
      </w:r>
      <w:hyperlink w:anchor="ref-42">
        <w:r>
          <w:rPr>
            <w:rStyle w:val="Hyperlink"/>
          </w:rPr>
          <w:t xml:space="preserve">[42]</w:t>
        </w:r>
      </w:hyperlink>
      <w:r>
        <w:t xml:space="preserve">. Together they bound the operational envelope within which a cryptographic wrapper must fit without disturbing the COLA decision loop.</w:t>
      </w:r>
    </w:p>
    <w:p>
      <w:pPr>
        <w:pStyle w:val="BodyText"/>
        <w:spacing w:line="480" w:lineRule="auto"/>
        <w:ind w:firstLine="720"/>
      </w:pPr>
      <w:r>
        <w:t xml:space="preserve">The unifying observation across the domain technical literature is that the cryptographic substrate is treated as implicit infrastructure. The institutional papers describe the federation; the screening papers describe the messages; the operational papers describe the latency budgets; none of them specify the cryptographic envelope under a quantum-adversary threat model, and none of them measure the per-message overhead that a post-quantum migration would impose. This is the first half of the unjoined picture.</w:t>
      </w:r>
    </w:p>
    <w:bookmarkEnd w:id="67"/>
    <w:bookmarkStart w:id="68" w:name="X2fdf96e9c699a4d9fc2080857d76bb7868b3ece"/>
    <w:p>
      <w:pPr>
        <w:pStyle w:val="Heading2"/>
        <w:spacing w:line="480" w:lineRule="auto"/>
      </w:pPr>
      <w:r>
        <w:t xml:space="preserve">2.3 Space Traffic Management, Collision Avoidance, and Operational Latency</w:t>
      </w:r>
    </w:p>
    <w:p>
      <w:pPr>
        <w:pStyle w:val="FirstParagraph"/>
        <w:spacing w:line="480" w:lineRule="auto"/>
      </w:pPr>
      <w:r>
        <w:t xml:space="preserve">The STM literature treats the CDM as the operational object of conjunction warning and characterizes the latency and bandwidth budgets under which the message must be exchanged. Reilly, Blackford, and Mueller’s 2023 AMOS contribution catalogues the challenges of STM data flow, including the requirement to exchange data and notices under operational time pressure across heterogeneous partners</w:t>
      </w:r>
      <w:r>
        <w:t xml:space="preserve"> </w:t>
      </w:r>
      <w:hyperlink w:anchor="ref-10">
        <w:r>
          <w:rPr>
            <w:rStyle w:val="Hyperlink"/>
          </w:rPr>
          <w:t xml:space="preserve">[10]</w:t>
        </w:r>
      </w:hyperlink>
      <w:r>
        <w:t xml:space="preserve">. The Reilly catalogue is a useful taxonomy of the operational constraints that frame the envelope problem, and it is the most explicit public statement that the present author has identified of the requirement that envelope verification not break the COLA decision loop.</w:t>
      </w:r>
    </w:p>
    <w:p>
      <w:pPr>
        <w:pStyle w:val="BodyText"/>
        <w:spacing w:line="480" w:lineRule="auto"/>
        <w:ind w:firstLine="720"/>
      </w:pPr>
      <w:r>
        <w:t xml:space="preserve">Choi, Byun, Pognon, and colleagues’ 2024 AMOS paper on real-time conjunction assessment and concurrent avoidance negotiation supplies the most operationally precise statement of the latency requirement</w:t>
      </w:r>
      <w:r>
        <w:t xml:space="preserve"> </w:t>
      </w:r>
      <w:hyperlink w:anchor="ref-13">
        <w:r>
          <w:rPr>
            <w:rStyle w:val="Hyperlink"/>
          </w:rPr>
          <w:t xml:space="preserve">[13]</w:t>
        </w:r>
      </w:hyperlink>
      <w:r>
        <w:t xml:space="preserve">. Choi and colleagues document that trajectory data latency is critical in a conjunction situation and that real-time concurrent avoidance negotiation between cooperating spacecraft requires bounded message size and bounded transmission time. The Choi paper is the canonical reference for the proposition that the cryptographic envelope cannot be specified in isolation from the operational decision loop within which the protected message participates.</w:t>
      </w:r>
    </w:p>
    <w:p>
      <w:pPr>
        <w:pStyle w:val="BodyText"/>
        <w:spacing w:line="480" w:lineRule="auto"/>
        <w:ind w:firstLine="720"/>
      </w:pPr>
      <w:r>
        <w:t xml:space="preserve">Sorge and colleagues’ COLA paper [5,14] and Sorge, Alary, Lacomba, Tung, and Singh’s large-constellation paper</w:t>
      </w:r>
      <w:r>
        <w:t xml:space="preserve"> </w:t>
      </w:r>
      <w:hyperlink w:anchor="ref-15">
        <w:r>
          <w:rPr>
            <w:rStyle w:val="Hyperlink"/>
          </w:rPr>
          <w:t xml:space="preserve">[15]</w:t>
        </w:r>
      </w:hyperlink>
      <w:r>
        <w:t xml:space="preserve"> </w:t>
      </w:r>
      <w:r>
        <w:t xml:space="preserve">together specify the requirement that the operational COLA process must scale to large constellations and must do so under cooperative data exchange between STM systems. The implicit assumption in these treatments is that the cooperation envelope is small relative to the payload it protects. The first COSMIC research paper documents that this assumption is sometimes violated by an order of magnitude under post-quantum schemes, and the second documents that the throughput floor that the envelope must clear is on the order of several hundred thousand messages per day in LEO below 1000 km by the end of the decade.</w:t>
      </w:r>
    </w:p>
    <w:p>
      <w:pPr>
        <w:pStyle w:val="BodyText"/>
        <w:spacing w:line="480" w:lineRule="auto"/>
        <w:ind w:firstLine="720"/>
      </w:pPr>
      <w:r>
        <w:t xml:space="preserve">Laporte’s 2014 JAC Software contribution on conjunction assessment is the canonical reference for the screening process from which the CDM volumes documented by Moomey and colleagues are produced</w:t>
      </w:r>
      <w:r>
        <w:t xml:space="preserve"> </w:t>
      </w:r>
      <w:hyperlink w:anchor="ref-22">
        <w:r>
          <w:rPr>
            <w:rStyle w:val="Hyperlink"/>
          </w:rPr>
          <w:t xml:space="preserve">[22]</w:t>
        </w:r>
      </w:hyperlink>
      <w:r>
        <w:t xml:space="preserve">. The Laporte account is the link between the catalog densification mechanism and the CDM emission rate, and it supplies the institutional rationale for the time-trend regressor in the second COSMIC paper’s panel.</w:t>
      </w:r>
    </w:p>
    <w:p>
      <w:pPr>
        <w:pStyle w:val="BodyText"/>
        <w:spacing w:line="480" w:lineRule="auto"/>
        <w:ind w:firstLine="720"/>
      </w:pPr>
      <w:r>
        <w:t xml:space="preserve">Reed, Dailey, Stilwell, and Weeden’s 2021 AMOS paper on decentralized space information sharing as a key enabler of trust contributes to the operational picture as well by characterizing the trust requirements that the cooperation envelope must support</w:t>
      </w:r>
      <w:r>
        <w:t xml:space="preserve"> </w:t>
      </w:r>
      <w:hyperlink w:anchor="ref-8">
        <w:r>
          <w:rPr>
            <w:rStyle w:val="Hyperlink"/>
          </w:rPr>
          <w:t xml:space="preserve">[8]</w:t>
        </w:r>
      </w:hyperlink>
      <w:r>
        <w:t xml:space="preserve">. Reed and colleagues argue that the operational requirement is not only confidentiality and integrity in the narrow cryptographic sense but the broader property that partners can verify the provenance of the messages they act on. This property is the trust fabric within which any post-quantum envelope must operate.</w:t>
      </w:r>
    </w:p>
    <w:p>
      <w:pPr>
        <w:pStyle w:val="BodyText"/>
        <w:spacing w:line="480" w:lineRule="auto"/>
        <w:ind w:firstLine="720"/>
      </w:pPr>
      <w:r>
        <w:t xml:space="preserve">Young’s 2021 Aerospace Security Project report on trends in global SSA documents the international policy context in which the operational requirements are situated</w:t>
      </w:r>
      <w:r>
        <w:t xml:space="preserve"> </w:t>
      </w:r>
      <w:hyperlink w:anchor="ref-35">
        <w:r>
          <w:rPr>
            <w:rStyle w:val="Hyperlink"/>
          </w:rPr>
          <w:t xml:space="preserve">[35]</w:t>
        </w:r>
      </w:hyperlink>
      <w:r>
        <w:t xml:space="preserve">. Reed, Tsamis, and Dailey’s 2023 contribution on space sustainability and traffic management documents the requirement that the trusted coordination among space stakeholders extends to the sustainability dimension as well</w:t>
      </w:r>
      <w:r>
        <w:t xml:space="preserve"> </w:t>
      </w:r>
      <w:hyperlink w:anchor="ref-34">
        <w:r>
          <w:rPr>
            <w:rStyle w:val="Hyperlink"/>
          </w:rPr>
          <w:t xml:space="preserve">[34]</w:t>
        </w:r>
      </w:hyperlink>
      <w:r>
        <w:t xml:space="preserve">. Rathnasabapathy and colleagues’ 2025 paper on the Space Sustainability Rating documents the composite-indicator framework within which operator behavior is increasingly assessed</w:t>
      </w:r>
      <w:r>
        <w:t xml:space="preserve"> </w:t>
      </w:r>
      <w:hyperlink w:anchor="ref-36">
        <w:r>
          <w:rPr>
            <w:rStyle w:val="Hyperlink"/>
          </w:rPr>
          <w:t xml:space="preserve">[36]</w:t>
        </w:r>
      </w:hyperlink>
      <w:r>
        <w:t xml:space="preserve">. Smith, Jah, and Wood’s 2025 paper on a decision support system for continuing supervision of commercial in-space servicing documents the parallel requirement for servicing supervision</w:t>
      </w:r>
      <w:r>
        <w:t xml:space="preserve"> </w:t>
      </w:r>
      <w:hyperlink w:anchor="ref-37">
        <w:r>
          <w:rPr>
            <w:rStyle w:val="Hyperlink"/>
          </w:rPr>
          <w:t xml:space="preserve">[37]</w:t>
        </w:r>
      </w:hyperlink>
      <w:r>
        <w:t xml:space="preserve">. Across these contributions the operational requirement on the envelope is that it support not only message-level integrity but federation-level accountability.</w:t>
      </w:r>
    </w:p>
    <w:p>
      <w:pPr>
        <w:pStyle w:val="BodyText"/>
        <w:spacing w:line="480" w:lineRule="auto"/>
        <w:ind w:firstLine="720"/>
      </w:pPr>
      <w:r>
        <w:t xml:space="preserve">The unifying observation across the STM and operational literature is that the latency budget, the bandwidth budget, and the verification-failure budget are all binding constraints on any envelope, that they are documented in the operational literature but not parameterized as testable thresholds against an empirical CDM corpus, and that the cryptographic envelope is not specified at the resolution that the operational constraints require.</w:t>
      </w:r>
    </w:p>
    <w:bookmarkEnd w:id="68"/>
    <w:bookmarkStart w:id="69" w:name="X0c91f08964237336bb0672f6ce81ae671db88d7"/>
    <w:p>
      <w:pPr>
        <w:pStyle w:val="Heading2"/>
        <w:spacing w:line="480" w:lineRule="auto"/>
      </w:pPr>
      <w:r>
        <w:t xml:space="preserve">2.4 Decentralized Information Sharing, Trust Fabrics, and Cryptographic Primitives</w:t>
      </w:r>
    </w:p>
    <w:p>
      <w:pPr>
        <w:pStyle w:val="FirstParagraph"/>
        <w:spacing w:line="480" w:lineRule="auto"/>
      </w:pPr>
      <w:r>
        <w:t xml:space="preserve">A third domain thread treats the trust fabric within which SSA messages are exchanged. The Reed, Dailey, Carden, and Bryson 2019 and 2020 contributions on the Blockchain Enabled Space Traffic Awareness (BESTA) system specified a distributed ledger fabric for automated comparison of SSA observations against agreed behavior [29,31]. The BESTA proposals are significant for the present dissertation because they treat the message-level trust property explicitly: BESTA assumes that each message carries a verifiable signature that binds the payload to its originator and to the agreed-behavior reference against which it is compared. The cryptographic substrate underneath BESTA is presumed but not specified at the post-quantum resolution.</w:t>
      </w:r>
    </w:p>
    <w:p>
      <w:pPr>
        <w:pStyle w:val="BodyText"/>
        <w:spacing w:line="480" w:lineRule="auto"/>
        <w:ind w:firstLine="720"/>
      </w:pPr>
      <w:r>
        <w:t xml:space="preserve">Latif, Bagchi, Pratti, Reed, Stilwell, and Furlich’s 2025 contribution on an AI-enabled space battle management system on Space Protocol’s quantum-resilient blockchain explicitly raises the quantum-resilience requirement</w:t>
      </w:r>
      <w:r>
        <w:t xml:space="preserve"> </w:t>
      </w:r>
      <w:hyperlink w:anchor="ref-30">
        <w:r>
          <w:rPr>
            <w:rStyle w:val="Hyperlink"/>
          </w:rPr>
          <w:t xml:space="preserve">[30]</w:t>
        </w:r>
      </w:hyperlink>
      <w:r>
        <w:t xml:space="preserve">. The Latif paper is the closest source in the corpus to the COSMIC formulation: it asserts that the underlying trust fabric must be quantum-resilient, and it situates that requirement in the operational context of an AI-enabled coordination system. The Latif treatment does not, however, specify the envelope at the per-message resolution that COSMIC requires, and it does not measure per-message overhead against an empirical CDM corpus. The Latif contribution is therefore the closest cousin of the present dissertation and the clearest demonstration that the gap COSMIC identifies is acknowledged in the operational community but not closed.</w:t>
      </w:r>
    </w:p>
    <w:p>
      <w:pPr>
        <w:pStyle w:val="BodyText"/>
        <w:spacing w:line="480" w:lineRule="auto"/>
        <w:ind w:firstLine="720"/>
      </w:pPr>
      <w:r>
        <w:t xml:space="preserve">Reed and Dailey’s 2023 MITRE STM contribution on a symmetric information sharing ecosystem for the space economy specifies the institutional symmetry requirement, that no partner be structurally privileged in the trust fabric, and is the institutional companion to the BESTA cryptographic specification</w:t>
      </w:r>
      <w:r>
        <w:t xml:space="preserve"> </w:t>
      </w:r>
      <w:hyperlink w:anchor="ref-25">
        <w:r>
          <w:rPr>
            <w:rStyle w:val="Hyperlink"/>
          </w:rPr>
          <w:t xml:space="preserve">[25]</w:t>
        </w:r>
      </w:hyperlink>
      <w:r>
        <w:t xml:space="preserve">. Ossorgin, Danford, and Merry’s 2025 Sandia contribution on the Cosmic Collaboratory SDA AI/ML model hosting service documents the model-hosting side of the same operational picture</w:t>
      </w:r>
      <w:r>
        <w:t xml:space="preserve"> </w:t>
      </w:r>
      <w:hyperlink w:anchor="ref-28">
        <w:r>
          <w:rPr>
            <w:rStyle w:val="Hyperlink"/>
          </w:rPr>
          <w:t xml:space="preserve">[28]</w:t>
        </w:r>
      </w:hyperlink>
      <w:r>
        <w:t xml:space="preserve">. Skelton’s 2012 contribution on data handling and protection of need-to-know data in a need-to-share net-centric enterprise documents the earlier articulation of the same need-to-share-with-need-to-know tension within which the cryptographic envelope must operate</w:t>
      </w:r>
      <w:r>
        <w:t xml:space="preserve"> </w:t>
      </w:r>
      <w:hyperlink w:anchor="ref-33">
        <w:r>
          <w:rPr>
            <w:rStyle w:val="Hyperlink"/>
          </w:rPr>
          <w:t xml:space="preserve">[33]</w:t>
        </w:r>
      </w:hyperlink>
      <w:r>
        <w:t xml:space="preserve">.</w:t>
      </w:r>
    </w:p>
    <w:p>
      <w:pPr>
        <w:pStyle w:val="BodyText"/>
        <w:spacing w:line="480" w:lineRule="auto"/>
        <w:ind w:firstLine="720"/>
      </w:pPr>
      <w:r>
        <w:t xml:space="preserve">Bennet and colleagues’ 2018 free-space quantum communication link with adaptive optics, and Grieve, Bedington, Tang, Chandrasekara, and Ling’s 2018 SpooQySats contribution on CubeSat quantum key distribution, document the complementary quantum-communications stream [32,41]. These contributions specify the physical channel by which post-quantum key material may eventually be exchanged, but they are out-of-scope for the present dissertation’s near-term envelope characterization. They are cited here to bound the COSMIC contribution: COSMIC characterizes the lattice-based and hash-based signature envelope under the assumption that key transport is conventional, and the quantum-channel stream specifies the alternative key-transport substrate that may eventually supplement or supplant the conventional approach.</w:t>
      </w:r>
    </w:p>
    <w:p>
      <w:pPr>
        <w:pStyle w:val="BodyText"/>
        <w:spacing w:line="480" w:lineRule="auto"/>
        <w:ind w:firstLine="720"/>
      </w:pPr>
      <w:r>
        <w:t xml:space="preserve">The cryptographic primitives that any envelope must employ are documented in the NIST and NSA standardization stream. NIST IR 8413 documents the third-round status of the post-quantum cryptography standardization process and tabulates the public-key, ciphertext, and signature byte counts of the candidate schemes</w:t>
      </w:r>
      <w:r>
        <w:t xml:space="preserve"> </w:t>
      </w:r>
      <w:hyperlink w:anchor="ref-11">
        <w:r>
          <w:rPr>
            <w:rStyle w:val="Hyperlink"/>
          </w:rPr>
          <w:t xml:space="preserve">[11]</w:t>
        </w:r>
      </w:hyperlink>
      <w:r>
        <w:t xml:space="preserve">. FIPS 186-5 specifies the classical digital signature standard against which the post-quantum schemes must be compared</w:t>
      </w:r>
      <w:r>
        <w:t xml:space="preserve"> </w:t>
      </w:r>
      <w:hyperlink w:anchor="ref-16">
        <w:r>
          <w:rPr>
            <w:rStyle w:val="Hyperlink"/>
          </w:rPr>
          <w:t xml:space="preserve">[16]</w:t>
        </w:r>
      </w:hyperlink>
      <w:r>
        <w:t xml:space="preserve">. CNSA 2.0 documents the National Security Agency’s commercial national security algorithm suite and specifies the operational migration trajectory</w:t>
      </w:r>
      <w:r>
        <w:t xml:space="preserve"> </w:t>
      </w:r>
      <w:hyperlink w:anchor="ref-12">
        <w:r>
          <w:rPr>
            <w:rStyle w:val="Hyperlink"/>
          </w:rPr>
          <w:t xml:space="preserve">[12]</w:t>
        </w:r>
      </w:hyperlink>
      <w:r>
        <w:t xml:space="preserve">. SP 800-57 Part 1 Revision 5 documents the key management recommendations against which the envelope’s key-rotation cadence must be specified</w:t>
      </w:r>
      <w:r>
        <w:t xml:space="preserve"> </w:t>
      </w:r>
      <w:hyperlink w:anchor="ref-18">
        <w:r>
          <w:rPr>
            <w:rStyle w:val="Hyperlink"/>
          </w:rPr>
          <w:t xml:space="preserve">[18]</w:t>
        </w:r>
      </w:hyperlink>
      <w:r>
        <w:t xml:space="preserve">. The NIST submission requirements and evaluation criteria document specifies the threat model under which the post-quantum schemes were evaluated</w:t>
      </w:r>
      <w:r>
        <w:t xml:space="preserve"> </w:t>
      </w:r>
      <w:hyperlink w:anchor="ref-20">
        <w:r>
          <w:rPr>
            <w:rStyle w:val="Hyperlink"/>
          </w:rPr>
          <w:t xml:space="preserve">[20]</w:t>
        </w:r>
      </w:hyperlink>
      <w:r>
        <w:t xml:space="preserve">. The Bernstein, Duif, Lange, Schwabe, and Yang Ed25519 paper specifies the high-speed high-security classical signature scheme that is the canonical pre-quantum baseline</w:t>
      </w:r>
      <w:r>
        <w:t xml:space="preserve"> </w:t>
      </w:r>
      <w:hyperlink w:anchor="ref-17">
        <w:r>
          <w:rPr>
            <w:rStyle w:val="Hyperlink"/>
          </w:rPr>
          <w:t xml:space="preserve">[17]</w:t>
        </w:r>
      </w:hyperlink>
      <w:r>
        <w:t xml:space="preserve">. The eBACS SUPERCOP benchmark suite supplies the canonical reference compute profile against which the per-message verification latency is measured</w:t>
      </w:r>
      <w:r>
        <w:t xml:space="preserve"> </w:t>
      </w:r>
      <w:hyperlink w:anchor="ref-19">
        <w:r>
          <w:rPr>
            <w:rStyle w:val="Hyperlink"/>
          </w:rPr>
          <w:t xml:space="preserve">[19]</w:t>
        </w:r>
      </w:hyperlink>
      <w:r>
        <w:t xml:space="preserve">.</w:t>
      </w:r>
    </w:p>
    <w:p>
      <w:pPr>
        <w:pStyle w:val="BodyText"/>
        <w:spacing w:line="480" w:lineRule="auto"/>
        <w:ind w:firstLine="720"/>
      </w:pPr>
      <w:r>
        <w:t xml:space="preserve">The Consultative Committee for Space Data Systems Blue Books specify the CCSDS message formats that the envelope wraps</w:t>
      </w:r>
      <w:r>
        <w:t xml:space="preserve"> </w:t>
      </w:r>
      <w:hyperlink w:anchor="ref-9">
        <w:r>
          <w:rPr>
            <w:rStyle w:val="Hyperlink"/>
          </w:rPr>
          <w:t xml:space="preserve">[9]</w:t>
        </w:r>
      </w:hyperlink>
      <w:r>
        <w:t xml:space="preserve">. The CDM specification (CCSDS 508.0-B-1), the OEM specification (CCSDS 502.0-B-2), and the Navigation Data Definitions and Conventions Green Book (CCSDS 500.0-G-4) together specify the payload format, the canonicalization rules, and the conventions under which the envelope must operate.</w:t>
      </w:r>
    </w:p>
    <w:p>
      <w:pPr>
        <w:pStyle w:val="BodyText"/>
        <w:spacing w:line="480" w:lineRule="auto"/>
        <w:ind w:firstLine="720"/>
      </w:pPr>
      <w:r>
        <w:t xml:space="preserve">The unifying observation across the trust-fabric and cryptographic-primitive literature is that the primitives are tabulated, the institutional requirements are specified, and the trust-fabric architectures are proposed, but that no source in the corpus specifies the envelope as a parameterized construction over the CCSDS payload format and measures its per-message overhead against an empirical CDM corpus.</w:t>
      </w:r>
    </w:p>
    <w:bookmarkEnd w:id="69"/>
    <w:bookmarkStart w:id="70" w:name="X08810da64f6895d2181c1993912d1c2f13dfbd3"/>
    <w:p>
      <w:pPr>
        <w:pStyle w:val="Heading2"/>
        <w:spacing w:line="480" w:lineRule="auto"/>
      </w:pPr>
      <w:r>
        <w:t xml:space="preserve">2.5 The Methodological Literature: Regression Decomposition of System Cost and Demand</w:t>
      </w:r>
    </w:p>
    <w:p>
      <w:pPr>
        <w:pStyle w:val="FirstParagraph"/>
        <w:spacing w:line="480" w:lineRule="auto"/>
      </w:pPr>
      <w:r>
        <w:t xml:space="preserve">The second literature that the present dissertation joins is the empirical methodological literature on regression-based decomposition of system cost and panel-based projection of demand. The methodological literature is documented in the corpus implicitly through its application in the present author’s first two research papers, and through the canonical sources on which those papers rely.</w:t>
      </w:r>
    </w:p>
    <w:p>
      <w:pPr>
        <w:pStyle w:val="BodyText"/>
        <w:spacing w:line="480" w:lineRule="auto"/>
        <w:ind w:firstLine="720"/>
      </w:pPr>
      <w:r>
        <w:t xml:space="preserve">The first COSMIC research paper estimates an OLS decomposition of envelope wire-cost across 32 (scheme, payload) pairs, with envelope size as the dependent variable and payload size, public-key size, signature size, and NIST security category as regressors [11,16,17,19]. The methodological frame is the standard cross-sectional OLS decomposition with heteroskedasticity-consistent standard errors. The identification rests on cross-scheme variation: at fixed payload, different schemes contribute different cryptographic byte counts, and at fixed scheme, different CCSDS message types contribute different payload byte counts. The result is an additive identity in which the three size coefficients are each indistinguishable from one byte of envelope per byte of component and the NIST level coefficient is indistinguishable from zero. The methodological contribution of the first paper is the demonstration that the OLS decomposition is the natural frame within which to test the additive-identity hypothesis against the security-level-premium alternative.</w:t>
      </w:r>
    </w:p>
    <w:p>
      <w:pPr>
        <w:pStyle w:val="BodyText"/>
        <w:spacing w:line="480" w:lineRule="auto"/>
        <w:ind w:firstLine="720"/>
      </w:pPr>
      <w:r>
        <w:t xml:space="preserve">The second COSMIC research paper estimates an OLS panel model of mean daily CDM volume across three orbital regimes from 2016 through 2025, with active payload count, a linear time trend, and large-constellation share as regressors [3,5,23,24,26,27]. The methodological frame is the stacked-panel OLS with HC1 heteroskedasticity-robust standard errors. The identification rests on regime-year variation in the three regressors. The result is a strong payload coefficient, a marginally significant time-trend coefficient, and a constellation-share coefficient that does not survive once payload count enters the specification.</w:t>
      </w:r>
    </w:p>
    <w:p>
      <w:pPr>
        <w:pStyle w:val="BodyText"/>
        <w:spacing w:line="480" w:lineRule="auto"/>
        <w:ind w:firstLine="720"/>
      </w:pPr>
      <w:r>
        <w:t xml:space="preserve">The methodological literature on which these two designs rest is the standard OLS literature on cross-sectional decomposition and panel projection. The two designs are mature and well understood in their general form. What is novel in their application here is not the estimator but the joint use of the two designs to specify the envelope problem from both the supply side (per-message overhead) and the demand side (throughput floor). The first design supplies the per-message byte budget; the second supplies the messages-per-day floor; the two together specify the bandwidth and the throughput envelope that the cryptographic wrapper must clear.</w:t>
      </w:r>
    </w:p>
    <w:p>
      <w:pPr>
        <w:pStyle w:val="BodyText"/>
        <w:spacing w:line="480" w:lineRule="auto"/>
        <w:ind w:firstLine="720"/>
      </w:pPr>
      <w:r>
        <w:t xml:space="preserve">The methodological literature is, however, almost entirely disjoint from the domain technical literature reviewed in the previous three sections. No source in the corpus, to the present author’s knowledge, has applied OLS decomposition to the per-message overhead of a cryptographic envelope over CCSDS payloads, and no source has applied panel OLS to the projection of CDM volume against the throughput requirements of a post-quantum envelope. The two literatures have matured in parallel, and the methodological frame that the present dissertation applies is the natural bridge that has not yet been built.</w:t>
      </w:r>
    </w:p>
    <w:p>
      <w:pPr>
        <w:pStyle w:val="BodyText"/>
        <w:spacing w:line="480" w:lineRule="auto"/>
        <w:ind w:firstLine="720"/>
      </w:pPr>
      <w:r>
        <w:t xml:space="preserve">A small auxiliary stream of acoustic and outreach contributions in the corpus, including Tanaka, Dinulović, Köse, and Bruckmayr’s 2021 sound installation through cosmic muons</w:t>
      </w:r>
      <w:r>
        <w:t xml:space="preserve"> </w:t>
      </w:r>
      <w:hyperlink w:anchor="ref-43">
        <w:r>
          <w:rPr>
            <w:rStyle w:val="Hyperlink"/>
          </w:rPr>
          <w:t xml:space="preserve">[43]</w:t>
        </w:r>
      </w:hyperlink>
      <w:r>
        <w:t xml:space="preserve">, is cited here only to bound the scope of the methodological review: the corpus contains domain contributions that are out-of-scope for the COSMIC envelope problem, and they are excluded from the synthesis on relevance rather than on methodological grounds.</w:t>
      </w:r>
    </w:p>
    <w:bookmarkEnd w:id="70"/>
    <w:bookmarkStart w:id="71" w:name="synthesis-and-the-gap"/>
    <w:p>
      <w:pPr>
        <w:pStyle w:val="Heading2"/>
        <w:spacing w:line="480" w:lineRule="auto"/>
      </w:pPr>
      <w:r>
        <w:t xml:space="preserve">2.6 Synthesis and the Gap</w:t>
      </w:r>
    </w:p>
    <w:p>
      <w:pPr>
        <w:pStyle w:val="FirstParagraph"/>
        <w:spacing w:line="480" w:lineRule="auto"/>
      </w:pPr>
      <w:r>
        <w:t xml:space="preserve">The synthesis of the two literatures yields a precise statement of the gap. The domain technical literature on SSA data sharing [1,3,6,21], on CDM production and screening [3,5,14,15,22,23,24,26,27], on STM and operational latency [2,4,5,7,10,13,38,39,40,42], on decentralized information sharing and trust fabrics [8,25,28,29,30,31,33,34,35,36,37], and on cryptographic primitives [9,11,12,16,17,18,19,20] together specify the institutional, operational, and primitive substrate within which a post-quantum envelope for the CCSDS CDM payload must operate. The methodological literature on OLS decomposition of system byte cost and panel projection of throughput demand supplies the empirical frame within which the envelope’s wire-cost and the federation’s throughput floor can be characterized.</w:t>
      </w:r>
    </w:p>
    <w:p>
      <w:pPr>
        <w:pStyle w:val="BodyText"/>
        <w:spacing w:line="480" w:lineRule="auto"/>
        <w:ind w:firstLine="720"/>
      </w:pPr>
      <w:r>
        <w:t xml:space="preserve">No source in the corpus specifies, parameterizes, or measures a post-quantum cryptographic envelope for the CCSDS CDM payload against an empirical conjunction-message corpus under the operational latency, bandwidth, and verification-failure budgets that the STM literature documents. The Latif and colleagues 2025 contribution on the Space Protocol quantum-resilient blockchain is the closest source in the corpus to the COSMIC formulation, but it does not specify the envelope at the per-message resolution or measure per-message overhead against an empirical CDM corpus</w:t>
      </w:r>
      <w:r>
        <w:t xml:space="preserve"> </w:t>
      </w:r>
      <w:hyperlink w:anchor="ref-30">
        <w:r>
          <w:rPr>
            <w:rStyle w:val="Hyperlink"/>
          </w:rPr>
          <w:t xml:space="preserve">[30]</w:t>
        </w:r>
      </w:hyperlink>
      <w:r>
        <w:t xml:space="preserve">. The BESTA family of contributions assumes a verifiable signature substrate but does not specify it under the post-quantum threat model [29,31]. The Reed and colleagues 2021 decentralized information sharing contribution specifies the trust property that the envelope must support but does not specify the envelope itself</w:t>
      </w:r>
      <w:r>
        <w:t xml:space="preserve"> </w:t>
      </w:r>
      <w:hyperlink w:anchor="ref-8">
        <w:r>
          <w:rPr>
            <w:rStyle w:val="Hyperlink"/>
          </w:rPr>
          <w:t xml:space="preserve">[8]</w:t>
        </w:r>
      </w:hyperlink>
      <w:r>
        <w:t xml:space="preserve">. The NIST and NSA standardization stream tabulates the primitives but does not apply them to the CCSDS payload format under the operational constraints that the STM literature documents [11,12,16,17,18,19,20]. The CCSDS Blue Books specify the payload format but do not specify the cryptographic envelope under the post-quantum threat model</w:t>
      </w:r>
      <w:r>
        <w:t xml:space="preserve"> </w:t>
      </w:r>
      <w:hyperlink w:anchor="ref-9">
        <w:r>
          <w:rPr>
            <w:rStyle w:val="Hyperlink"/>
          </w:rPr>
          <w:t xml:space="preserve">[9]</w:t>
        </w:r>
      </w:hyperlink>
      <w:r>
        <w:t xml:space="preserve">.</w:t>
      </w:r>
    </w:p>
    <w:p>
      <w:pPr>
        <w:pStyle w:val="BodyText"/>
        <w:spacing w:line="480" w:lineRule="auto"/>
        <w:ind w:firstLine="720"/>
      </w:pPr>
      <w:r>
        <w:t xml:space="preserve">The gap is therefore the joint specification and empirical characterization of a hybrid classical-plus-lattice-based signature envelope over the CCSDS CDM payload, measured against a public historical CDM corpus, under the operational latency, bandwidth, and verification-failure budgets that the STM and operational literature documents, and tested under the OLS decomposition and panel projection designs that the methodological literature supplies. The first COSMIC research paper closes the wire-cost side of the gap. The second closes the throughput-demand side. The dissertation as a whole closes the joint specification by combining the two designs against the falsifiable hypothesis articulated in the prospectus: that a hybrid envelope satisfies the 250 ms latency, 5 kilobyte bandwidth, and 0.1 percent verification-failure budgets simultaneously at the 95th percentile of the historical CDM corpus.</w:t>
      </w:r>
    </w:p>
    <w:p>
      <w:pPr>
        <w:pStyle w:val="BodyText"/>
        <w:spacing w:line="480" w:lineRule="auto"/>
        <w:ind w:firstLine="720"/>
      </w:pPr>
      <w:r>
        <w:t xml:space="preserve">The synthesis additionally clarifies why the two literatures have not joined until now. The domain technical literature has matured under operational pressure from the federation’s institutional growth and the megaconstellation deployment, and it has treated the cryptographic substrate as implicit because the classical primitives have been adequate to the operational threat model. The methodological literature has matured under the standard OLS frame for system cost and demand decomposition, and it has not been applied to the cryptographic envelope problem because the problem has not been operationally pressing under the classical threat model. The CRQC assumption changes the operational threat model, the NIST and NSA standardization stream changes the primitive substrate, and the megaconstellation deployment changes the throughput floor. The three changes jointly create the conditions under which the two literatures must join, and the COSMIC dissertation supplies the joint specification.</w:t>
      </w:r>
    </w:p>
    <w:p>
      <w:pPr>
        <w:pStyle w:val="BodyText"/>
        <w:spacing w:line="480" w:lineRule="auto"/>
        <w:ind w:firstLine="720"/>
      </w:pPr>
      <w:r>
        <w:t xml:space="preserve">The remainder of the dissertation proceeds on this synthesis. Chapter 3 specifies the research design that operationalizes the joint specification. Chapter 4 specifies the data, the canonicalization, and the measurement harness. Chapter 5 specifies the OLS decomposition of envelope wire-cost. Chapter 6 specifies the panel projection of throughput demand. Chapter 7 specifies the joint test of the H1 conjunction. Chapter 8 specifies the threats to validity and the robustness checks. Chapter 9 specifies the institutional and policy implications. The contribution is the joint specification and empirical characterization, against an operational corpus, of the post-quantum envelope that the SSA federation will require.</w:t>
      </w:r>
    </w:p>
    <w:bookmarkEnd w:id="71"/>
    <w:bookmarkEnd w:id="72"/>
    <w:bookmarkStart w:id="81" w:name="Xcfcc00a3ded59aed0c781c16bfc121f2a509603"/>
    <w:p>
      <w:pPr>
        <w:pStyle w:val="Heading1"/>
        <w:spacing w:line="480" w:lineRule="auto"/>
      </w:pPr>
      <w:r>
        <w:t xml:space="preserve">Chapter 3. Theoretical Framework and Hypotheses</w:t>
      </w:r>
    </w:p>
    <w:bookmarkStart w:id="73" w:name="purpose-of-the-chapter"/>
    <w:p>
      <w:pPr>
        <w:pStyle w:val="Heading2"/>
        <w:spacing w:line="480" w:lineRule="auto"/>
      </w:pPr>
      <w:r>
        <w:t xml:space="preserve">3.1 Purpose of the Chapter</w:t>
      </w:r>
    </w:p>
    <w:p>
      <w:pPr>
        <w:pStyle w:val="FirstParagraph"/>
        <w:spacing w:line="480" w:lineRule="auto"/>
      </w:pPr>
      <w:r>
        <w:t xml:space="preserve">This chapter specifies the theoretical framework that governs the COSMIC envelope study and derives the formal hypotheses that the empirical chapters will test. The framework integrates three distinct but interlocking bodies of theory: the institutional theory of federated space situational awareness data sharing, the operational theory of conjunction screening and collision avoidance, and the cryptographic theory of post-quantum signature constructions under a quantum adversary threat model. The integration is not eclectic. Each body of theory contributes a necessary premise, and the conjunction of the three premises generates the causal mechanism whose operational consequence the dissertation tests. The chapter closes by stating the null hypothesis H0 and the alternative hypothesis H1 in a form that admits falsification through the public CDM corpus introduced in Chapter 4 and analyzed in Chapters 5 and 6.</w:t>
      </w:r>
    </w:p>
    <w:p>
      <w:pPr>
        <w:pStyle w:val="BodyText"/>
        <w:spacing w:line="480" w:lineRule="auto"/>
        <w:ind w:firstLine="720"/>
      </w:pPr>
      <w:r>
        <w:t xml:space="preserve">The argument proceeds in five steps. Section 3.2 reconstructs the institutional theory of federated SSA data sharing and locates the cryptographic envelope as the load-bearing trust artifact within that institutional logic. Section 3.3 reconstructs the operational theory of conjunction screening, conjunction data message exchange, and short-warning collision avoidance, and isolates the latency, bandwidth, and verification-failure budgets that the envelope must respect. Section 3.4 reconstructs the cryptographic theory of hybrid classical-plus-lattice signature constructions under the cryptanalytically relevant quantum computer threat model and identifies the design parameters whose values the envelope must fix. Section 3.5 assembles the three strands into a single causal mechanism: a hybrid signature envelope wrapping the canonicalized CCSDS CDM payload imposes a quantitatively bounded operational cost whose distribution can be measured against the corpus, and whose threshold-passing or threshold-failing status determines the envelope’s deployability across the TraCCS federation. Section 3.6 states H0 and H1, defines the operational thresholds that anchor them, and specifies the inferential decision rule that will govern Chapters 5 and 6.</w:t>
      </w:r>
    </w:p>
    <w:bookmarkEnd w:id="73"/>
    <w:bookmarkStart w:id="74" w:name="X57827c05accb948ea21820e0fc1ffcc96b9bd5a"/>
    <w:p>
      <w:pPr>
        <w:pStyle w:val="Heading2"/>
        <w:spacing w:line="480" w:lineRule="auto"/>
      </w:pPr>
      <w:r>
        <w:t xml:space="preserve">3.2 Institutional Theory: The Federated SSA Trust Substrate</w:t>
      </w:r>
    </w:p>
    <w:p>
      <w:pPr>
        <w:pStyle w:val="FirstParagraph"/>
        <w:spacing w:line="480" w:lineRule="auto"/>
      </w:pPr>
      <w:r>
        <w:t xml:space="preserve">The first premise of the framework is institutional. SSA data sharing has migrated from a single-source military catalog regime, in which one sovereign issued the authoritative orbital catalog and counterparties consumed it, toward a federated multi-stakeholder model in which the United States Traffic Coordination System for Space, allied governments, commercial sensor operators, and academic providers contribute and consume conjunction data messages, orbit ephemerides, and maneuver advisories on a peer footing [1, 6]. The federation is governed less by hierarchical authority than by an evolving lattice of bilateral sharing agreements, commercial service contracts, and emerging multilateral coordination mechanisms whose operational viability rests on a shared trust substrate [1, 6, 25]. The shared trust substrate is, in practice, the cryptographic envelope that authenticates every message that crosses an inter-partner boundary.</w:t>
      </w:r>
    </w:p>
    <w:p>
      <w:pPr>
        <w:pStyle w:val="BodyText"/>
        <w:spacing w:line="480" w:lineRule="auto"/>
        <w:ind w:firstLine="720"/>
      </w:pPr>
      <w:r>
        <w:t xml:space="preserve">The institutional importance of the envelope is amplified by the asymmetry of the federation. Partner compute, partner key-management practice, and partner connectivity vary by an order of magnitude or more across the set [1, 6]. The envelope must therefore satisfy not a single partner profile but a heterogeneous distribution of profiles simultaneously, and it must do so under a contractual regime in which any single partner’s refusal to verify a message degrades the safety value of the federated stream as a whole. Bird’s foundational treatment of the SSA sharing problem frames this asymmetry as the binding constraint on any cryptographic substrate the federation adopts, and Hale and colleagues extend the argument to the international space domain awareness setting, where the principle of</w:t>
      </w:r>
      <w:r>
        <w:t xml:space="preserve"> </w:t>
      </w:r>
      <w:r>
        <w:t xml:space="preserve">“partnering not bossing”</w:t>
      </w:r>
      <w:r>
        <w:t xml:space="preserve"> </w:t>
      </w:r>
      <w:r>
        <w:t xml:space="preserve">places the burden of compatibility on the substrate rather than on the partners [1, 6].</w:t>
      </w:r>
    </w:p>
    <w:p>
      <w:pPr>
        <w:pStyle w:val="BodyText"/>
        <w:spacing w:line="480" w:lineRule="auto"/>
        <w:ind w:firstLine="720"/>
      </w:pPr>
      <w:r>
        <w:t xml:space="preserve">The decentralized space information sharing literature reinforces this institutional reading from a different direction. The SNARE, BESTA, and GREAT proposals address the trust and persistence properties of the sharing fabric and converge on the conclusion that the fabric’s value derives from authenticated, non-repudiable, and queryable message exchange across stakeholders whose interests do not align by default [8, 29, 30, 31, 34]. None of these proposals engages the post-quantum migration question, and none quantifies the envelope-level latency and bandwidth costs that the federated institutional logic implies, but each presupposes a cryptographic substrate of the kind that COSMIC specifies and measures.</w:t>
      </w:r>
    </w:p>
    <w:p>
      <w:pPr>
        <w:pStyle w:val="BodyText"/>
        <w:spacing w:line="480" w:lineRule="auto"/>
        <w:ind w:firstLine="720"/>
      </w:pPr>
      <w:r>
        <w:t xml:space="preserve">The institutional premise that this chapter takes from the literature can therefore be stated compactly. The federated SSA sharing regime requires a cryptographic envelope as its load-bearing trust artifact; the envelope must be uniformly verifiable across a heterogeneous partner set; and the envelope’s operational cost is a federation-level cost, not a partner-level cost, because a single partner’s failure to absorb the envelope degrades the safety value of the shared stream. Any post-quantum migration of the substrate inherits this premise without dilution.</w:t>
      </w:r>
    </w:p>
    <w:bookmarkEnd w:id="74"/>
    <w:bookmarkStart w:id="75" w:name="X24802addc8015575f1ffd279ac5cd45f3c0a6a7"/>
    <w:p>
      <w:pPr>
        <w:pStyle w:val="Heading2"/>
        <w:spacing w:line="480" w:lineRule="auto"/>
      </w:pPr>
      <w:r>
        <w:t xml:space="preserve">3.3 Operational Theory: Conjunction Screening and the Short-Warning Budget</w:t>
      </w:r>
    </w:p>
    <w:p>
      <w:pPr>
        <w:pStyle w:val="FirstParagraph"/>
        <w:spacing w:line="480" w:lineRule="auto"/>
      </w:pPr>
      <w:r>
        <w:t xml:space="preserve">The second premise is operational. Conjunction screening, conjunction data message exchange, and short-warning collision avoidance constitute a tightly coupled operational process whose temporal and informational requirements set hard budgets on any cryptographic wrapper that intermediates partner exchanges. Choi and colleagues document that real-time concurrent avoidance negotiation requires bounded message size and bounded transmission time, with explicit operational sensitivity to trajectory data latency in the short-warning case</w:t>
      </w:r>
      <w:r>
        <w:t xml:space="preserve"> </w:t>
      </w:r>
      <w:hyperlink w:anchor="ref-13">
        <w:r>
          <w:rPr>
            <w:rStyle w:val="Hyperlink"/>
          </w:rPr>
          <w:t xml:space="preserve">[13]</w:t>
        </w:r>
      </w:hyperlink>
      <w:r>
        <w:t xml:space="preserve">. Sorge and colleagues, in the canonical Acta Astronautica treatment of the operational COLA process, characterize the screening cadence and message exchange volume that the large-constellation era has imposed on the COLA pipeline [5, 14, 15]. Reilly and colleagues catalogue the operational time pressure under which STM data and notices must move across the federation</w:t>
      </w:r>
      <w:r>
        <w:t xml:space="preserve"> </w:t>
      </w:r>
      <w:hyperlink w:anchor="ref-10">
        <w:r>
          <w:rPr>
            <w:rStyle w:val="Hyperlink"/>
          </w:rPr>
          <w:t xml:space="preserve">[10]</w:t>
        </w:r>
      </w:hyperlink>
      <w:r>
        <w:t xml:space="preserve">. The cislunar and in-orbit servicing settings extend the same operational logic to maneuver-advisory exchange among assets operated by different sovereigns and firms [4, 7, 39].</w:t>
      </w:r>
    </w:p>
    <w:p>
      <w:pPr>
        <w:pStyle w:val="BodyText"/>
        <w:spacing w:line="480" w:lineRule="auto"/>
        <w:ind w:firstLine="720"/>
      </w:pPr>
      <w:r>
        <w:t xml:space="preserve">Three operational budgets emerge from this literature and structure the envelope problem. The first is end-to-end verification latency. A verification step inserted at the partner edge between the receipt of a CDM and the operator’s ability to act upon it lengthens the decision cycle by exactly the verification time, and short-warning conjunctions admit only a bounded decision cycle. The second is per-message bandwidth overhead. The CCSDS CDM payload is small by design, on the order of hundreds of bytes to a few kilobytes, and the federation includes partners whose downlinks, ground segments, and constrained operator interfaces cannot absorb a per-message envelope expansion larger than a small multiple of the payload</w:t>
      </w:r>
      <w:r>
        <w:t xml:space="preserve"> </w:t>
      </w:r>
      <w:hyperlink w:anchor="ref-9">
        <w:r>
          <w:rPr>
            <w:rStyle w:val="Hyperlink"/>
          </w:rPr>
          <w:t xml:space="preserve">[9]</w:t>
        </w:r>
      </w:hyperlink>
      <w:r>
        <w:t xml:space="preserve">. The third is verification-failure rate. Operationally, a verification failure is not a benign event; it removes the message from the partner’s actionable stream and either triggers a costly recovery exchange or is silently absorbed at safety cost. Each budget is quantitatively documented in the operational literature on collision avoidance and STM throughput [5, 13, 14, 15, 10].</w:t>
      </w:r>
    </w:p>
    <w:p>
      <w:pPr>
        <w:pStyle w:val="BodyText"/>
        <w:spacing w:line="480" w:lineRule="auto"/>
        <w:ind w:firstLine="720"/>
      </w:pPr>
      <w:r>
        <w:t xml:space="preserve">The companion empirical paper on CDM throughput within the COSMIC program establishes the demand side of the operational budget by estimating an OLS panel model of mean daily CDM volume across three orbital regimes from 2016 through 2025. That model identifies active payload count as the dominant first-order driver, with a marginally significant secular time trend and a non-significant constellation-share term once payload count is entered. Projecting the estimated payload coefficient onto plausible 2030 active-payload counts in LEO below 1000 km yields a mean CDM volume on the order of several hundred thousand messages per day for that regime alone, which sets the throughput floor any envelope must clear. The operational premise that this chapter takes from the literature can therefore be stated as follows. The federation’s safety value depends on the timely, complete, and authenticated delivery of CDMs to a heterogeneous partner set; the delivery process imposes hard budgets on end-to-end verification latency, per-message bandwidth overhead, and verification-failure rate; and the volumetric demand against which those budgets must hold is rising rather than falling.</w:t>
      </w:r>
    </w:p>
    <w:bookmarkEnd w:id="75"/>
    <w:bookmarkStart w:id="76" w:name="X20d82f9e7b9e72fc58bc79443a0409b0202e9c5"/>
    <w:p>
      <w:pPr>
        <w:pStyle w:val="Heading2"/>
        <w:spacing w:line="480" w:lineRule="auto"/>
      </w:pPr>
      <w:r>
        <w:t xml:space="preserve">3.4 Cryptographic Theory: Hybrid Constructions Under a Quantum Adversary</w:t>
      </w:r>
    </w:p>
    <w:p>
      <w:pPr>
        <w:pStyle w:val="FirstParagraph"/>
        <w:spacing w:line="480" w:lineRule="auto"/>
      </w:pPr>
      <w:r>
        <w:t xml:space="preserve">The third premise is cryptographic. The migration of public-key infrastructure to post-quantum standards is mandated for United States federal systems under the NIST post-quantum cryptography standardization process and the National Security Agency’s Commercial National Security Algorithm Suite 2.0 [11, 12]. The standardization process has produced a catalogue of lattice-based and hash-based signature schemes whose public-key and signature byte counts are one to two orders of magnitude larger than their pre-quantum baselines</w:t>
      </w:r>
      <w:r>
        <w:t xml:space="preserve"> </w:t>
      </w:r>
      <w:hyperlink w:anchor="ref-11">
        <w:r>
          <w:rPr>
            <w:rStyle w:val="Hyperlink"/>
          </w:rPr>
          <w:t xml:space="preserve">[11]</w:t>
        </w:r>
      </w:hyperlink>
      <w:r>
        <w:t xml:space="preserve">. The companion empirical paper on envelope wire cost within the COSMIC program decomposes the resulting envelope size additively and confirms that, once the byte sizes of payload, key, and signature are entered as separate regressors, the NIST security category contributes no measurable residual cost. The envelope is the sum of its declared parts; the choice that matters is the signature family.</w:t>
      </w:r>
    </w:p>
    <w:p>
      <w:pPr>
        <w:pStyle w:val="BodyText"/>
        <w:spacing w:line="480" w:lineRule="auto"/>
        <w:ind w:firstLine="720"/>
      </w:pPr>
      <w:r>
        <w:t xml:space="preserve">The hybrid construction that COSMIC adopts as the unit of analysis pairs a classical signature scheme, specifically ECDSA over the P-256 curve standardized under FIPS 186-5</w:t>
      </w:r>
      <w:r>
        <w:t xml:space="preserve"> </w:t>
      </w:r>
      <w:hyperlink w:anchor="ref-16">
        <w:r>
          <w:rPr>
            <w:rStyle w:val="Hyperlink"/>
          </w:rPr>
          <w:t xml:space="preserve">[16]</w:t>
        </w:r>
      </w:hyperlink>
      <w:r>
        <w:t xml:space="preserve">, with a NIST-standardized lattice-based signature scheme, specifically ML-DSA at three parameter levels drawn from the NIST IR 8413 catalogue</w:t>
      </w:r>
      <w:r>
        <w:t xml:space="preserve"> </w:t>
      </w:r>
      <w:hyperlink w:anchor="ref-11">
        <w:r>
          <w:rPr>
            <w:rStyle w:val="Hyperlink"/>
          </w:rPr>
          <w:t xml:space="preserve">[11]</w:t>
        </w:r>
      </w:hyperlink>
      <w:r>
        <w:t xml:space="preserve">, applied as a detached signature over the canonicalized CCSDS CDM payload</w:t>
      </w:r>
      <w:r>
        <w:t xml:space="preserve"> </w:t>
      </w:r>
      <w:hyperlink w:anchor="ref-9">
        <w:r>
          <w:rPr>
            <w:rStyle w:val="Hyperlink"/>
          </w:rPr>
          <w:t xml:space="preserve">[9]</w:t>
        </w:r>
      </w:hyperlink>
      <w:r>
        <w:t xml:space="preserve">. The Ed25519 construction is included as a comparison classical baseline because its high-speed properties bound the lower envelope on classical verification time</w:t>
      </w:r>
      <w:r>
        <w:t xml:space="preserve"> </w:t>
      </w:r>
      <w:hyperlink w:anchor="ref-17">
        <w:r>
          <w:rPr>
            <w:rStyle w:val="Hyperlink"/>
          </w:rPr>
          <w:t xml:space="preserve">[17]</w:t>
        </w:r>
      </w:hyperlink>
      <w:r>
        <w:t xml:space="preserve">. Reference benchmark inputs are drawn from the eBACS suite to fix the per-scheme verification time distribution at a reproducible compute profile</w:t>
      </w:r>
      <w:r>
        <w:t xml:space="preserve"> </w:t>
      </w:r>
      <w:hyperlink w:anchor="ref-19">
        <w:r>
          <w:rPr>
            <w:rStyle w:val="Hyperlink"/>
          </w:rPr>
          <w:t xml:space="preserve">[19]</w:t>
        </w:r>
      </w:hyperlink>
      <w:r>
        <w:t xml:space="preserve">. Key management parameters governing rotation cadence and clock-skew tolerance are anchored in NIST SP 800-57</w:t>
      </w:r>
      <w:r>
        <w:t xml:space="preserve"> </w:t>
      </w:r>
      <w:hyperlink w:anchor="ref-18">
        <w:r>
          <w:rPr>
            <w:rStyle w:val="Hyperlink"/>
          </w:rPr>
          <w:t xml:space="preserve">[18]</w:t>
        </w:r>
      </w:hyperlink>
      <w:r>
        <w:t xml:space="preserve">.</w:t>
      </w:r>
    </w:p>
    <w:p>
      <w:pPr>
        <w:pStyle w:val="BodyText"/>
        <w:spacing w:line="480" w:lineRule="auto"/>
        <w:ind w:firstLine="720"/>
      </w:pPr>
      <w:r>
        <w:t xml:space="preserve">The hybrid construction is doctrinally important because it preserves classical security if the lattice assumption fails and preserves post-quantum security if the classical assumption fails. The CRQC threat model is contested in its timing and adversary-capability assumptions, and the hybrid construction renders the envelope’s security claim robust to that contestation. The hybrid construction is operationally important because it adds, by definition, the costs of both schemes: the wire cost is the sum of the classical and the lattice components on top of the canonicalized payload, and the verification cost is the sum of the classical and the lattice verifications at the partner edge. Both costs are quantitatively characterized in the eBACS benchmark suite and the NIST IR 8413 size tables, and both enter directly into the budgets defined in Section 3.3 [11, 19].</w:t>
      </w:r>
    </w:p>
    <w:p>
      <w:pPr>
        <w:pStyle w:val="BodyText"/>
        <w:spacing w:line="480" w:lineRule="auto"/>
        <w:ind w:firstLine="720"/>
      </w:pPr>
      <w:r>
        <w:t xml:space="preserve">The cryptographic premise that this chapter takes from the literature can therefore be stated as follows. The post-quantum migration is mandated and irreversible; the hybrid classical-plus-lattice construction is the doctrinally preferred form of that migration under contested CRQC timelines; and the construction’s operational cost, in bytes on the wire and in milliseconds at the partner edge, is quantitatively characterized by the standardized scheme parameters and reproducible benchmark inputs.</w:t>
      </w:r>
    </w:p>
    <w:bookmarkEnd w:id="76"/>
    <w:bookmarkStart w:id="77" w:name="the-causal-mechanism"/>
    <w:p>
      <w:pPr>
        <w:pStyle w:val="Heading2"/>
        <w:spacing w:line="480" w:lineRule="auto"/>
      </w:pPr>
      <w:r>
        <w:t xml:space="preserve">3.5 The Causal Mechanism</w:t>
      </w:r>
    </w:p>
    <w:p>
      <w:pPr>
        <w:pStyle w:val="FirstParagraph"/>
        <w:spacing w:line="480" w:lineRule="auto"/>
      </w:pPr>
      <w:r>
        <w:t xml:space="preserve">The three premises combine into a single causal mechanism that the dissertation tests. The mechanism may be stated in four propositions.</w:t>
      </w:r>
    </w:p>
    <w:p>
      <w:pPr>
        <w:pStyle w:val="BodyText"/>
        <w:spacing w:line="480" w:lineRule="auto"/>
        <w:ind w:firstLine="720"/>
      </w:pPr>
      <w:r>
        <w:t xml:space="preserve">First, the federated SSA sharing regime requires a cryptographic envelope as its trust substrate, and the substrate’s value at the federation level is degraded by any partner’s inability to absorb the envelope at the partner edge. The institutional premise (Section 3.2) supplies this proposition [1, 6, 25, 8, 29, 30, 31, 34].</w:t>
      </w:r>
    </w:p>
    <w:p>
      <w:pPr>
        <w:pStyle w:val="BodyText"/>
        <w:spacing w:line="480" w:lineRule="auto"/>
        <w:ind w:firstLine="720"/>
      </w:pPr>
      <w:r>
        <w:t xml:space="preserve">Second, the operational COLA and CDM exchange process imposes three quantitative budgets on the envelope: end-to-end verification latency, per-message bandwidth overhead, and verification-failure rate. Each budget admits a defensible operational threshold drawn from the short-warning conjunction literature and from the published characterizations of partner-class compute and connectivity [5, 13, 14, 15, 10, 9].</w:t>
      </w:r>
    </w:p>
    <w:p>
      <w:pPr>
        <w:pStyle w:val="BodyText"/>
        <w:spacing w:line="480" w:lineRule="auto"/>
        <w:ind w:firstLine="720"/>
      </w:pPr>
      <w:r>
        <w:t xml:space="preserve">Third, the hybrid classical-plus-lattice envelope is the doctrinally preferred form of the post-quantum migration of the substrate, and its operational cost is the sum of the classical and the lattice components, quantitatively characterized by NIST IR 8413 size tables and the eBACS benchmark suite [11, 16, 17, 18, 19].</w:t>
      </w:r>
    </w:p>
    <w:p>
      <w:pPr>
        <w:pStyle w:val="BodyText"/>
        <w:spacing w:line="480" w:lineRule="auto"/>
        <w:ind w:firstLine="720"/>
      </w:pPr>
      <w:r>
        <w:t xml:space="preserve">Fourth, whether the hybrid envelope respects the three operational budgets at the 95th percentile of the historical CDM corpus is an empirical question whose answer determines the envelope’s federation-level deployability. The corpus, drawn from the CelesTrak SOCRATES archive and stratified across orbital regimes and screening-window lengths, is the operational proxy through which the answer is obtained</w:t>
      </w:r>
      <w:r>
        <w:t xml:space="preserve"> </w:t>
      </w:r>
      <w:hyperlink w:anchor="ref-3">
        <w:r>
          <w:rPr>
            <w:rStyle w:val="Hyperlink"/>
          </w:rPr>
          <w:t xml:space="preserve">[3]</w:t>
        </w:r>
      </w:hyperlink>
      <w:r>
        <w:t xml:space="preserve">.</w:t>
      </w:r>
    </w:p>
    <w:p>
      <w:pPr>
        <w:pStyle w:val="BodyText"/>
        <w:spacing w:line="480" w:lineRule="auto"/>
        <w:ind w:firstLine="720"/>
      </w:pPr>
      <w:r>
        <w:t xml:space="preserve">The mechanism is causal in the sense that the institutional logic of the federation, the operational logic of the COLA pipeline, and the cryptographic logic of the hybrid construction jointly determine the conditions under which the envelope is, or is not, deployable. The mechanism is testable in the sense that each of its three operational budgets is a measurable quantity and each of its three thresholds is a falsifiable claim. The dissertation does not test the institutional or cryptographic premises directly; those are taken as established by the literature cited in Sections 3.2 and 3.4. The dissertation tests the operational consequence of the mechanism: whether the hybrid envelope, applied to a representative CDM corpus on a reference partner-class compute profile, clears the three budgets at the 95th percentile simultaneously.</w:t>
      </w:r>
    </w:p>
    <w:p>
      <w:pPr>
        <w:pStyle w:val="BodyText"/>
        <w:spacing w:line="480" w:lineRule="auto"/>
        <w:ind w:firstLine="720"/>
      </w:pPr>
      <w:r>
        <w:t xml:space="preserve">Two features of the mechanism warrant emphasis before the hypotheses are stated. First, the three budgets are jointly binding rather than severally binding. A construction that respects one or two budgets but exceeds the third is operationally rejected because the federation’s safety value depends on the simultaneous satisfaction of all three. The joint-test structure of the hypothesis flows from this institutional fact. Second, the 95th-percentile decision rule reflects the operational tolerance of the short-warning conjunction pipeline: occasional high-latency or high-overhead events are tolerable provided that the bulk of the distribution clears the budget, but a construction whose 95th percentile exceeds a budget cannot be defended as operationally deployable across a heterogeneous partner set.</w:t>
      </w:r>
    </w:p>
    <w:bookmarkEnd w:id="77"/>
    <w:bookmarkStart w:id="78" w:name="formal-hypotheses"/>
    <w:p>
      <w:pPr>
        <w:pStyle w:val="Heading2"/>
        <w:spacing w:line="480" w:lineRule="auto"/>
      </w:pPr>
      <w:r>
        <w:t xml:space="preserve">3.6 Formal Hypotheses</w:t>
      </w:r>
    </w:p>
    <w:p>
      <w:pPr>
        <w:pStyle w:val="FirstParagraph"/>
        <w:spacing w:line="480" w:lineRule="auto"/>
      </w:pPr>
      <w:r>
        <w:t xml:space="preserve">Let the population of interest be the set of conjunction data messages that the TraCCS federation must exchange under the operational conditions of the late-decade SSA stream, of which the historical CDM corpus drawn from the CelesTrak SOCRATES archive</w:t>
      </w:r>
      <w:r>
        <w:t xml:space="preserve"> </w:t>
      </w:r>
      <w:hyperlink w:anchor="ref-3">
        <w:r>
          <w:rPr>
            <w:rStyle w:val="Hyperlink"/>
          </w:rPr>
          <w:t xml:space="preserve">[3]</w:t>
        </w:r>
      </w:hyperlink>
      <w:r>
        <w:t xml:space="preserve"> </w:t>
      </w:r>
      <w:r>
        <w:t xml:space="preserve">is the operational proxy. Let the treatment be the hybrid classical-plus-lattice signature envelope specified in Section 3.4, applied as a detached signature over the canonicalized CDM payload [9, 11, 16]. Let the outcome variables be the per-message end-to-end verification latency in milliseconds on the reference partner-class compute profile, the per-message bandwidth overhead in kilobytes relative to the unwrapped CDM, and the per-message verification-failure rate under the specified key-rotation and clock-skew conditions [11, 18, 19].</w:t>
      </w:r>
    </w:p>
    <w:p>
      <w:pPr>
        <w:pStyle w:val="BodyText"/>
        <w:spacing w:line="480" w:lineRule="auto"/>
        <w:ind w:firstLine="720"/>
      </w:pPr>
      <w:r>
        <w:t xml:space="preserve">Three operational thresholds anchor the hypotheses. The verification-latency threshold is 250 milliseconds at the 95th percentile, drawn from the short-warning conjunction decision-cycle budget documented in the COLA and concurrent-avoidance literature [5, 13, 14, 15]. The bandwidth-overhead threshold is 5 kilobytes per message at the 95th percentile, drawn from the CCSDS payload-size profile and the partner-class connectivity profile documented in the SSA sharing literature [1, 6, 9]. The verification-failure-rate threshold is 0.1 percent under the key-rotation and clock-skew conditions specified by NIST SP 800-57</w:t>
      </w:r>
      <w:r>
        <w:t xml:space="preserve"> </w:t>
      </w:r>
      <w:hyperlink w:anchor="ref-18">
        <w:r>
          <w:rPr>
            <w:rStyle w:val="Hyperlink"/>
          </w:rPr>
          <w:t xml:space="preserve">[18]</w:t>
        </w:r>
      </w:hyperlink>
      <w:r>
        <w:t xml:space="preserve">. Each threshold is defensible against the literature, and each will be subjected to a pre-registered sensitivity analysis in Chapter 6.</w:t>
      </w:r>
    </w:p>
    <w:p>
      <w:pPr>
        <w:pStyle w:val="BodyText"/>
        <w:spacing w:line="480" w:lineRule="auto"/>
        <w:ind w:firstLine="720"/>
      </w:pPr>
      <w:r>
        <w:t xml:space="preserve">The formal hypotheses are stated as follows.</w:t>
      </w:r>
    </w:p>
    <w:p>
      <w:pPr>
        <w:pStyle w:val="BodyText"/>
        <w:spacing w:line="480" w:lineRule="auto"/>
        <w:ind w:firstLine="720"/>
      </w:pPr>
      <w:r>
        <w:rPr>
          <w:b/>
          <w:bCs/>
        </w:rPr>
        <w:t xml:space="preserve">H0 (null).</w:t>
      </w:r>
      <w:r>
        <w:t xml:space="preserve"> </w:t>
      </w:r>
      <w:r>
        <w:t xml:space="preserve">The hybrid envelope exceeds at least one of the three operational thresholds at the 95th percentile of the historical CDM corpus. Formally, letting L denote the 95th-percentile verification latency, B the 95th-percentile bandwidth overhead, and F the verification-failure rate, H0 asserts that L &gt; 250 milliseconds, or B &gt; 5 kilobytes, or F &gt; 0.1 percent, with the disjunction inclusive.</w:t>
      </w:r>
    </w:p>
    <w:p>
      <w:pPr>
        <w:pStyle w:val="BodyText"/>
        <w:spacing w:line="480" w:lineRule="auto"/>
        <w:ind w:firstLine="720"/>
      </w:pPr>
      <w:r>
        <w:rPr>
          <w:b/>
          <w:bCs/>
        </w:rPr>
        <w:t xml:space="preserve">H1 (alternative).</w:t>
      </w:r>
      <w:r>
        <w:t xml:space="preserve"> </w:t>
      </w:r>
      <w:r>
        <w:t xml:space="preserve">The hybrid envelope satisfies all three operational thresholds at the 95th percentile of the historical CDM corpus simultaneously. Formally, H1 asserts that L is less than or equal to 250 milliseconds, and B is less than or equal to 5 kilobytes, and F is less than or equal to 0.1 percent, with the conjunction strict.</w:t>
      </w:r>
    </w:p>
    <w:p>
      <w:pPr>
        <w:pStyle w:val="BodyText"/>
        <w:spacing w:line="480" w:lineRule="auto"/>
        <w:ind w:firstLine="720"/>
      </w:pPr>
      <w:r>
        <w:t xml:space="preserve">The inferential decision rule that governs Chapters 5 and 6 is as follows. Each threshold is tested by a one-sided test at the 95th percentile of the empirical outcome distribution, with bootstrap confidence intervals computed at the 90th, 95th, and 99th percentiles to characterize tail behavior beyond the threshold point. The joint test under H1 requires the simultaneous rejection of the three threshold-violation nulls; failure to reject any one of the three threshold-violation nulls is sufficient to retain H0. The full empirical cumulative distribution function of each outcome is reported alongside the threshold pass-fail decision, so that the reader can assess the tail behavior of each outcome independently of the binary decision.</w:t>
      </w:r>
    </w:p>
    <w:p>
      <w:pPr>
        <w:pStyle w:val="BodyText"/>
        <w:spacing w:line="480" w:lineRule="auto"/>
        <w:ind w:firstLine="720"/>
      </w:pPr>
      <w:r>
        <w:t xml:space="preserve">Rejecting H0 in favor of H1 establishes that the hybrid envelope is operationally deployable across the TraCCS federation under the stated threat model and the documented short-warning operational conditions. Failing to reject H0 identifies which of the three budgets is binding and isolates the design parameter that must change. The design parameters available to the engineer at that point are the choice of lattice signature family within the NIST IR 8413 catalogue, the parameter level within the chosen family, the key-rotation cadence within the NIST SP 800-57 envelope, the batching policy at the partner gateway, and the canonicalization scheme over the CCSDS payload [11, 18, 9]. Each parameter is a tractable engineering lever, and the dissertation’s contribution at that point becomes a structured characterization of which lever to pull and by how much.</w:t>
      </w:r>
    </w:p>
    <w:bookmarkEnd w:id="78"/>
    <w:bookmarkStart w:id="79" w:name="X0478159b9bd01dffa50ee6f754826487de36609"/>
    <w:p>
      <w:pPr>
        <w:pStyle w:val="Heading2"/>
        <w:spacing w:line="480" w:lineRule="auto"/>
      </w:pPr>
      <w:r>
        <w:t xml:space="preserve">3.7 Boundary Conditions and Excluded Alternatives</w:t>
      </w:r>
    </w:p>
    <w:p>
      <w:pPr>
        <w:pStyle w:val="FirstParagraph"/>
        <w:spacing w:line="480" w:lineRule="auto"/>
      </w:pPr>
      <w:r>
        <w:t xml:space="preserve">Three boundary conditions limit the scope of the hypotheses and warrant explicit statement. First, the hypotheses concern the per-message envelope cost and not the session-level handshake cost. The dissertation treats the envelope as a per-message construction, consistent with the operational practice in the federated CDM exchange [9, 1, 6]. Session-level handshake amortization, while a legitimate further question, is held outside the hypothesis frame and reserved for the discussion in Chapter 7. Second, the hypotheses concern the operational deployability of the envelope across the federation and not the cryptographic security of the envelope under the CRQC threat model. The cryptographic security of the hybrid construction is taken as established by the NIST standardization process and the doctrinal hybrid-construction literature [11, 12, 16, 17]. The operational tractability is what the dissertation tests. Third, the hypotheses concern a representative CDM corpus drawn from the CelesTrak SOCRATES archive</w:t>
      </w:r>
      <w:r>
        <w:t xml:space="preserve"> </w:t>
      </w:r>
      <w:hyperlink w:anchor="ref-3">
        <w:r>
          <w:rPr>
            <w:rStyle w:val="Hyperlink"/>
          </w:rPr>
          <w:t xml:space="preserve">[3]</w:t>
        </w:r>
      </w:hyperlink>
      <w:r>
        <w:t xml:space="preserve"> </w:t>
      </w:r>
      <w:r>
        <w:t xml:space="preserve">and not the full population of operational TraCCS messages. The construct validity threat that this poses is addressed in Chapter 4 through stratified sampling matched to published TraCCS traffic characterizations [5, 14] and through a pre-registered sensitivity analysis under alternative stratifications.</w:t>
      </w:r>
    </w:p>
    <w:p>
      <w:pPr>
        <w:pStyle w:val="BodyText"/>
        <w:spacing w:line="480" w:lineRule="auto"/>
        <w:ind w:firstLine="720"/>
      </w:pPr>
      <w:r>
        <w:t xml:space="preserve">Two excluded alternatives also warrant statement. The dissertation does not test a pure lattice-based envelope without a classical component. The doctrinal preference for hybrid constructions during the migration window, together with the CRQC timing contestation noted in Section 3.4, makes the hybrid construction the policy-relevant unit of analysis [11, 12]. The dissertation also does not test a non-signature confidentiality envelope, because the operational requirement that the literature documents is authenticated and non-repudiable exchange rather than confidential exchange [1, 6, 8, 29, 30, 31, 34]. The CDM payload is not, in the federated regime, treated as a confidentiality-sensitive artifact; it is treated as an authenticity-sensitive artifact whose value depends on the receiver’s confidence in the sender and the integrity of the payload.</w:t>
      </w:r>
    </w:p>
    <w:bookmarkEnd w:id="79"/>
    <w:bookmarkStart w:id="80" w:name="linkage-to-the-empirical-chapters"/>
    <w:p>
      <w:pPr>
        <w:pStyle w:val="Heading2"/>
        <w:spacing w:line="480" w:lineRule="auto"/>
      </w:pPr>
      <w:r>
        <w:t xml:space="preserve">3.8 Linkage to the Empirical Chapters</w:t>
      </w:r>
    </w:p>
    <w:p>
      <w:pPr>
        <w:pStyle w:val="FirstParagraph"/>
        <w:spacing w:line="480" w:lineRule="auto"/>
      </w:pPr>
      <w:r>
        <w:t xml:space="preserve">The framework and hypotheses set out in this chapter govern the empirical work that follows. Chapter 4 specifies the data, the canonicalization of the CCSDS CDM payload, the implementation of the hybrid envelope across the chosen lattice parameter levels, and the reference partner-class compute profile. Chapter 5 reports the per-message verification latency distribution and the threshold-passing test for the latency budget. Chapter 6 reports the per-message bandwidth overhead distribution and the verification-failure-rate distribution, and the joint threshold-passing test for the three-budget conjunction that H1 asserts. Chapter 7 places the findings in the institutional and operational context developed in this chapter and identifies the design parameters whose values the federation should fix in the deployment window.</w:t>
      </w:r>
    </w:p>
    <w:p>
      <w:pPr>
        <w:pStyle w:val="BodyText"/>
        <w:spacing w:line="480" w:lineRule="auto"/>
        <w:ind w:firstLine="720"/>
      </w:pPr>
      <w:r>
        <w:t xml:space="preserve">The dissertation’s claim, in its strongest form, is that the operational deployability of the post-quantum migration of the federated SSA trust substrate is an empirical question, that the question can be answered with public data and standardized constructions, and that the answer constrains the design choices that the federation must make before the CRQC threat model is realized. The hypotheses stated in Section 3.6 are the falsifiable form of that claim. The chapters that follow obtain the answer.</w:t>
      </w:r>
    </w:p>
    <w:bookmarkEnd w:id="80"/>
    <w:bookmarkEnd w:id="81"/>
    <w:bookmarkStart w:id="99" w:name="chapter-4.-data-and-measurement"/>
    <w:p>
      <w:pPr>
        <w:pStyle w:val="Heading1"/>
        <w:spacing w:line="480" w:lineRule="auto"/>
      </w:pPr>
      <w:r>
        <w:t xml:space="preserve">Chapter 4. Data and Measurement</w:t>
      </w:r>
    </w:p>
    <w:bookmarkStart w:id="82" w:name="overview"/>
    <w:p>
      <w:pPr>
        <w:pStyle w:val="Heading2"/>
        <w:spacing w:line="480" w:lineRule="auto"/>
      </w:pPr>
      <w:r>
        <w:t xml:space="preserve">4.1 Overview</w:t>
      </w:r>
    </w:p>
    <w:p>
      <w:pPr>
        <w:pStyle w:val="FirstParagraph"/>
        <w:spacing w:line="480" w:lineRule="auto"/>
      </w:pPr>
      <w:r>
        <w:t xml:space="preserve">This chapter specifies the empirical apparatus on which the two papers of the COSMIC program rest. Paper 1 estimates the wire-cost decomposition of a candidate post-quantum cryptographic envelope across a cross-section of (scheme, payload) pairs drawn from authoritative cryptographic and space data-system catalogues [9,11]. Paper 2 estimates an ordinary least squares panel model of mean daily Conjunction Data Message (CDM) volume across three orbital regimes from 2016 through 2025, drawn from the Advanced Maui Optical and Space Surveillance Technologies (AMOS) trending corpus and the Acta Astronautica operational record [23,14]. The two datasets are deliberately disjoint at the row level. They are unified at the design level because they speak to the two faces of a single deployable artefact: what one envelope costs to send (Paper 1) and how many envelopes the federation must carry (Paper 2). Chapter 3 derived the identification logic; this chapter pins down the records, the unit of analysis, the variable construction rules, and the provenance audit that allows a replicator to reconstruct every cell of every table from primary sources.</w:t>
      </w:r>
    </w:p>
    <w:p>
      <w:pPr>
        <w:pStyle w:val="BodyText"/>
        <w:spacing w:line="480" w:lineRule="auto"/>
        <w:ind w:firstLine="720"/>
      </w:pPr>
      <w:r>
        <w:t xml:space="preserve">The chapter is organised in five sections beyond this overview. Section 4.2 develops the wire-cost cross-section used in Paper 1. Section 4.3 develops the regime-year panel used in Paper 2. Section 4.4 documents the canonicalisation, hashing, and integrity audit applied to both datasets. Section 4.5 summarises measurement-error treatment and addresses the threats to construct, internal, and statistical validity that descend from the data choices. Section 4.6 closes with the replication package design.</w:t>
      </w:r>
    </w:p>
    <w:bookmarkEnd w:id="82"/>
    <w:bookmarkStart w:id="88" w:name="Xfeaaace4b7bbc2894cdb9512004ac250d7c940c"/>
    <w:p>
      <w:pPr>
        <w:pStyle w:val="Heading2"/>
        <w:spacing w:line="480" w:lineRule="auto"/>
      </w:pPr>
      <w:r>
        <w:t xml:space="preserve">4.2 Paper 1: The Cryptographic Wire-Cost Cross-Section</w:t>
      </w:r>
    </w:p>
    <w:bookmarkStart w:id="83" w:name="unit-of-analysis"/>
    <w:p>
      <w:pPr>
        <w:pStyle w:val="Heading3"/>
        <w:spacing w:line="480" w:lineRule="auto"/>
      </w:pPr>
      <w:r>
        <w:t xml:space="preserve">4.2.1 Unit of analysis</w:t>
      </w:r>
    </w:p>
    <w:p>
      <w:pPr>
        <w:pStyle w:val="FirstParagraph"/>
        <w:spacing w:line="480" w:lineRule="auto"/>
      </w:pPr>
      <w:r>
        <w:t xml:space="preserve">The unit of analysis in Paper 1 is the (scheme, payload) pair. A scheme is a single cryptographic primitive identified at the parameter-set level, not the algorithm family. A payload is a single Consultative Committee for Space Data Systems (CCSDS) Blue Book message type at its nominal canonical size</w:t>
      </w:r>
      <w:r>
        <w:t xml:space="preserve"> </w:t>
      </w:r>
      <w:hyperlink w:anchor="ref-9">
        <w:r>
          <w:rPr>
            <w:rStyle w:val="Hyperlink"/>
          </w:rPr>
          <w:t xml:space="preserve">[9]</w:t>
        </w:r>
      </w:hyperlink>
      <w:r>
        <w:t xml:space="preserve">. The pair is the atom because envelope size, the dependent variable, is jointly determined by the message that travels inside the envelope and the cryptographic material that wraps it. Aggregating to the scheme would lose the cross-payload identification that lets the regression separate the payload coefficient from the signature coefficient. Aggregating to the payload would lose the cross-scheme identification that lets the regression separate the public-key coefficient from the signature coefficient. The pair is the smallest unit at which all four regressors vary.</w:t>
      </w:r>
    </w:p>
    <w:p>
      <w:pPr>
        <w:pStyle w:val="BodyText"/>
        <w:spacing w:line="480" w:lineRule="auto"/>
        <w:ind w:firstLine="720"/>
      </w:pPr>
      <w:r>
        <w:t xml:space="preserve">The cross-section contains 32 pairs. Eleven post-quantum schemes are crossed with four payload types to yield 44 logically possible pairs, of which 32 are retained after removing combinations that are operationally degenerate (for example, a Key Encapsulation Mechanism applied as a detached signature wrapper over a payload type for which the CCSDS Blue Books do not define a corresponding ephemeral-key handshake</w:t>
      </w:r>
      <w:r>
        <w:t xml:space="preserve"> </w:t>
      </w:r>
      <w:hyperlink w:anchor="ref-9">
        <w:r>
          <w:rPr>
            <w:rStyle w:val="Hyperlink"/>
          </w:rPr>
          <w:t xml:space="preserve">[9]</w:t>
        </w:r>
      </w:hyperlink>
      <w:r>
        <w:t xml:space="preserve">). The four pre-quantum baselines anchor the regression at NIST security level zero and are each measured against the unstructured 1,500-byte payload baseline so that the additive identity in Hypothesis H1 can be tested against a coherent reference.</w:t>
      </w:r>
    </w:p>
    <w:bookmarkEnd w:id="83"/>
    <w:bookmarkStart w:id="84" w:name="the-scheme-list"/>
    <w:p>
      <w:pPr>
        <w:pStyle w:val="Heading3"/>
        <w:spacing w:line="480" w:lineRule="auto"/>
      </w:pPr>
      <w:r>
        <w:t xml:space="preserve">4.2.2 The scheme list</w:t>
      </w:r>
    </w:p>
    <w:p>
      <w:pPr>
        <w:pStyle w:val="FirstParagraph"/>
        <w:spacing w:line="480" w:lineRule="auto"/>
      </w:pPr>
      <w:r>
        <w:t xml:space="preserve">The eleven post-quantum schemes are drawn directly from the NIST Status Report on the Third Round of the Post-Quantum Cryptography Standardization Process (NIST IR 8413)</w:t>
      </w:r>
      <w:r>
        <w:t xml:space="preserve"> </w:t>
      </w:r>
      <w:hyperlink w:anchor="ref-11">
        <w:r>
          <w:rPr>
            <w:rStyle w:val="Hyperlink"/>
          </w:rPr>
          <w:t xml:space="preserve">[11]</w:t>
        </w:r>
      </w:hyperlink>
      <w:r>
        <w:t xml:space="preserve">. They are: ML-KEM at parameter sets Kyber512, Kyber768, and Kyber1024, drawn from NIST IR 8413 Table 3; ML-DSA at parameter sets Dilithium2, Dilithium3, and Dilithium5, drawn from NIST IR 8413 Table 4; FN-DSA at parameter sets Falcon512 and Falcon1024, drawn from NIST IR 8413 Table 5; and SLH-DSA at NIST levels 1, 3, and 5 in both the small (s) and fast (f) variants, drawn from NIST IR 8413 Table 6, with the project retaining only the three variants the analysis treats as canonical for SSA deployment to avoid double-counting parameter-set siblings that differ only in pre-image hash family. The four pre-quantum baselines are ECDSA over the NIST P-256 curve, drawn from FIPS 186-5</w:t>
      </w:r>
      <w:r>
        <w:t xml:space="preserve"> </w:t>
      </w:r>
      <w:hyperlink w:anchor="ref-16">
        <w:r>
          <w:rPr>
            <w:rStyle w:val="Hyperlink"/>
          </w:rPr>
          <w:t xml:space="preserve">[16]</w:t>
        </w:r>
      </w:hyperlink>
      <w:r>
        <w:t xml:space="preserve">; Ed25519, drawn from Bernstein et al. </w:t>
      </w:r>
      <w:hyperlink w:anchor="ref-17">
        <w:r>
          <w:rPr>
            <w:rStyle w:val="Hyperlink"/>
          </w:rPr>
          <w:t xml:space="preserve">[17]</w:t>
        </w:r>
      </w:hyperlink>
      <w:r>
        <w:t xml:space="preserve">; RSA-3072, drawn from NIST SP 800-57 Part 1 Revision 5</w:t>
      </w:r>
      <w:r>
        <w:t xml:space="preserve"> </w:t>
      </w:r>
      <w:hyperlink w:anchor="ref-18">
        <w:r>
          <w:rPr>
            <w:rStyle w:val="Hyperlink"/>
          </w:rPr>
          <w:t xml:space="preserve">[18]</w:t>
        </w:r>
      </w:hyperlink>
      <w:r>
        <w:t xml:space="preserve">; and X25519, drawn from the eBACS SUPERCOP 2023 amd64-skylake benchmark suite</w:t>
      </w:r>
      <w:r>
        <w:t xml:space="preserve"> </w:t>
      </w:r>
      <w:hyperlink w:anchor="ref-19">
        <w:r>
          <w:rPr>
            <w:rStyle w:val="Hyperlink"/>
          </w:rPr>
          <w:t xml:space="preserve">[19]</w:t>
        </w:r>
      </w:hyperlink>
      <w:r>
        <w:t xml:space="preserve"> </w:t>
      </w:r>
      <w:r>
        <w:t xml:space="preserve">as the canonical key-establishment baseline.</w:t>
      </w:r>
    </w:p>
    <w:p>
      <w:pPr>
        <w:pStyle w:val="BodyText"/>
        <w:spacing w:line="480" w:lineRule="auto"/>
        <w:ind w:firstLine="720"/>
      </w:pPr>
      <w:r>
        <w:t xml:space="preserve">The selection rule is exhaustive at the standardisation round and restrictive at the parameter set. Every algorithm carried forward by NIST IR 8413 into the standardised family is represented; parameter sets within a family are selected when they correspond to a NIST security level (1, 2, 3, or 5) that the Commercial National Security Algorithm Suite 2.0 admits for national security applications</w:t>
      </w:r>
      <w:r>
        <w:t xml:space="preserve"> </w:t>
      </w:r>
      <w:hyperlink w:anchor="ref-12">
        <w:r>
          <w:rPr>
            <w:rStyle w:val="Hyperlink"/>
          </w:rPr>
          <w:t xml:space="preserve">[12]</w:t>
        </w:r>
      </w:hyperlink>
      <w:r>
        <w:t xml:space="preserve">. The construction does not interpolate; if a parameter set is not catalogued in NIST IR 8413, it does not enter the cross-section.</w:t>
      </w:r>
    </w:p>
    <w:bookmarkEnd w:id="84"/>
    <w:bookmarkStart w:id="85" w:name="the-payload-list"/>
    <w:p>
      <w:pPr>
        <w:pStyle w:val="Heading3"/>
        <w:spacing w:line="480" w:lineRule="auto"/>
      </w:pPr>
      <w:r>
        <w:t xml:space="preserve">4.2.3 The payload list</w:t>
      </w:r>
    </w:p>
    <w:p>
      <w:pPr>
        <w:pStyle w:val="FirstParagraph"/>
        <w:spacing w:line="480" w:lineRule="auto"/>
      </w:pPr>
      <w:r>
        <w:t xml:space="preserve">Four CCSDS payload types enter the cross-section. The Conjunction Data Message at 800 bytes is taken from CCSDS 508.0-B-1, the Blue Book that defines the CDM canonical form</w:t>
      </w:r>
      <w:r>
        <w:t xml:space="preserve"> </w:t>
      </w:r>
      <w:hyperlink w:anchor="ref-9">
        <w:r>
          <w:rPr>
            <w:rStyle w:val="Hyperlink"/>
          </w:rPr>
          <w:t xml:space="preserve">[9]</w:t>
        </w:r>
      </w:hyperlink>
      <w:r>
        <w:t xml:space="preserve">. The Orbit Ephemeris Message at 2,400 bytes is taken from CCSDS 502.0-B-2</w:t>
      </w:r>
      <w:r>
        <w:t xml:space="preserve"> </w:t>
      </w:r>
      <w:hyperlink w:anchor="ref-9">
        <w:r>
          <w:rPr>
            <w:rStyle w:val="Hyperlink"/>
          </w:rPr>
          <w:t xml:space="preserve">[9]</w:t>
        </w:r>
      </w:hyperlink>
      <w:r>
        <w:t xml:space="preserve">. The Vehicle Configuration Message at 512 bytes is taken from CCSDS 505.0-B-1</w:t>
      </w:r>
      <w:r>
        <w:t xml:space="preserve"> </w:t>
      </w:r>
      <w:hyperlink w:anchor="ref-9">
        <w:r>
          <w:rPr>
            <w:rStyle w:val="Hyperlink"/>
          </w:rPr>
          <w:t xml:space="preserve">[9]</w:t>
        </w:r>
      </w:hyperlink>
      <w:r>
        <w:t xml:space="preserve">. An unstructured 1,500-byte payload is included as a control. Its size is the maximum transmission unit of a conventional IPv4 Ethernet frame minus typical IP and transport headers; this control payload is the reference against which the four pre-quantum baselines are anchored and is used to estimate the payload coefficient under conditions where no CCSDS-specific framing rule intervenes.</w:t>
      </w:r>
    </w:p>
    <w:p>
      <w:pPr>
        <w:pStyle w:val="BodyText"/>
        <w:spacing w:line="480" w:lineRule="auto"/>
        <w:ind w:firstLine="720"/>
      </w:pPr>
      <w:r>
        <w:t xml:space="preserve">The four sizes are nominal canonical sizes rather than empirical maxima from a captured operational stream. The reason is that the dependent variable is the wire-cost of the envelope under a stipulated payload size, not the envelope cost over an empirical traffic mix. The empirical mix question belongs to Paper 2. Paper 1’s question is structural: at a stipulated payload size, how much envelope does each scheme add, and does NIST security level add residual cost beyond the catalogued key and signature sizes. Holding the payload at a nominal canonical size sharpens the identification of the cryptographic coefficients; the trade-off, addressed below in Section 4.5, is that the cross-section does not speak to traffic-weighted averages.</w:t>
      </w:r>
    </w:p>
    <w:bookmarkEnd w:id="85"/>
    <w:bookmarkStart w:id="86" w:name="variable-construction"/>
    <w:p>
      <w:pPr>
        <w:pStyle w:val="Heading3"/>
        <w:spacing w:line="480" w:lineRule="auto"/>
      </w:pPr>
      <w:r>
        <w:t xml:space="preserve">4.2.4 Variable construction</w:t>
      </w:r>
    </w:p>
    <w:p>
      <w:pPr>
        <w:pStyle w:val="FirstParagraph"/>
        <w:spacing w:line="480" w:lineRule="auto"/>
      </w:pPr>
      <w:r>
        <w:t xml:space="preserve">Four regressors and one dependent variable are constructed per pair. The dependent variable, envelope_bytes, is the sum of the payload bytes, the public-key or KEM-ciphertext bytes, the signature or KEM-tag bytes, and a fixed framing overhead drawn from the CCSDS Blue Book framing rules</w:t>
      </w:r>
      <w:r>
        <w:t xml:space="preserve"> </w:t>
      </w:r>
      <w:hyperlink w:anchor="ref-9">
        <w:r>
          <w:rPr>
            <w:rStyle w:val="Hyperlink"/>
          </w:rPr>
          <w:t xml:space="preserve">[9]</w:t>
        </w:r>
      </w:hyperlink>
      <w:r>
        <w:t xml:space="preserve">. The framing overhead is not modelled separately as a regressor because it does not vary across pairs at the resolution of the cross-section; it enters the intercept and is the source of the small non-zero intercept (6.14 bytes) reported in Paper 1. Two regressors, payload_bytes and pubkey_bytes, are taken directly from CCSDS and NIST IR 8413 tables respectively. The third regressor, sig_or_ct_bytes, is the signature length for signature schemes and the KEM ciphertext length for KEM schemes, encoded so that the same column can be regressed across both cryptographic families; this encoding is permitted by the regression specification because the dependent variable is wire bytes and the two quantities enter the wire byte count additively whether the primitive is a signature or a KEM. The fourth regressor, nist_level, is the integer security category (0 for pre-quantum baselines, 1, 2, 3, or 5 for post-quantum schemes) drawn from NIST IR 8413</w:t>
      </w:r>
      <w:r>
        <w:t xml:space="preserve"> </w:t>
      </w:r>
      <w:hyperlink w:anchor="ref-11">
        <w:r>
          <w:rPr>
            <w:rStyle w:val="Hyperlink"/>
          </w:rPr>
          <w:t xml:space="preserve">[11]</w:t>
        </w:r>
      </w:hyperlink>
      <w:r>
        <w:t xml:space="preserve">.</w:t>
      </w:r>
    </w:p>
    <w:p>
      <w:pPr>
        <w:pStyle w:val="BodyText"/>
        <w:spacing w:line="480" w:lineRule="auto"/>
        <w:ind w:firstLine="720"/>
      </w:pPr>
      <w:r>
        <w:t xml:space="preserve">Two construction rules deserve explicit statement because they are load-bearing. First, every byte count is taken from a catalogued source. The NIST IR 8413 tables give the public key, signature, and ciphertext sizes to the byte; the CCSDS Blue Books give the canonical payload sizes to the byte; the eBACS SUPERCOP catalogue</w:t>
      </w:r>
      <w:r>
        <w:t xml:space="preserve"> </w:t>
      </w:r>
      <w:hyperlink w:anchor="ref-19">
        <w:r>
          <w:rPr>
            <w:rStyle w:val="Hyperlink"/>
          </w:rPr>
          <w:t xml:space="preserve">[19]</w:t>
        </w:r>
      </w:hyperlink>
      <w:r>
        <w:t xml:space="preserve"> </w:t>
      </w:r>
      <w:r>
        <w:t xml:space="preserve">supplies the X25519 byte counts that do not appear in NIST IR 8413. No byte count is interpolated, estimated, or rounded. Second, the encoding of KEM ciphertexts and signatures in the same column is documented in the CSV as a categorical column primitive_type with values</w:t>
      </w:r>
      <w:r>
        <w:t xml:space="preserve"> </w:t>
      </w:r>
      <w:r>
        <w:t xml:space="preserve">“signature”</w:t>
      </w:r>
      <w:r>
        <w:t xml:space="preserve"> </w:t>
      </w:r>
      <w:r>
        <w:t xml:space="preserve">or</w:t>
      </w:r>
      <w:r>
        <w:t xml:space="preserve"> </w:t>
      </w:r>
      <w:r>
        <w:t xml:space="preserve">“kem”</w:t>
      </w:r>
      <w:r>
        <w:t xml:space="preserve">, so that the cross-family pooling is auditable and a robustness specification with primitive_type interacted with size regressors can be run from the same dataset.</w:t>
      </w:r>
    </w:p>
    <w:bookmarkEnd w:id="86"/>
    <w:bookmarkStart w:id="87" w:name="authoritative-sources"/>
    <w:p>
      <w:pPr>
        <w:pStyle w:val="Heading3"/>
        <w:spacing w:line="480" w:lineRule="auto"/>
      </w:pPr>
      <w:r>
        <w:t xml:space="preserve">4.2.5 Authoritative sources</w:t>
      </w:r>
    </w:p>
    <w:p>
      <w:pPr>
        <w:pStyle w:val="FirstParagraph"/>
        <w:spacing w:line="480" w:lineRule="auto"/>
      </w:pPr>
      <w:r>
        <w:t xml:space="preserve">The chain of authoritative sources for Paper 1 is short and direct. NIST IR 8413</w:t>
      </w:r>
      <w:r>
        <w:t xml:space="preserve"> </w:t>
      </w:r>
      <w:hyperlink w:anchor="ref-11">
        <w:r>
          <w:rPr>
            <w:rStyle w:val="Hyperlink"/>
          </w:rPr>
          <w:t xml:space="preserve">[11]</w:t>
        </w:r>
      </w:hyperlink>
      <w:r>
        <w:t xml:space="preserve"> </w:t>
      </w:r>
      <w:r>
        <w:t xml:space="preserve">supplies all cryptographic byte counts for post-quantum schemes and is the single source of truth for the eleven parameter sets in the cross-section. FIPS 186-5</w:t>
      </w:r>
      <w:r>
        <w:t xml:space="preserve"> </w:t>
      </w:r>
      <w:hyperlink w:anchor="ref-16">
        <w:r>
          <w:rPr>
            <w:rStyle w:val="Hyperlink"/>
          </w:rPr>
          <w:t xml:space="preserve">[16]</w:t>
        </w:r>
      </w:hyperlink>
      <w:r>
        <w:t xml:space="preserve"> </w:t>
      </w:r>
      <w:r>
        <w:t xml:space="preserve">supplies the ECDSA-P256 byte counts. Bernstein et al. </w:t>
      </w:r>
      <w:hyperlink w:anchor="ref-17">
        <w:r>
          <w:rPr>
            <w:rStyle w:val="Hyperlink"/>
          </w:rPr>
          <w:t xml:space="preserve">[17]</w:t>
        </w:r>
      </w:hyperlink>
      <w:r>
        <w:t xml:space="preserve"> </w:t>
      </w:r>
      <w:r>
        <w:t xml:space="preserve">supplies the Ed25519 byte counts and is treated as the canonical reference because the Ed25519 byte counts in NIST publications post-date this paper and trace back to it. NIST SP 800-57 Part 1 Revision 5</w:t>
      </w:r>
      <w:r>
        <w:t xml:space="preserve"> </w:t>
      </w:r>
      <w:hyperlink w:anchor="ref-18">
        <w:r>
          <w:rPr>
            <w:rStyle w:val="Hyperlink"/>
          </w:rPr>
          <w:t xml:space="preserve">[18]</w:t>
        </w:r>
      </w:hyperlink>
      <w:r>
        <w:t xml:space="preserve"> </w:t>
      </w:r>
      <w:r>
        <w:t xml:space="preserve">supplies the RSA-3072 byte counts under the NIST key-size recommendations rather than ad hoc choices. The eBACS SUPERCOP 2023 amd64-skylake catalogue</w:t>
      </w:r>
      <w:r>
        <w:t xml:space="preserve"> </w:t>
      </w:r>
      <w:hyperlink w:anchor="ref-19">
        <w:r>
          <w:rPr>
            <w:rStyle w:val="Hyperlink"/>
          </w:rPr>
          <w:t xml:space="preserve">[19]</w:t>
        </w:r>
      </w:hyperlink>
      <w:r>
        <w:t xml:space="preserve"> </w:t>
      </w:r>
      <w:r>
        <w:t xml:space="preserve">supplies the X25519 byte counts and is the canonical cross-reference for the four pre-quantum baselines because it publishes them under a fixed benchmark profile. The CCSDS Blue Books</w:t>
      </w:r>
      <w:r>
        <w:t xml:space="preserve"> </w:t>
      </w:r>
      <w:hyperlink w:anchor="ref-9">
        <w:r>
          <w:rPr>
            <w:rStyle w:val="Hyperlink"/>
          </w:rPr>
          <w:t xml:space="preserve">[9]</w:t>
        </w:r>
      </w:hyperlink>
      <w:r>
        <w:t xml:space="preserve"> </w:t>
      </w:r>
      <w:r>
        <w:t xml:space="preserve">supply all payload sizes. Every cell of the analysis CSV carries an explicit source citation that maps to one of these four authoritative chains.</w:t>
      </w:r>
    </w:p>
    <w:bookmarkEnd w:id="87"/>
    <w:bookmarkEnd w:id="88"/>
    <w:bookmarkStart w:id="95" w:name="paper-2-the-regime-year-throughput-panel"/>
    <w:p>
      <w:pPr>
        <w:pStyle w:val="Heading2"/>
        <w:spacing w:line="480" w:lineRule="auto"/>
      </w:pPr>
      <w:r>
        <w:t xml:space="preserve">4.3 Paper 2: The Regime-Year Throughput Panel</w:t>
      </w:r>
    </w:p>
    <w:bookmarkStart w:id="89" w:name="unit-of-analysis-1"/>
    <w:p>
      <w:pPr>
        <w:pStyle w:val="Heading3"/>
        <w:spacing w:line="480" w:lineRule="auto"/>
      </w:pPr>
      <w:r>
        <w:t xml:space="preserve">4.3.1 Unit of analysis</w:t>
      </w:r>
    </w:p>
    <w:p>
      <w:pPr>
        <w:pStyle w:val="FirstParagraph"/>
        <w:spacing w:line="480" w:lineRule="auto"/>
      </w:pPr>
      <w:r>
        <w:t xml:space="preserve">The unit of analysis in Paper 2 is the regime-year. A regime is one of three orbital regimes: low Earth orbit below 1000 km altitude, low Earth orbit at and above 1000 km altitude, and geosynchronous Earth orbit. A year is a calendar year from 2016 through 2025 inclusive. The panel therefore has 30 cells. Choosing the regime-year as the unit, rather than the satellite-year or the conjunction-pair-day, is dictated by the resolution at which CDM volumes are publicly disclosed. The trending corpus that supplies the principal CDM counts is reported at the regime-year resolution by Moomey, Falcon, and Khan</w:t>
      </w:r>
      <w:r>
        <w:t xml:space="preserve"> </w:t>
      </w:r>
      <w:hyperlink w:anchor="ref-23">
        <w:r>
          <w:rPr>
            <w:rStyle w:val="Hyperlink"/>
          </w:rPr>
          <w:t xml:space="preserve">[23]</w:t>
        </w:r>
      </w:hyperlink>
      <w:r>
        <w:t xml:space="preserve">; the operational record from Sorge and colleagues at Acta Astronautica is reported at the regime-year resolution</w:t>
      </w:r>
      <w:r>
        <w:t xml:space="preserve"> </w:t>
      </w:r>
      <w:hyperlink w:anchor="ref-14">
        <w:r>
          <w:rPr>
            <w:rStyle w:val="Hyperlink"/>
          </w:rPr>
          <w:t xml:space="preserve">[14]</w:t>
        </w:r>
      </w:hyperlink>
      <w:r>
        <w:t xml:space="preserve">. Pushing the unit below the regime-year would force interpolation from quantities that are not disclosed at finer granularity; pushing it above would discard variation that Paper 2 explicitly exploits for identification.</w:t>
      </w:r>
    </w:p>
    <w:bookmarkEnd w:id="89"/>
    <w:bookmarkStart w:id="90" w:name="the-dependent-variable"/>
    <w:p>
      <w:pPr>
        <w:pStyle w:val="Heading3"/>
        <w:spacing w:line="480" w:lineRule="auto"/>
      </w:pPr>
      <w:r>
        <w:t xml:space="preserve">4.3.2 The dependent variable</w:t>
      </w:r>
    </w:p>
    <w:p>
      <w:pPr>
        <w:pStyle w:val="FirstParagraph"/>
        <w:spacing w:line="480" w:lineRule="auto"/>
      </w:pPr>
      <w:r>
        <w:t xml:space="preserve">The dependent variable, cdms_per_day_thousands, is mean CDMs per day in thousands per regime-year. Three construction rules apply. First, the LEO-below-1000-km cells for 2016 through 2021 are constructed by allocating the 30.3 million CDM corpus total reported by Moomey, Falcon, and Khan across the corpus window using the per-year share function disclosed in the same source</w:t>
      </w:r>
      <w:r>
        <w:t xml:space="preserve"> </w:t>
      </w:r>
      <w:hyperlink w:anchor="ref-23">
        <w:r>
          <w:rPr>
            <w:rStyle w:val="Hyperlink"/>
          </w:rPr>
          <w:t xml:space="preserve">[23]</w:t>
        </w:r>
      </w:hyperlink>
      <w:r>
        <w:t xml:space="preserve">; the result is the annual mean, not a count of distinct messages, and each cell carries that documentation. Second, the LEO-below-1000-km cells for 2022 through 2025 are constructed from the operational COLA process record in Sorge and colleagues</w:t>
      </w:r>
      <w:r>
        <w:t xml:space="preserve"> </w:t>
      </w:r>
      <w:hyperlink w:anchor="ref-14">
        <w:r>
          <w:rPr>
            <w:rStyle w:val="Hyperlink"/>
          </w:rPr>
          <w:t xml:space="preserve">[14]</w:t>
        </w:r>
      </w:hyperlink>
      <w:r>
        <w:t xml:space="preserve">, using the screening cadence values and active payload counts disclosed there to back out the annual mean at the regime level. Third, the geosynchronous cells across the full window are constructed from the comprehensive collision-likelihood assessment by Oltrogge and colleagues</w:t>
      </w:r>
      <w:r>
        <w:t xml:space="preserve"> </w:t>
      </w:r>
      <w:hyperlink w:anchor="ref-24">
        <w:r>
          <w:rPr>
            <w:rStyle w:val="Hyperlink"/>
          </w:rPr>
          <w:t xml:space="preserve">[24]</w:t>
        </w:r>
      </w:hyperlink>
      <w:r>
        <w:t xml:space="preserve">, using the disclosed mean encounter rates and the operational probability-of-collision threshold for the GEO regime.</w:t>
      </w:r>
    </w:p>
    <w:p>
      <w:pPr>
        <w:pStyle w:val="BodyText"/>
        <w:spacing w:line="480" w:lineRule="auto"/>
        <w:ind w:firstLine="720"/>
      </w:pPr>
      <w:r>
        <w:t xml:space="preserve">Six of the thirty cells are flagged in the CSV as illustrative annual means reconstructed from a reported corpus total rather than from a disclosed annual cell. The flag is encoded in a binary column source_quality with values</w:t>
      </w:r>
      <w:r>
        <w:t xml:space="preserve"> </w:t>
      </w:r>
      <w:r>
        <w:t xml:space="preserve">“primary”</w:t>
      </w:r>
      <w:r>
        <w:t xml:space="preserve"> </w:t>
      </w:r>
      <w:r>
        <w:t xml:space="preserve">or</w:t>
      </w:r>
      <w:r>
        <w:t xml:space="preserve"> </w:t>
      </w:r>
      <w:r>
        <w:t xml:space="preserve">“reconstructed”</w:t>
      </w:r>
      <w:r>
        <w:t xml:space="preserve">; a robustness specification with source_quality as an interaction term can be run from the same dataset and is pre-registered. No cell is fabricated; the illustrative cells exhaust the allocation of a disclosed corpus total and do not exceed the disclosed total in aggregate.</w:t>
      </w:r>
    </w:p>
    <w:bookmarkEnd w:id="90"/>
    <w:bookmarkStart w:id="91" w:name="the-active-payload-regressor"/>
    <w:p>
      <w:pPr>
        <w:pStyle w:val="Heading3"/>
        <w:spacing w:line="480" w:lineRule="auto"/>
      </w:pPr>
      <w:r>
        <w:t xml:space="preserve">4.3.3 The active payload regressor</w:t>
      </w:r>
    </w:p>
    <w:p>
      <w:pPr>
        <w:pStyle w:val="FirstParagraph"/>
        <w:spacing w:line="480" w:lineRule="auto"/>
      </w:pPr>
      <w:r>
        <w:t xml:space="preserve">The active payload count regressor, active_payloads, is the count of operational payloads attributed to each regime-year. For years through 2023, the count is taken from the Union of Concerned Scientists Satellite Database</w:t>
      </w:r>
      <w:r>
        <w:t xml:space="preserve"> </w:t>
      </w:r>
      <w:hyperlink w:anchor="ref-26">
        <w:r>
          <w:rPr>
            <w:rStyle w:val="Hyperlink"/>
          </w:rPr>
          <w:t xml:space="preserve">[26]</w:t>
        </w:r>
      </w:hyperlink>
      <w:r>
        <w:t xml:space="preserve"> </w:t>
      </w:r>
      <w:r>
        <w:t xml:space="preserve">at the regime resolution defined above. The regime attribution rule is documented per record: a payload is attributed to the LEO-below-1000-km regime if its semi-major axis minus the mean equatorial radius of the Earth is below 1000 km; to the LEO-above-1000-km regime if the same quantity is at or above 1000 km and below 25,000 km; and to the geosynchronous regime if the same quantity is within 1000 km of geostationary altitude. The UCS database is the canonical public source for active-payload counts at the satellite resolution and has been used in the SSA data-sharing literature for this purpose</w:t>
      </w:r>
      <w:r>
        <w:t xml:space="preserve"> </w:t>
      </w:r>
      <w:hyperlink w:anchor="ref-3">
        <w:r>
          <w:rPr>
            <w:rStyle w:val="Hyperlink"/>
          </w:rPr>
          <w:t xml:space="preserve">[3]</w:t>
        </w:r>
      </w:hyperlink>
      <w:r>
        <w:t xml:space="preserve">. For 2024 and 2025, the count is taken from the Jonathan’s Space Report active-payload and constellation tables</w:t>
      </w:r>
      <w:r>
        <w:t xml:space="preserve"> </w:t>
      </w:r>
      <w:hyperlink w:anchor="ref-27">
        <w:r>
          <w:rPr>
            <w:rStyle w:val="Hyperlink"/>
          </w:rPr>
          <w:t xml:space="preserve">[27]</w:t>
        </w:r>
      </w:hyperlink>
      <w:r>
        <w:t xml:space="preserve">, which carry the regime attribution forward under the same rule. The handoff between the two sources occurs at a calendar boundary, not a regime boundary, and the handoff calibration is documented in the CSV as a categorical column source_handover.</w:t>
      </w:r>
    </w:p>
    <w:bookmarkEnd w:id="91"/>
    <w:bookmarkStart w:id="92" w:name="the-constellation-share-regressor"/>
    <w:p>
      <w:pPr>
        <w:pStyle w:val="Heading3"/>
        <w:spacing w:line="480" w:lineRule="auto"/>
      </w:pPr>
      <w:r>
        <w:t xml:space="preserve">4.3.4 The constellation-share regressor</w:t>
      </w:r>
    </w:p>
    <w:p>
      <w:pPr>
        <w:pStyle w:val="FirstParagraph"/>
        <w:spacing w:line="480" w:lineRule="auto"/>
      </w:pPr>
      <w:r>
        <w:t xml:space="preserve">The large-constellation-share regressor, large_constellation_share, is the fraction of regime-year active payloads belonging to Starlink, OneWeb, Project Kuiper, and Qianfan. The four constellations are selected because each crossed the 1,000-active-payload threshold in at least one year of the panel window and each is identifiable in both the UCS database and the Jonathan’s Space Report tables at the payload level [26,27]. The numerator is the count of active payloads in the regime-year that belong to one of the four constellations; the denominator is the active_payloads value defined above for the same cell; the ratio is the share. The regime in which constellation share moves most across the window is LEO below 1000 km, where the share rises from near zero in 2016 to seventy-two percent in 2025; this is the variation that identifies the constellation-share coefficient in the panel regression. The LEO-above-1000-km regime contains only Project Kuiper at non-trivial share, and the geosynchronous regime contains none of the four constellations. The construction therefore concentrates the identification in the regime where the megaconstellation deployment occurred.</w:t>
      </w:r>
    </w:p>
    <w:bookmarkEnd w:id="92"/>
    <w:bookmarkStart w:id="93" w:name="the-time-trend-regressor"/>
    <w:p>
      <w:pPr>
        <w:pStyle w:val="Heading3"/>
        <w:spacing w:line="480" w:lineRule="auto"/>
      </w:pPr>
      <w:r>
        <w:t xml:space="preserve">4.3.5 The time-trend regressor</w:t>
      </w:r>
    </w:p>
    <w:p>
      <w:pPr>
        <w:pStyle w:val="FirstParagraph"/>
        <w:spacing w:line="480" w:lineRule="auto"/>
      </w:pPr>
      <w:r>
        <w:t xml:space="preserve">The time-trend regressor, years_since_2015, is the calendar year minus 2015, taking integer values from 1 in 2016 to 10 in 2025. The variable captures the screening-network maturation mechanism described in Chapter 2: the United States Space Surveillance Network and partner sensor contributions have expanded across the window, the catalog has densified, and the screening cadence has tightened independently of the underlying payload population</w:t>
      </w:r>
      <w:r>
        <w:t xml:space="preserve"> </w:t>
      </w:r>
      <w:hyperlink w:anchor="ref-22">
        <w:r>
          <w:rPr>
            <w:rStyle w:val="Hyperlink"/>
          </w:rPr>
          <w:t xml:space="preserve">[22]</w:t>
        </w:r>
      </w:hyperlink>
      <w:r>
        <w:t xml:space="preserve">. The integer encoding is the conventional choice for a secular trend regressor; an alternative encoding as a categorical year-fixed-effect specification is pre-registered as a robustness check but would absorb the variation that identifies the screening-maturation channel and is therefore not the headline specification.</w:t>
      </w:r>
    </w:p>
    <w:bookmarkEnd w:id="93"/>
    <w:bookmarkStart w:id="94" w:name="authoritative-sources-1"/>
    <w:p>
      <w:pPr>
        <w:pStyle w:val="Heading3"/>
        <w:spacing w:line="480" w:lineRule="auto"/>
      </w:pPr>
      <w:r>
        <w:t xml:space="preserve">4.3.6 Authoritative sources</w:t>
      </w:r>
    </w:p>
    <w:p>
      <w:pPr>
        <w:pStyle w:val="FirstParagraph"/>
        <w:spacing w:line="480" w:lineRule="auto"/>
      </w:pPr>
      <w:r>
        <w:t xml:space="preserve">The chain of authoritative sources for Paper 2 is longer than Paper 1 because the CDM volume record is not consolidated in a single catalogue. The AMOS poster session paper by Moomey, Falcon, and Khan</w:t>
      </w:r>
      <w:r>
        <w:t xml:space="preserve"> </w:t>
      </w:r>
      <w:hyperlink w:anchor="ref-23">
        <w:r>
          <w:rPr>
            <w:rStyle w:val="Hyperlink"/>
          </w:rPr>
          <w:t xml:space="preserve">[23]</w:t>
        </w:r>
      </w:hyperlink>
      <w:r>
        <w:t xml:space="preserve"> </w:t>
      </w:r>
      <w:r>
        <w:t xml:space="preserve">is the source of truth for the LEO-below-1000-km CDM corpus from 2016 through 2021. The Acta Astronautica COLA process paper by Sorge and colleagues</w:t>
      </w:r>
      <w:r>
        <w:t xml:space="preserve"> </w:t>
      </w:r>
      <w:hyperlink w:anchor="ref-14">
        <w:r>
          <w:rPr>
            <w:rStyle w:val="Hyperlink"/>
          </w:rPr>
          <w:t xml:space="preserve">[14]</w:t>
        </w:r>
      </w:hyperlink>
      <w:r>
        <w:t xml:space="preserve"> </w:t>
      </w:r>
      <w:r>
        <w:t xml:space="preserve">is the source of truth for the LEO-below-1000-km operational record from 2022 through 2025. The Acta Astronautica large-constellations paper by Sorge and colleagues</w:t>
      </w:r>
      <w:r>
        <w:t xml:space="preserve"> </w:t>
      </w:r>
      <w:hyperlink w:anchor="ref-15">
        <w:r>
          <w:rPr>
            <w:rStyle w:val="Hyperlink"/>
          </w:rPr>
          <w:t xml:space="preserve">[15]</w:t>
        </w:r>
      </w:hyperlink>
      <w:r>
        <w:t xml:space="preserve"> </w:t>
      </w:r>
      <w:r>
        <w:t xml:space="preserve">is a cross-reference for the constellation channel and is consulted to confirm the regime attribution of the four constellations. The Oltrogge and colleagues comprehensive GEO assessment</w:t>
      </w:r>
      <w:r>
        <w:t xml:space="preserve"> </w:t>
      </w:r>
      <w:hyperlink w:anchor="ref-24">
        <w:r>
          <w:rPr>
            <w:rStyle w:val="Hyperlink"/>
          </w:rPr>
          <w:t xml:space="preserve">[24]</w:t>
        </w:r>
      </w:hyperlink>
      <w:r>
        <w:t xml:space="preserve"> </w:t>
      </w:r>
      <w:r>
        <w:t xml:space="preserve">is the source of truth for the geosynchronous regime across the full window. The UCS Satellite Database</w:t>
      </w:r>
      <w:r>
        <w:t xml:space="preserve"> </w:t>
      </w:r>
      <w:hyperlink w:anchor="ref-26">
        <w:r>
          <w:rPr>
            <w:rStyle w:val="Hyperlink"/>
          </w:rPr>
          <w:t xml:space="preserve">[26]</w:t>
        </w:r>
      </w:hyperlink>
      <w:r>
        <w:t xml:space="preserve"> </w:t>
      </w:r>
      <w:r>
        <w:t xml:space="preserve">is the source of truth for active payload counts through 2023; the Jonathan’s Space Report tables</w:t>
      </w:r>
      <w:r>
        <w:t xml:space="preserve"> </w:t>
      </w:r>
      <w:hyperlink w:anchor="ref-27">
        <w:r>
          <w:rPr>
            <w:rStyle w:val="Hyperlink"/>
          </w:rPr>
          <w:t xml:space="preserve">[27]</w:t>
        </w:r>
      </w:hyperlink>
      <w:r>
        <w:t xml:space="preserve"> </w:t>
      </w:r>
      <w:r>
        <w:t xml:space="preserve">are the source of truth for 2024 and 2025. The Bird and Kelso AMOS papers [21,3] are consulted as the canonical historical references for the SSA data-sharing institutional context that motivates the regime decomposition.</w:t>
      </w:r>
    </w:p>
    <w:bookmarkEnd w:id="94"/>
    <w:bookmarkEnd w:id="95"/>
    <w:bookmarkStart w:id="96" w:name="Xe830f9f3c0a1b864184364fea02b38e4a4a48a3"/>
    <w:p>
      <w:pPr>
        <w:pStyle w:val="Heading2"/>
        <w:spacing w:line="480" w:lineRule="auto"/>
      </w:pPr>
      <w:r>
        <w:t xml:space="preserve">4.4 Canonicalisation, Hashing, and Integrity Audit</w:t>
      </w:r>
    </w:p>
    <w:p>
      <w:pPr>
        <w:pStyle w:val="FirstParagraph"/>
        <w:spacing w:line="480" w:lineRule="auto"/>
      </w:pPr>
      <w:r>
        <w:t xml:space="preserve">Both datasets are subjected to the same provenance discipline. Per row, the CSV records the source URL, the retrieval timestamp, the canonicalisation step applied, and the SHA-256 hash of the signature input or, for Paper 2, the SHA-256 hash of the row payload after canonicalisation. The canonicalisation step is the deterministic transformation of the source record into the analysis row: for Paper 1, the byte-count extraction rule from NIST IR 8413 Tables 3-6 or the CCSDS Blue Book canonical-form rule [9,11]; for Paper 2, the corpus-share allocation rule for the LEO-below-1000-km cells or the regime-attribution rule for the active-payload regressor. The integrity audit re-runs the canonicalisation against the source on every replication build; a row that fails the hash check fails the build and is not silently dropped. This discipline is inherited from the data-handling practice in the decentralized SSA literature [8,29] and is the load-bearing mechanism by which the replication package can claim end-to-end traceability from primary record to estimated coefficient.</w:t>
      </w:r>
    </w:p>
    <w:bookmarkEnd w:id="96"/>
    <w:bookmarkStart w:id="97" w:name="measurement-error-and-validity-threats"/>
    <w:p>
      <w:pPr>
        <w:pStyle w:val="Heading2"/>
        <w:spacing w:line="480" w:lineRule="auto"/>
      </w:pPr>
      <w:r>
        <w:t xml:space="preserve">4.5 Measurement Error and Validity Threats</w:t>
      </w:r>
    </w:p>
    <w:p>
      <w:pPr>
        <w:pStyle w:val="FirstParagraph"/>
        <w:spacing w:line="480" w:lineRule="auto"/>
      </w:pPr>
      <w:r>
        <w:t xml:space="preserve">Three measurement-error threats descend from the data choices. The first, in Paper 1, is the nominal canonical payload size. A CCSDS Blue Book canonical size is not the only size at which a CDM, OEM, or VCM travels; operational messages carry optional fields and the size distribution has a non-trivial tail</w:t>
      </w:r>
      <w:r>
        <w:t xml:space="preserve"> </w:t>
      </w:r>
      <w:hyperlink w:anchor="ref-9">
        <w:r>
          <w:rPr>
            <w:rStyle w:val="Hyperlink"/>
          </w:rPr>
          <w:t xml:space="preserve">[9]</w:t>
        </w:r>
      </w:hyperlink>
      <w:r>
        <w:t xml:space="preserve">. The cross-section’s nominal size is the median of the operational distribution, not a worst case. The mitigation is the unstructured 1,500-byte control payload, which lets the regression identify the payload coefficient at a reference size that is not bound to CCSDS framing; the limitation is that traffic-weighted average envelope cost is not estimable from Paper 1 alone and must be computed by combining the Paper 1 coefficients with the Paper 2 volumes in Chapter 5.</w:t>
      </w:r>
    </w:p>
    <w:p>
      <w:pPr>
        <w:pStyle w:val="BodyText"/>
        <w:spacing w:line="480" w:lineRule="auto"/>
        <w:ind w:firstLine="720"/>
      </w:pPr>
      <w:r>
        <w:t xml:space="preserve">The second threat, in Paper 2, is the six illustrative annual means. These cells exhaust the allocation of a disclosed corpus total and do not fabricate counts that the sources do not support, but they impose a smoothness assumption on the per-year share within the corpus window. The mitigation is the pre-registered robustness specification with the source_quality interaction; if the coefficient on active_payloads survives the restriction to primary cells, the identification does not rest on the smoothness assumption. The third threat, in Paper 2, is the source handover at calendar year 2024 between the UCS database and the Jonathan’s Space Report tables [26,27]. The two sources use compatible but not identical payload-classification rules; the mitigation is the source_handover categorical column and a robustness specification that drops 2024 and 2025 from the panel to test whether the active-payload coefficient is stable at the handover boundary.</w:t>
      </w:r>
    </w:p>
    <w:p>
      <w:pPr>
        <w:pStyle w:val="BodyText"/>
        <w:spacing w:line="480" w:lineRule="auto"/>
        <w:ind w:firstLine="720"/>
      </w:pPr>
      <w:r>
        <w:t xml:space="preserve">Beyond measurement error, the construct-validity threats discussed in the prospectus apply directly to the data choices made here. The CelesTrak SOCRATES archive is the public proxy that the prospectus identified as the operational stand-in for TraCCS CDM traffic</w:t>
      </w:r>
      <w:r>
        <w:t xml:space="preserve"> </w:t>
      </w:r>
      <w:hyperlink w:anchor="ref-3">
        <w:r>
          <w:rPr>
            <w:rStyle w:val="Hyperlink"/>
          </w:rPr>
          <w:t xml:space="preserve">[3]</w:t>
        </w:r>
      </w:hyperlink>
      <w:r>
        <w:t xml:space="preserve">; in Chapter 5, the Paper 2 panel is used to characterise the federation-level throughput that an envelope drawn from the Paper 1 cross-section must clear, and the SOCRATES corpus is the bridge between the two papers and the operational stream. The internal-validity threat from compute-profile choice in Paper 1 does not enter through the dataset because Paper 1 measures wire bytes, not wall-clock latency; the latency measurement that the prospectus describes is reserved for a follow-on experimental contribution. The external-validity threat from partner heterogeneity in the TraCCS federation is addressed at the variable-construction level by the regime decomposition in Paper 2: a federation that serves multiple sovereigns and firms operates across all three regimes, and the regime-year unit of analysis is the resolution at which heterogeneity is observable in the public record.</w:t>
      </w:r>
    </w:p>
    <w:bookmarkEnd w:id="97"/>
    <w:bookmarkStart w:id="98" w:name="replication-package"/>
    <w:p>
      <w:pPr>
        <w:pStyle w:val="Heading2"/>
        <w:spacing w:line="480" w:lineRule="auto"/>
      </w:pPr>
      <w:r>
        <w:t xml:space="preserve">4.6 Replication Package</w:t>
      </w:r>
    </w:p>
    <w:p>
      <w:pPr>
        <w:pStyle w:val="FirstParagraph"/>
        <w:spacing w:line="480" w:lineRule="auto"/>
      </w:pPr>
      <w:r>
        <w:t xml:space="preserve">The replication package contains the analysis CSV for each paper, the canonicalisation scripts, the integrity-audit script, the regression specification scripts, and the source-document references. The package is released under a public license consistent with the prospectus’s commitment to a public replication artefact. A replicator can reconstruct every cell of every table from primary sources by running the canonicalisation scripts against the source documents catalogued above; the integrity-audit script then verifies that the reconstructed CSV matches the released CSV at the SHA-256 level. The package design follows the practice established in the AMOS poster sessions and the CCSDS Blue Book publication discipline [9,21,23] and inherits the trust-fabric provenance discipline from the BESTA and Cosmic Collaboratory references [28,29] for the integrity-audit step.</w:t>
      </w:r>
    </w:p>
    <w:p>
      <w:pPr>
        <w:pStyle w:val="BodyText"/>
        <w:spacing w:line="480" w:lineRule="auto"/>
        <w:ind w:firstLine="720"/>
      </w:pPr>
      <w:r>
        <w:t xml:space="preserve">The chapter closes by foregrounding the joint use of the two datasets in Chapter 5. The Paper 1 wire-cost coefficients are combined with the Paper 2 throughput projections to compute federation-level bandwidth budgets per scheme per regime; this combination is the analytical operation that converts the two empirical contributions into a single recommendation for the COSMIC envelope specification, and the data choices in this chapter are the load-bearing conditions under which that recommendation is defensible.</w:t>
      </w:r>
    </w:p>
    <w:bookmarkEnd w:id="98"/>
    <w:bookmarkEnd w:id="99"/>
    <w:bookmarkStart w:id="113" w:name="chapter-5.-methods-and-identification"/>
    <w:p>
      <w:pPr>
        <w:pStyle w:val="Heading1"/>
        <w:spacing w:line="480" w:lineRule="auto"/>
      </w:pPr>
      <w:r>
        <w:t xml:space="preserve">Chapter 5. Methods and Identification</w:t>
      </w:r>
    </w:p>
    <w:bookmarkStart w:id="100" w:name="overview-1"/>
    <w:p>
      <w:pPr>
        <w:pStyle w:val="Heading2"/>
        <w:spacing w:line="480" w:lineRule="auto"/>
      </w:pPr>
      <w:r>
        <w:t xml:space="preserve">5.1 Overview</w:t>
      </w:r>
    </w:p>
    <w:p>
      <w:pPr>
        <w:pStyle w:val="FirstParagraph"/>
        <w:spacing w:line="480" w:lineRule="auto"/>
      </w:pPr>
      <w:r>
        <w:t xml:space="preserve">This chapter specifies the empirical machinery that COSMIC uses to convert the prospectus hypothesis into a testable claim. The dissertation pursues a single falsifiable contribution: that a hybrid classical plus lattice-based signature envelope wrapping the Consultative Committee for Space Data Systems (CCSDS) Conjunction Data Message (CDM) payload</w:t>
      </w:r>
      <w:r>
        <w:t xml:space="preserve"> </w:t>
      </w:r>
      <w:hyperlink w:anchor="ref-9">
        <w:r>
          <w:rPr>
            <w:rStyle w:val="Hyperlink"/>
          </w:rPr>
          <w:t xml:space="preserve">[9]</w:t>
        </w:r>
      </w:hyperlink>
      <w:r>
        <w:t xml:space="preserve"> </w:t>
      </w:r>
      <w:r>
        <w:t xml:space="preserve">can be deployed across the Traffic Coordination System for Space (TraCCS) federation without exceeding the operational latency, bandwidth, and verification-failure budgets that short-warning conjunction alerting imposes [5,13]. Two prior empirical papers in the COSMIC program have already pinned down the envelope’s wire-cost structure and the demand surface that the envelope must serve. The first paper established by ordinary least squares decomposition that envelope byte cost is additive in payload, public-key, and signature components, with no measurable residual cost attributable to the National Institute of Standards and Technology (NIST) security category once size components are controlled [11,16,19]. The second paper estimated by panel ordinary least squares that mean daily CDM volume in low Earth orbit below one thousand kilometres is dominated by active-payload count, with a marginally significant secular time trend and a constellation-share term that does not survive the inclusion of payload count [15,23]. Chapter 5 reuses those estimators and adds the inferential layer needed to test the joint operational claim. Section 5.2 specifies the three estimators. Section 5.3 sets out the identification strategy and the auxiliary assumptions that the design requires. Section 5.4 catalogues the threats to validity and the bounding strategy that disciplines each. Section 5.5 closes with the pre-registration commitments that bind the analytic discretion of the candidate.</w:t>
      </w:r>
    </w:p>
    <w:bookmarkEnd w:id="100"/>
    <w:bookmarkStart w:id="104" w:name="estimators"/>
    <w:p>
      <w:pPr>
        <w:pStyle w:val="Heading2"/>
        <w:spacing w:line="480" w:lineRule="auto"/>
      </w:pPr>
      <w:r>
        <w:t xml:space="preserve">5.2 Estimators</w:t>
      </w:r>
    </w:p>
    <w:p>
      <w:pPr>
        <w:pStyle w:val="FirstParagraph"/>
        <w:spacing w:line="480" w:lineRule="auto"/>
      </w:pPr>
      <w:r>
        <w:t xml:space="preserve">The dissertation uses three estimators in series. Each maps to one of the three operational thresholds named in the prospectus null hypothesis, and the joint test under the alternative requires that all three pass simultaneously at the 95th percentile of the historical CDM corpus drawn from the public CelesTrak SOCRATES archive</w:t>
      </w:r>
      <w:r>
        <w:t xml:space="preserve"> </w:t>
      </w:r>
      <w:hyperlink w:anchor="ref-3">
        <w:r>
          <w:rPr>
            <w:rStyle w:val="Hyperlink"/>
          </w:rPr>
          <w:t xml:space="preserve">[3]</w:t>
        </w:r>
      </w:hyperlink>
      <w:r>
        <w:t xml:space="preserve">.</w:t>
      </w:r>
    </w:p>
    <w:bookmarkStart w:id="101" w:name="X7b5f36c32aac8d3a5654a4ea647ac7e704bc4a7"/>
    <w:p>
      <w:pPr>
        <w:pStyle w:val="Heading3"/>
        <w:spacing w:line="480" w:lineRule="auto"/>
      </w:pPr>
      <w:r>
        <w:t xml:space="preserve">5.2.1 Estimator one: wire-cost ordinary least squares</w:t>
      </w:r>
    </w:p>
    <w:p>
      <w:pPr>
        <w:pStyle w:val="FirstParagraph"/>
        <w:spacing w:line="480" w:lineRule="auto"/>
      </w:pPr>
      <w:r>
        <w:t xml:space="preserve">The first estimator is the ordinary least squares decomposition introduced in the first COSMIC paper and reproduced here as the bandwidth-overhead inferential layer. The unit of observation is a single scheme-payload pair. The dependent variable is the envelope size in bytes. The regressors are the canonicalized payload byte count drawn from CCSDS Blue Book 508.0-B-1 for CDM, 502.0-B-2 for orbit ephemeris messages, and 500.0-G-4 for definitional conventions</w:t>
      </w:r>
      <w:r>
        <w:t xml:space="preserve"> </w:t>
      </w:r>
      <w:hyperlink w:anchor="ref-9">
        <w:r>
          <w:rPr>
            <w:rStyle w:val="Hyperlink"/>
          </w:rPr>
          <w:t xml:space="preserve">[9]</w:t>
        </w:r>
      </w:hyperlink>
      <w:r>
        <w:t xml:space="preserve">, the public-key or key-encapsulation-mechanism ciphertext byte count drawn from NIST IR 8413 Tables 3 through 6</w:t>
      </w:r>
      <w:r>
        <w:t xml:space="preserve"> </w:t>
      </w:r>
      <w:hyperlink w:anchor="ref-11">
        <w:r>
          <w:rPr>
            <w:rStyle w:val="Hyperlink"/>
          </w:rPr>
          <w:t xml:space="preserve">[11]</w:t>
        </w:r>
      </w:hyperlink>
      <w:r>
        <w:t xml:space="preserve">, the signature or tag byte count drawn from the same source and from the eBACS SUPERCOP benchmark suite</w:t>
      </w:r>
      <w:r>
        <w:t xml:space="preserve"> </w:t>
      </w:r>
      <w:hyperlink w:anchor="ref-19">
        <w:r>
          <w:rPr>
            <w:rStyle w:val="Hyperlink"/>
          </w:rPr>
          <w:t xml:space="preserve">[19]</w:t>
        </w:r>
      </w:hyperlink>
      <w:r>
        <w:t xml:space="preserve">, and the NIST security category as an ordinal regressor. Standard errors are heteroskedasticity-consistent of HC1 form, and 95 percent confidence intervals are reported per coefficient. The estimator is parsimonious by design: the additive identity is the engineering null that the prospectus invokes when it caps per-message bandwidth overhead at five kilobytes relative to the unwrapped CDM. Rejecting the additive identity would force a redesign of the bandwidth budget, because the envelope would carry a hidden structural cost beyond its declared parts. Failing to reject it, as the first paper did at R-squared above 0.9999, licenses the candidate to size the bandwidth budget from the catalogued key and signature lengths alone.</w:t>
      </w:r>
    </w:p>
    <w:bookmarkEnd w:id="101"/>
    <w:bookmarkStart w:id="102" w:name="Xeb948f1fa33f9efc164696e1196ee654460c637"/>
    <w:p>
      <w:pPr>
        <w:pStyle w:val="Heading3"/>
        <w:spacing w:line="480" w:lineRule="auto"/>
      </w:pPr>
      <w:r>
        <w:t xml:space="preserve">5.2.2 Estimator two: throughput panel ordinary least squares</w:t>
      </w:r>
    </w:p>
    <w:p>
      <w:pPr>
        <w:pStyle w:val="FirstParagraph"/>
        <w:spacing w:line="480" w:lineRule="auto"/>
      </w:pPr>
      <w:r>
        <w:t xml:space="preserve">The second estimator is the regime-year panel ordinary least squares introduced in the second COSMIC paper. The unit of observation is a regime-year cell across three orbital regimes: low Earth orbit below one thousand kilometres, low Earth orbit above one thousand kilometres, and geosynchronous Earth orbit. The dependent variable is mean CDMs per day in thousands. The regressors are active payload count, years since 2015, and large-constellation share. The panel is stacked without fixed effects so that the constellation-share coefficient is identified off the regime in which the share has actually moved over the observation window. Standard errors are HC1 robust. The estimator delivers the demand-side projection that the envelope must absorb: an active-payload coefficient of 0.040 thousand CDMs per day per active payload, recovered with a robust standard error of 0.008, sets the throughput floor at several hundred thousand messages per day in low Earth orbit below one thousand kilometres by the end of the decade [15,23]. That floor enters the latency budget through the verification-rate denominator: a hybrid envelope that adds milliseconds at the partner edge must clear that floor without backlog at the gateway.</w:t>
      </w:r>
    </w:p>
    <w:bookmarkEnd w:id="102"/>
    <w:bookmarkStart w:id="103" w:name="Xb293ec0c90d77af1acec231e2ef14219e407044"/>
    <w:p>
      <w:pPr>
        <w:pStyle w:val="Heading3"/>
        <w:spacing w:line="480" w:lineRule="auto"/>
      </w:pPr>
      <w:r>
        <w:t xml:space="preserve">5.2.3 Estimator three: latency and verification-failure test</w:t>
      </w:r>
    </w:p>
    <w:p>
      <w:pPr>
        <w:pStyle w:val="FirstParagraph"/>
        <w:spacing w:line="480" w:lineRule="auto"/>
      </w:pPr>
      <w:r>
        <w:t xml:space="preserve">The third estimator is the empirical distribution of envelope verification latency and verification-failure rate, measured per message over a stratified sample of the SOCRATES CDM corpus</w:t>
      </w:r>
      <w:r>
        <w:t xml:space="preserve"> </w:t>
      </w:r>
      <w:hyperlink w:anchor="ref-3">
        <w:r>
          <w:rPr>
            <w:rStyle w:val="Hyperlink"/>
          </w:rPr>
          <w:t xml:space="preserve">[3]</w:t>
        </w:r>
      </w:hyperlink>
      <w:r>
        <w:t xml:space="preserve"> </w:t>
      </w:r>
      <w:r>
        <w:t xml:space="preserve">under the reference partner-class compute profile specified in the prospectus. The corpus sample is stratified across orbital regime and screening-window length to match the distribution implied by the panel model of Estimator Two, so that the latency tail is exercised against an operationally representative demand pattern rather than a uniform draw. The candidate computes the empirical cumulative distribution function of verification latency per envelope variant, recovers the 90th, 95th, and 99th percentiles, and bootstraps confidence intervals on each percentile with one thousand resamples drawn with replacement at the message level. The verification-failure rate is estimated as the binomial proportion of messages whose hybrid signature fails to verify under specified key-rotation and clock-skew conditions, with the rotation cadence and skew window drawn from operational practice in existing bilateral SSA sharing agreements [1,6]. The test against the prospectus thresholds is one-sided at each percentile, with the joint H1 test conducted under the conjunction of the three marginal tests. The 250-millisecond latency threshold, the 5-kilobyte bandwidth threshold, and the 0.1 percent verification-failure threshold must all clear at the 95th percentile for the candidate to reject the null and declare operational deployability under the stated threat model.</w:t>
      </w:r>
    </w:p>
    <w:p>
      <w:pPr>
        <w:pStyle w:val="BodyText"/>
        <w:spacing w:line="480" w:lineRule="auto"/>
        <w:ind w:firstLine="720"/>
      </w:pPr>
      <w:r>
        <w:t xml:space="preserve">The three estimators are linked. The first prices the bandwidth axis. The second sizes the throughput floor that the latency axis must absorb. The third measures the latency and failure axes against the floor. The joint inference at H1 is the conjunction of the three marginal rejections.</w:t>
      </w:r>
    </w:p>
    <w:bookmarkEnd w:id="103"/>
    <w:bookmarkEnd w:id="104"/>
    <w:bookmarkStart w:id="105" w:name="identification-strategy"/>
    <w:p>
      <w:pPr>
        <w:pStyle w:val="Heading2"/>
        <w:spacing w:line="480" w:lineRule="auto"/>
      </w:pPr>
      <w:r>
        <w:t xml:space="preserve">5.3 Identification Strategy</w:t>
      </w:r>
    </w:p>
    <w:p>
      <w:pPr>
        <w:pStyle w:val="FirstParagraph"/>
        <w:spacing w:line="480" w:lineRule="auto"/>
      </w:pPr>
      <w:r>
        <w:t xml:space="preserve">Identification in the COSMIC design proceeds from three premises and the experimental discipline that the candidate imposes around them. The first premise is that the SOCRATES corpus is operationally representative of the CDM messaging traffic that the envelope will serve in the TraCCS federation. The second is that the reference partner compute profile is representative of the partner set. The third is that the threat model is the published NIST post-quantum cryptography threat model with the cryptanalytically relevant quantum computer assumption made explicit [11,12,20]. Each premise is a load-bearing assumption rather than a measurable quantity, and each is therefore bounded by a pre-registered sensitivity analysis rather than by a point estimate.</w:t>
      </w:r>
    </w:p>
    <w:p>
      <w:pPr>
        <w:pStyle w:val="BodyText"/>
        <w:spacing w:line="480" w:lineRule="auto"/>
        <w:ind w:firstLine="720"/>
      </w:pPr>
      <w:r>
        <w:t xml:space="preserve">The wire-cost decomposition identifies its coefficients off cross-scheme variation. At a fixed payload, different cryptographic schemes contribute different key and signature byte counts; at a fixed scheme, different CCSDS message types contribute different payload byte counts. The two sources of variation are mechanically orthogonal because scheme choice and message type are independent design dimensions. The identification therefore does not rest on any behavioural assumption about operator choice, and the additive identity recovered in the first paper [11,16,19] is interpretable as a structural feature of the envelope rather than as a behavioural equilibrium.</w:t>
      </w:r>
    </w:p>
    <w:p>
      <w:pPr>
        <w:pStyle w:val="BodyText"/>
        <w:spacing w:line="480" w:lineRule="auto"/>
        <w:ind w:firstLine="720"/>
      </w:pPr>
      <w:r>
        <w:t xml:space="preserve">The throughput panel identifies its coefficients off within-regime variation over time. The active-payload coefficient is identified off the 2016 to 2025 expansion of the catalogued population in low Earth orbit below one thousand kilometres [23,26,27], with cross-regime variation supplying the second dimension. The constellation-share coefficient is identified primarily off the same regime, where the share moves from near zero in 2016 to roughly seventy-two percent in 2025. The second paper found that the constellation-share term does not survive the inclusion of payload count, which means that constellation deployment enters the demand surface through population rather than through a separate structural channel</w:t>
      </w:r>
      <w:r>
        <w:t xml:space="preserve"> </w:t>
      </w:r>
      <w:hyperlink w:anchor="ref-15">
        <w:r>
          <w:rPr>
            <w:rStyle w:val="Hyperlink"/>
          </w:rPr>
          <w:t xml:space="preserve">[15]</w:t>
        </w:r>
      </w:hyperlink>
      <w:r>
        <w:t xml:space="preserve">. The identification claim that flows forward into the dissertation is therefore that payload count is a sufficient first-order regressor for throughput sizing, with the time trend reserved as a slow secondary correction.</w:t>
      </w:r>
    </w:p>
    <w:p>
      <w:pPr>
        <w:pStyle w:val="BodyText"/>
        <w:spacing w:line="480" w:lineRule="auto"/>
        <w:ind w:firstLine="720"/>
      </w:pPr>
      <w:r>
        <w:t xml:space="preserve">The latency and verification-failure estimator identifies the operational performance of the envelope under a controlled experimental design. The treatment is the envelope variant, defined as the cross of a classical signature scheme drawn from FIPS 186-5 [16,17] with a NIST-standardised lattice-based signature at each of three parameter levels</w:t>
      </w:r>
      <w:r>
        <w:t xml:space="preserve"> </w:t>
      </w:r>
      <w:hyperlink w:anchor="ref-11">
        <w:r>
          <w:rPr>
            <w:rStyle w:val="Hyperlink"/>
          </w:rPr>
          <w:t xml:space="preserve">[11]</w:t>
        </w:r>
      </w:hyperlink>
      <w:r>
        <w:t xml:space="preserve">. The control is the unwrapped CDM. The randomisation is the stratified draw from the SOCRATES corpus. The outcome is measured per message under fixed library, hardware, and clock-skew conditions. Identification rests on the standard experimental warrant that the treatment is independent of the outcome conditional on the corpus stratification, which holds by construction because the envelope is applied as a detached signature over a canonicalized payload and does not interact with the operational content of the message.</w:t>
      </w:r>
    </w:p>
    <w:p>
      <w:pPr>
        <w:pStyle w:val="BodyText"/>
        <w:spacing w:line="480" w:lineRule="auto"/>
        <w:ind w:firstLine="720"/>
      </w:pPr>
      <w:r>
        <w:t xml:space="preserve">The joint identification of the dissertation’s central claim therefore rests on the conjunction of three identification arguments: a structural decomposition in the wire-cost dimension, a within-regime panel projection in the throughput dimension, and an experimental treatment-control comparison in the latency and failure dimension. Each argument is independent of the others, and each is testable independently, which means that the joint inference is robust to the failure of any single auxiliary assumption in any single dimension.</w:t>
      </w:r>
    </w:p>
    <w:bookmarkEnd w:id="105"/>
    <w:bookmarkStart w:id="111" w:name="threats-to-validity-and-bounding"/>
    <w:p>
      <w:pPr>
        <w:pStyle w:val="Heading2"/>
        <w:spacing w:line="480" w:lineRule="auto"/>
      </w:pPr>
      <w:r>
        <w:t xml:space="preserve">5.4 Threats to Validity and Bounding</w:t>
      </w:r>
    </w:p>
    <w:p>
      <w:pPr>
        <w:pStyle w:val="FirstParagraph"/>
        <w:spacing w:line="480" w:lineRule="auto"/>
      </w:pPr>
      <w:r>
        <w:t xml:space="preserve">The dissertation catalogues five families of threat to validity and bounds each by a pre-registered analytic move.</w:t>
      </w:r>
    </w:p>
    <w:bookmarkStart w:id="106" w:name="construct-validity"/>
    <w:p>
      <w:pPr>
        <w:pStyle w:val="Heading3"/>
        <w:spacing w:line="480" w:lineRule="auto"/>
      </w:pPr>
      <w:r>
        <w:t xml:space="preserve">5.4.1 Construct validity</w:t>
      </w:r>
    </w:p>
    <w:p>
      <w:pPr>
        <w:pStyle w:val="FirstParagraph"/>
        <w:spacing w:line="480" w:lineRule="auto"/>
      </w:pPr>
      <w:r>
        <w:t xml:space="preserve">The SOCRATES corpus is a public proxy for operational TraCCS CDM traffic</w:t>
      </w:r>
      <w:r>
        <w:t xml:space="preserve"> </w:t>
      </w:r>
      <w:hyperlink w:anchor="ref-3">
        <w:r>
          <w:rPr>
            <w:rStyle w:val="Hyperlink"/>
          </w:rPr>
          <w:t xml:space="preserve">[3]</w:t>
        </w:r>
      </w:hyperlink>
      <w:r>
        <w:t xml:space="preserve"> </w:t>
      </w:r>
      <w:r>
        <w:t xml:space="preserve">and may understate the volume, screening-window distribution, or payload heterogeneity of the operational stream that the federation’s commercial and allied partners contribute [5,6]. The bounding move is stratified sampling matched to published TraCCS traffic characterisations [5,15] and a pre-registered sensitivity analysis under alternative stratifications. Where the panel projection of Estimator Two implies a heavier tail than the SOCRATES sample provides, the candidate over-samples the corresponding stratum and reports the latency distribution conditional on the operational weighting. The construct is bounded above by the heaviest documented stratum and below by the lightest, and the operational threshold test is reported under both bounds.</w:t>
      </w:r>
    </w:p>
    <w:p>
      <w:pPr>
        <w:pStyle w:val="BodyText"/>
        <w:spacing w:line="480" w:lineRule="auto"/>
        <w:ind w:firstLine="720"/>
      </w:pPr>
      <w:r>
        <w:t xml:space="preserve">The CDM is itself a construct that compresses a richer set of conjunction-related exchanges into a single standardised message [9,10]. The envelope is specified to wrap the canonicalized CDM payload only, which means that auxiliary exchanges such as maneuver advisories and concurrent-avoidance negotiation messages</w:t>
      </w:r>
      <w:r>
        <w:t xml:space="preserve"> </w:t>
      </w:r>
      <w:hyperlink w:anchor="ref-13">
        <w:r>
          <w:rPr>
            <w:rStyle w:val="Hyperlink"/>
          </w:rPr>
          <w:t xml:space="preserve">[13]</w:t>
        </w:r>
      </w:hyperlink>
      <w:r>
        <w:t xml:space="preserve"> </w:t>
      </w:r>
      <w:r>
        <w:t xml:space="preserve">are out of scope. The construct boundary is documented in the pre-registration so that no subsequent claim is implicitly extended beyond the CDM payload that the experiment actually exercises.</w:t>
      </w:r>
    </w:p>
    <w:bookmarkEnd w:id="106"/>
    <w:bookmarkStart w:id="107" w:name="internal-validity"/>
    <w:p>
      <w:pPr>
        <w:pStyle w:val="Heading3"/>
        <w:spacing w:line="480" w:lineRule="auto"/>
      </w:pPr>
      <w:r>
        <w:t xml:space="preserve">5.4.2 Internal validity</w:t>
      </w:r>
    </w:p>
    <w:p>
      <w:pPr>
        <w:pStyle w:val="FirstParagraph"/>
        <w:spacing w:line="480" w:lineRule="auto"/>
      </w:pPr>
      <w:r>
        <w:t xml:space="preserve">Envelope verification latency is sensitive to compute-profile choice, cryptographic library implementation quality, and parallelisation strategy. The bounding move is a fixed reference implementation as the primary specification, with two alternative library implementations carried as a robustness set, and per-message latency reported with the full hardware, library version, and concurrency profile. The candidate does not average across libraries; instead, the latency distribution is reported per library, and the threshold test is conducted against each. A library whose distribution clears the threshold while the others do not is reported as a conditional positive result rather than as a robust one.</w:t>
      </w:r>
    </w:p>
    <w:p>
      <w:pPr>
        <w:pStyle w:val="BodyText"/>
        <w:spacing w:line="480" w:lineRule="auto"/>
        <w:ind w:firstLine="720"/>
      </w:pPr>
      <w:r>
        <w:t xml:space="preserve">The verification-failure rate is sensitive to the parameterisation of key rotation and clock skew. The bounding move is to draw the rotation cadence and skew window from operational practice in published partner-agreement documentation [1,6,18] and to pre-register a sensitivity analysis under tighter and looser parameterisations. The failure-rate threshold is reported under the operational draw and under both bounds.</w:t>
      </w:r>
    </w:p>
    <w:bookmarkEnd w:id="107"/>
    <w:bookmarkStart w:id="108" w:name="external-validity"/>
    <w:p>
      <w:pPr>
        <w:pStyle w:val="Heading3"/>
        <w:spacing w:line="480" w:lineRule="auto"/>
      </w:pPr>
      <w:r>
        <w:t xml:space="preserve">5.4.3 External validity</w:t>
      </w:r>
    </w:p>
    <w:p>
      <w:pPr>
        <w:pStyle w:val="FirstParagraph"/>
        <w:spacing w:line="480" w:lineRule="auto"/>
      </w:pPr>
      <w:r>
        <w:t xml:space="preserve">The TraCCS partner set is heterogeneous and evolving, and a single reference partner profile understates this heterogeneity. The bounding move is three partner profiles, defined as high, median, and low compute, each measured against the full stratified corpus, with the binding profile reported as the operational ceiling. The dissertation’s claim of operational deployability is conditional on the binding profile, not on the median, which means that the claim survives heterogeneity that pushes the partner distribution toward the low-compute tail</w:t>
      </w:r>
      <w:r>
        <w:t xml:space="preserve"> </w:t>
      </w:r>
      <w:hyperlink w:anchor="ref-6">
        <w:r>
          <w:rPr>
            <w:rStyle w:val="Hyperlink"/>
          </w:rPr>
          <w:t xml:space="preserve">[6]</w:t>
        </w:r>
      </w:hyperlink>
      <w:r>
        <w:t xml:space="preserve">.</w:t>
      </w:r>
    </w:p>
    <w:p>
      <w:pPr>
        <w:pStyle w:val="BodyText"/>
        <w:spacing w:line="480" w:lineRule="auto"/>
        <w:ind w:firstLine="720"/>
      </w:pPr>
      <w:r>
        <w:t xml:space="preserve">The throughput projection of Estimator Two reaches forward to the end of the decade [15,23]. External validity in that dimension is bounded by reporting the projection at three plausible 2030 active-payload counts, drawn from the union of the Union of Concerned Scientists Satellite Database trajectory</w:t>
      </w:r>
      <w:r>
        <w:t xml:space="preserve"> </w:t>
      </w:r>
      <w:hyperlink w:anchor="ref-26">
        <w:r>
          <w:rPr>
            <w:rStyle w:val="Hyperlink"/>
          </w:rPr>
          <w:t xml:space="preserve">[26]</w:t>
        </w:r>
      </w:hyperlink>
      <w:r>
        <w:t xml:space="preserve"> </w:t>
      </w:r>
      <w:r>
        <w:t xml:space="preserve">and the Jonathan’s Space Report trajectory</w:t>
      </w:r>
      <w:r>
        <w:t xml:space="preserve"> </w:t>
      </w:r>
      <w:hyperlink w:anchor="ref-27">
        <w:r>
          <w:rPr>
            <w:rStyle w:val="Hyperlink"/>
          </w:rPr>
          <w:t xml:space="preserve">[27]</w:t>
        </w:r>
      </w:hyperlink>
      <w:r>
        <w:t xml:space="preserve">. The dissertation reports the envelope’s operational margin at each projection rather than at a single point estimate, so that the deployment recommendation degrades gracefully as the projection tightens.</w:t>
      </w:r>
    </w:p>
    <w:bookmarkEnd w:id="108"/>
    <w:bookmarkStart w:id="109" w:name="threat-model-validity"/>
    <w:p>
      <w:pPr>
        <w:pStyle w:val="Heading3"/>
        <w:spacing w:line="480" w:lineRule="auto"/>
      </w:pPr>
      <w:r>
        <w:t xml:space="preserve">5.4.4 Threat-model validity</w:t>
      </w:r>
    </w:p>
    <w:p>
      <w:pPr>
        <w:pStyle w:val="FirstParagraph"/>
        <w:spacing w:line="480" w:lineRule="auto"/>
      </w:pPr>
      <w:r>
        <w:t xml:space="preserve">The cryptanalytically relevant quantum computer threat model is contested, and the envelope’s value depends on assumptions about timelines and adversary capability [11,12]. The bounding move is structural rather than statistical. The envelope is specified as hybrid, which means that it preserves classical security if the lattice assumption fails and preserves post-quantum security if the classical assumption fails. This hybrid property is itself a falsifiable design claim that the dissertation tests by reporting the envelope’s verification behaviour under the simulated failure of each component. The threat model is therefore bounded above by the conjunction of classical and lattice failure, which is the regime in which the envelope offers no protection, and below by the disjunction, which is the regime in which it offers full protection. The dissertation’s claim is conditioned on the disjunction.</w:t>
      </w:r>
    </w:p>
    <w:p>
      <w:pPr>
        <w:pStyle w:val="BodyText"/>
        <w:spacing w:line="480" w:lineRule="auto"/>
        <w:ind w:firstLine="720"/>
      </w:pPr>
      <w:r>
        <w:t xml:space="preserve">The dissertation does not engage the quantum key distribution alternative that some treatments propose for free-space cryptographic links [32,41]. That alternative addresses a different problem layer and is not a substitute for an envelope over the CCSDS message, which the federation must verify at heterogeneous partner edges with terrestrial infrastructure</w:t>
      </w:r>
      <w:r>
        <w:t xml:space="preserve"> </w:t>
      </w:r>
      <w:hyperlink w:anchor="ref-6">
        <w:r>
          <w:rPr>
            <w:rStyle w:val="Hyperlink"/>
          </w:rPr>
          <w:t xml:space="preserve">[6]</w:t>
        </w:r>
      </w:hyperlink>
      <w:r>
        <w:t xml:space="preserve">. The boundary is documented in the pre-registration.</w:t>
      </w:r>
    </w:p>
    <w:bookmarkEnd w:id="109"/>
    <w:bookmarkStart w:id="110" w:name="statistical-validity"/>
    <w:p>
      <w:pPr>
        <w:pStyle w:val="Heading3"/>
        <w:spacing w:line="480" w:lineRule="auto"/>
      </w:pPr>
      <w:r>
        <w:t xml:space="preserve">5.4.5 Statistical validity</w:t>
      </w:r>
    </w:p>
    <w:p>
      <w:pPr>
        <w:pStyle w:val="FirstParagraph"/>
        <w:spacing w:line="480" w:lineRule="auto"/>
      </w:pPr>
      <w:r>
        <w:t xml:space="preserve">Threshold tests at the 95th percentile are sensitive to tail behaviour. The bounding move is to report the full empirical cumulative distribution function of each outcome rather than only the threshold pass-or-fail, and to report bootstrap confidence intervals at the 90th, 95th, and 99th percentiles. The candidate reports the rejection decision at each percentile, so that a marginal pass at the 95th percentile that fails at the 99th is visible as a tail-fragility result rather than as a clean rejection.</w:t>
      </w:r>
    </w:p>
    <w:p>
      <w:pPr>
        <w:pStyle w:val="BodyText"/>
        <w:spacing w:line="480" w:lineRule="auto"/>
        <w:ind w:firstLine="720"/>
      </w:pPr>
      <w:r>
        <w:t xml:space="preserve">The joint inference under H1 is the conjunction of three marginal one-sided tests. The candidate reports both the unadjusted joint p-value and the Bonferroni-adjusted joint p-value, and conducts the decision rule under both. A rejection that survives Bonferroni adjustment is reported as a robust joint rejection; a rejection that does not survive is reported as a marginal joint rejection that is conditional on the choice of multiple-comparison correction.</w:t>
      </w:r>
    </w:p>
    <w:bookmarkEnd w:id="110"/>
    <w:bookmarkEnd w:id="111"/>
    <w:bookmarkStart w:id="112" w:name="pre-registration-and-replication"/>
    <w:p>
      <w:pPr>
        <w:pStyle w:val="Heading2"/>
        <w:spacing w:line="480" w:lineRule="auto"/>
      </w:pPr>
      <w:r>
        <w:t xml:space="preserve">5.5 Pre-Registration and Replication</w:t>
      </w:r>
    </w:p>
    <w:p>
      <w:pPr>
        <w:pStyle w:val="FirstParagraph"/>
        <w:spacing w:line="480" w:lineRule="auto"/>
      </w:pPr>
      <w:r>
        <w:t xml:space="preserve">The dissertation pre-registers the corpus stratification, the envelope variants, the reference compute profile, the rotation and skew parameterisations, the percentile grid, and the multiple-comparison correction before the latency and failure measurements are taken. The pre-registration document is filed with the dissertation supervisor before the experimental run and is published as part of the replication package on completion of the dissertation. The replication package contains the SOCRATES sample, the envelope implementation, the measurement harness, the per-message latency and failure records, the wire-cost decomposition dataset of the first paper, and the regime-year panel of the second paper. The replication target is bit-for-bit reproducibility of the wire-cost table, byte-for-byte reproducibility of the envelope artefacts, and within-percentile reproducibility of the latency and failure distributions under the same hardware and library versions. The dissertation thereby commits to an evidentiary standard consistent with the decentralised and federated trust architecture that the broader SSA sharing literature has called for [8,25,29,31,34].</w:t>
      </w:r>
    </w:p>
    <w:p>
      <w:pPr>
        <w:pStyle w:val="BodyText"/>
        <w:spacing w:line="480" w:lineRule="auto"/>
        <w:ind w:firstLine="720"/>
      </w:pPr>
      <w:r>
        <w:t xml:space="preserve">The methods chapter closes by noting that the three estimators, the three identification arguments, and the five threats to validity together describe a research design in which the falsifiable claim is testable, the assumptions are visible, and the rejection regions are pre-committed. The remaining chapters report the results of the experimental run, interpret the joint inference under both the unadjusted and adjusted decision rules, and translate the operational verdict into an envelope specification that the TraCCS federation can adopt or reject on the merits.</w:t>
      </w:r>
    </w:p>
    <w:bookmarkEnd w:id="112"/>
    <w:bookmarkEnd w:id="113"/>
    <w:bookmarkStart w:id="129"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that anchor the COSMIC program of work. The first paper estimates an ordinary least squares decomposition of the wire-cost of a post-quantum cryptographic envelope across thirty-two scheme-by-payload pairings, with envelope size in bytes as the dependent variable and four engineering regressors as covariates. The second paper estimates a heteroskedasticity-robust ordinary least squares panel of mean daily Conjunction Data Message (CDM) volume across three orbital regimes over the decade 2016 through 2025, with three structural drivers as covariates. The two estimators address opposite faces of the COSMIC envelope problem. The first answers the question of what the envelope will cost per message; the second answers the question of how many messages the envelope will be asked to carry. Read together, they delimit the operational design space within which a post-quantum signature substrate for the United States Traffic Coordination System for Space (TraCCS) federation must live [1,5,6].</w:t>
      </w:r>
    </w:p>
    <w:p>
      <w:pPr>
        <w:pStyle w:val="BodyText"/>
        <w:spacing w:line="480" w:lineRule="auto"/>
        <w:ind w:firstLine="720"/>
      </w:pPr>
      <w:r>
        <w:t xml:space="preserve">The presentation in this chapter is restricted to the numerical results that the estimators produced and to a doctoral interpretation of those numbers. The tables, formulas, and figures that visualize the estimator output appear in Appendix A and are not duplicated here. Every coefficient, standard error, p-value, and fit statistic stated below is the value returned by the estimator executed against the data files of record; no number appears in this chapter that was not produced by that execution.</w:t>
      </w:r>
    </w:p>
    <w:bookmarkStart w:id="120" w:name="X2188f139d389b26fd824b0685932a8de9e8edb3"/>
    <w:p>
      <w:pPr>
        <w:pStyle w:val="Heading2"/>
        <w:spacing w:line="480" w:lineRule="auto"/>
      </w:pPr>
      <w:r>
        <w:t xml:space="preserve">6.1 Paper 1: Wire-Cost Decomposition of the COSMIC Envelope</w:t>
      </w:r>
    </w:p>
    <w:bookmarkStart w:id="114" w:name="estimator-and-fit"/>
    <w:p>
      <w:pPr>
        <w:pStyle w:val="Heading3"/>
        <w:spacing w:line="480" w:lineRule="auto"/>
      </w:pPr>
      <w:r>
        <w:t xml:space="preserve">6.1.1 Estimator and fit</w:t>
      </w:r>
    </w:p>
    <w:p>
      <w:pPr>
        <w:pStyle w:val="FirstParagraph"/>
        <w:spacing w:line="480" w:lineRule="auto"/>
      </w:pPr>
      <w:r>
        <w:t xml:space="preserve">The first paper estimates an ordinary least squares model with heteroskedasticity-consistent HC1 standard errors on N = 32 observations. Each observation pairs a single cryptographic scheme with a single Consultative Committee for Space Data Systems (CCSDS) payload type</w:t>
      </w:r>
      <w:r>
        <w:t xml:space="preserve"> </w:t>
      </w:r>
      <w:hyperlink w:anchor="ref-9">
        <w:r>
          <w:rPr>
            <w:rStyle w:val="Hyperlink"/>
          </w:rPr>
          <w:t xml:space="preserve">[9]</w:t>
        </w:r>
      </w:hyperlink>
      <w:r>
        <w:t xml:space="preserve">. The dependent variable is envelope size in bytes. The regressors are payload size in bytes, public-key or key-encapsulation-mechanism (KEM) ciphertext size in bytes, signature or KEM-tag size in bytes, and the National Institute of Standards and Technology (NIST) post-quantum cryptography security category as an ordinal predictor on the integers zero through five [11,20].</w:t>
      </w:r>
    </w:p>
    <w:p>
      <w:pPr>
        <w:pStyle w:val="BodyText"/>
        <w:spacing w:line="480" w:lineRule="auto"/>
        <w:ind w:firstLine="720"/>
      </w:pPr>
      <w:r>
        <w:t xml:space="preserve">The fit is extraordinarily tight. The coefficient of determination is R-squared equal to 0.9999998, and the adjusted coefficient of determination is 0.9999997. The model F-statistic against the joint null of all slopes equal to zero is 4.05 times ten to the eighth, with an associated p-value of 1.43 times ten to the minus one hundred and fourth. By any conventional threshold the joint null is rejected with overwhelming evidence. The closeness of the unadjusted and adjusted R-squared, separated only in the eighth significant digit, indicates that no regressor is purchased at the cost of a meaningful degrees-of-freedom penalty; the four regressors are each carrying real explanatory mass against the thirty-two observations.</w:t>
      </w:r>
    </w:p>
    <w:p>
      <w:pPr>
        <w:pStyle w:val="BodyText"/>
        <w:spacing w:line="480" w:lineRule="auto"/>
        <w:ind w:firstLine="720"/>
      </w:pPr>
      <w:r>
        <w:t xml:space="preserve">The interpretation of so high a fit is not that the world is conveniently linear, but that the world being modeled is a constructive accounting identity. An envelope is by construction a concatenation of declared components, and the question the estimator answers is whether the observed envelope sizes recover the per-byte contribution of each declared component with the expected unit slope, or whether some scheme-family or security-level overhead enters above and beyond the declared sizes. The fit by itself therefore establishes that the linear specification is the correct functional form to test the hypotheses of the paper; the substantive content lies in the coefficient estimates and their inferential properties.</w:t>
      </w:r>
    </w:p>
    <w:bookmarkEnd w:id="114"/>
    <w:bookmarkStart w:id="115" w:name="the-intercept"/>
    <w:p>
      <w:pPr>
        <w:pStyle w:val="Heading3"/>
        <w:spacing w:line="480" w:lineRule="auto"/>
      </w:pPr>
      <w:r>
        <w:t xml:space="preserve">6.1.2 The intercept</w:t>
      </w:r>
    </w:p>
    <w:p>
      <w:pPr>
        <w:pStyle w:val="FirstParagraph"/>
        <w:spacing w:line="480" w:lineRule="auto"/>
      </w:pPr>
      <w:r>
        <w:t xml:space="preserve">The intercept is estimated at 6.139 bytes with a robust standard error of 5.9537 bytes and a p-value of 0.3025. The intercept is not statistically distinguishable from zero at any conventional significance threshold. This is the engineering null behaviour one would expect under an additive-identity model of envelope construction. Were the intercept large and statistically significant, the substantive reading would be that some fixed envelope cost is incurred independently of payload, key, and signature, perhaps a framing header that has been omitted from the regressor set. The estimate places that hidden-fixed-cost interpretation outside the data. The point estimate of 6.139 bytes, even taken at face value and ignoring its standard error, is a near-trivial framing cost of single-digit bytes, and the standard error of 5.95 bytes places zero well inside a one-sigma neighborhood of the point estimate.</w:t>
      </w:r>
    </w:p>
    <w:bookmarkEnd w:id="115"/>
    <w:bookmarkStart w:id="116" w:name="the-size-coefficients"/>
    <w:p>
      <w:pPr>
        <w:pStyle w:val="Heading3"/>
        <w:spacing w:line="480" w:lineRule="auto"/>
      </w:pPr>
      <w:r>
        <w:t xml:space="preserve">6.1.3 The size coefficients</w:t>
      </w:r>
    </w:p>
    <w:p>
      <w:pPr>
        <w:pStyle w:val="FirstParagraph"/>
        <w:spacing w:line="480" w:lineRule="auto"/>
      </w:pPr>
      <w:r>
        <w:t xml:space="preserve">The three size coefficients are the substantive payload of the wire-cost decomposition. Each is estimated at a value that, within the standard error, is indistinguishable from unity.</w:t>
      </w:r>
    </w:p>
    <w:p>
      <w:pPr>
        <w:pStyle w:val="BodyText"/>
        <w:spacing w:line="480" w:lineRule="auto"/>
        <w:ind w:firstLine="720"/>
      </w:pPr>
      <w:r>
        <w:t xml:space="preserve">The coefficient on payload_bytes is 0.998 with a robust standard error of 0.002 and a p-value below the precision of the report, that is, p approximately equal to zero. The substantive reading is that each additional byte of CCSDS payload adds one byte to the envelope. The point estimate falls within one standard error of unity, and the null that the slope is exactly one is statistically indistinguishable from the data. CDM, OEM, and VCM payloads at 800, 2400, and 512 bytes respectively, together with the unstructured 1500-byte baseline, are reproduced byte-for-byte in the envelope they sit inside</w:t>
      </w:r>
      <w:r>
        <w:t xml:space="preserve"> </w:t>
      </w:r>
      <w:hyperlink w:anchor="ref-9">
        <w:r>
          <w:rPr>
            <w:rStyle w:val="Hyperlink"/>
          </w:rPr>
          <w:t xml:space="preserve">[9]</w:t>
        </w:r>
      </w:hyperlink>
      <w:r>
        <w:t xml:space="preserve">.</w:t>
      </w:r>
    </w:p>
    <w:p>
      <w:pPr>
        <w:pStyle w:val="BodyText"/>
        <w:spacing w:line="480" w:lineRule="auto"/>
        <w:ind w:firstLine="720"/>
      </w:pPr>
      <w:r>
        <w:t xml:space="preserve">The coefficient on pubkey_bytes is 0.9978 with a robust standard error of 0.0023 and a p-value below the precision of the report. The same substantive reading applies: each additional byte of public key or KEM ciphertext adds one byte to the envelope. The estimate sits within one standard error of unity and the null of an exact unit slope is not rejected. This is the empirical demonstration that the catalogued public-key sizes drawn from NIST IR 8413 Tables 3 through 6 and from the eBACS SUPERCOP 2023 benchmark suite [11,19] are reproduced byte-for-byte in the wire form of the envelope, with no scheme-family-specific inflation or compression.</w:t>
      </w:r>
    </w:p>
    <w:p>
      <w:pPr>
        <w:pStyle w:val="BodyText"/>
        <w:spacing w:line="480" w:lineRule="auto"/>
        <w:ind w:firstLine="720"/>
      </w:pPr>
      <w:r>
        <w:t xml:space="preserve">The coefficient on sig_or_ct_bytes is 0.9999 with a robust standard error of 0.0001 and a p-value below the precision of the report. This is the cleanest estimate of the three size coefficients and is statistically the most tightly bounded. The substantive reading carries the most weight here because it is the signature or KEM-tag component that varies by orders of magnitude across the cryptographic catalog, from the 64-byte Ed25519 signature</w:t>
      </w:r>
      <w:r>
        <w:t xml:space="preserve"> </w:t>
      </w:r>
      <w:hyperlink w:anchor="ref-17">
        <w:r>
          <w:rPr>
            <w:rStyle w:val="Hyperlink"/>
          </w:rPr>
          <w:t xml:space="preserve">[17]</w:t>
        </w:r>
      </w:hyperlink>
      <w:r>
        <w:t xml:space="preserve"> </w:t>
      </w:r>
      <w:r>
        <w:t xml:space="preserve">through the 1312-byte Dilithium2 signature to the 49856-byte SPHINCS-256f signature</w:t>
      </w:r>
      <w:r>
        <w:t xml:space="preserve"> </w:t>
      </w:r>
      <w:hyperlink w:anchor="ref-11">
        <w:r>
          <w:rPr>
            <w:rStyle w:val="Hyperlink"/>
          </w:rPr>
          <w:t xml:space="preserve">[11]</w:t>
        </w:r>
      </w:hyperlink>
      <w:r>
        <w:t xml:space="preserve">. The estimator demonstrates that every additional signature byte appears verbatim on the wire, that no signature family is penalized or discounted in the framing, and that the dispersion in envelope size across schemes is exhausted by the dispersion in signature size.</w:t>
      </w:r>
    </w:p>
    <w:p>
      <w:pPr>
        <w:pStyle w:val="BodyText"/>
        <w:spacing w:line="480" w:lineRule="auto"/>
        <w:ind w:firstLine="720"/>
      </w:pPr>
      <w:r>
        <w:t xml:space="preserve">The joint reading of the three size coefficients is decisive for the engineering null of the paper. The envelope is, to within measurement, the linear sum of payload bytes, key bytes, and signature bytes, each entered with unit slope. This is hypothesis H1 in the language of the paper, the additive identity. The wire-cost of the envelope is exhausted by the wire-cost of its declared components.</w:t>
      </w:r>
    </w:p>
    <w:bookmarkEnd w:id="116"/>
    <w:bookmarkStart w:id="117" w:name="the-nist-security-level-coefficient"/>
    <w:p>
      <w:pPr>
        <w:pStyle w:val="Heading3"/>
        <w:spacing w:line="480" w:lineRule="auto"/>
      </w:pPr>
      <w:r>
        <w:t xml:space="preserve">6.1.4 The NIST security level coefficient</w:t>
      </w:r>
    </w:p>
    <w:p>
      <w:pPr>
        <w:pStyle w:val="FirstParagraph"/>
        <w:spacing w:line="480" w:lineRule="auto"/>
      </w:pPr>
      <w:r>
        <w:t xml:space="preserve">The fourth regressor is the critical one for the policy-relevant alternative hypothesis. The coefficient on nist_level is estimated at 0.3158 bytes per ordinal security category, with a robust standard error of 0.4215 bytes and a p-value of 0.4537. The coefficient is not statistically distinguishable from zero at any conventional significance threshold; the standard error is larger than the point estimate.</w:t>
      </w:r>
    </w:p>
    <w:p>
      <w:pPr>
        <w:pStyle w:val="BodyText"/>
        <w:spacing w:line="480" w:lineRule="auto"/>
        <w:ind w:firstLine="720"/>
      </w:pPr>
      <w:r>
        <w:t xml:space="preserve">The substantive reading is direct and is the policy contribution of the first paper. Once the wire sizes of the key, signature, and payload are entered as separate regressors, no residual cost premium attaches to higher NIST security categories. Whatever envelope cost a designer pays by migrating from NIST level 0 (the pre-quantum baseline of ECDSA-P256, Ed25519, RSA-3072, and X25519) [16,17] up through NIST levels 1, 2, 3, and 5 is fully recovered by the catalogued growth in key size and signature size. There is no second-order framing tax, algorithm-identifier overhead, or scheme-specific padding that loads onto the security level independently of size. Hypothesis H2 in the paper, the security-level premium, is rejected; hypothesis H1, the additive identity, is sustained.</w:t>
      </w:r>
    </w:p>
    <w:p>
      <w:pPr>
        <w:pStyle w:val="BodyText"/>
        <w:spacing w:line="480" w:lineRule="auto"/>
        <w:ind w:firstLine="720"/>
      </w:pPr>
      <w:r>
        <w:t xml:space="preserve">This finding has direct operational consequence for the COSMIC envelope specification developed in the prospectus and refined in the subsequent chapters of this dissertation. The migration calculus from a pre-quantum ECDSA or Ed25519 envelope to a NIST-standardized lattice-based envelope under ML-DSA (Dilithium)</w:t>
      </w:r>
      <w:r>
        <w:t xml:space="preserve"> </w:t>
      </w:r>
      <w:hyperlink w:anchor="ref-11">
        <w:r>
          <w:rPr>
            <w:rStyle w:val="Hyperlink"/>
          </w:rPr>
          <w:t xml:space="preserve">[11]</w:t>
        </w:r>
      </w:hyperlink>
      <w:r>
        <w:t xml:space="preserve"> </w:t>
      </w:r>
      <w:r>
        <w:t xml:space="preserve">can be priced exactly and ex ante from the published key and signature sizes. The designer does not need to budget a margin for an unobserved security-level overhead. Conversely, the designer cannot recover any wire-cost by selecting a lower NIST level once the scheme family is fixed; the cost is mechanical and is exhausted by the parameter set chosen.</w:t>
      </w:r>
    </w:p>
    <w:bookmarkEnd w:id="117"/>
    <w:bookmarkStart w:id="118" w:name="X3b91aecc3a4fa52d7c9a56e9d2b629674a899a0"/>
    <w:p>
      <w:pPr>
        <w:pStyle w:val="Heading3"/>
        <w:spacing w:line="480" w:lineRule="auto"/>
      </w:pPr>
      <w:r>
        <w:t xml:space="preserve">6.1.5 Operational implications drawn from the coefficient pattern</w:t>
      </w:r>
    </w:p>
    <w:p>
      <w:pPr>
        <w:pStyle w:val="FirstParagraph"/>
        <w:spacing w:line="480" w:lineRule="auto"/>
      </w:pPr>
      <w:r>
        <w:t xml:space="preserve">Three operational corollaries follow from the coefficient pattern without requiring any additional estimation. First, because the policy variable that drives envelope cost is the choice of signature family rather than the abstract security level, the COSMIC envelope design choice is reducible to a discrete catalog of family-and-parameter-set options whose wire-cost is calculable exactly from public catalog values</w:t>
      </w:r>
      <w:r>
        <w:t xml:space="preserve"> </w:t>
      </w:r>
      <w:hyperlink w:anchor="ref-11">
        <w:r>
          <w:rPr>
            <w:rStyle w:val="Hyperlink"/>
          </w:rPr>
          <w:t xml:space="preserve">[11]</w:t>
        </w:r>
      </w:hyperlink>
      <w:r>
        <w:t xml:space="preserve">. Second, because the CDM payload is small at approximately 800 bytes</w:t>
      </w:r>
      <w:r>
        <w:t xml:space="preserve"> </w:t>
      </w:r>
      <w:hyperlink w:anchor="ref-9">
        <w:r>
          <w:rPr>
            <w:rStyle w:val="Hyperlink"/>
          </w:rPr>
          <w:t xml:space="preserve">[9]</w:t>
        </w:r>
      </w:hyperlink>
      <w:r>
        <w:t xml:space="preserve"> </w:t>
      </w:r>
      <w:r>
        <w:t xml:space="preserve">and the smallest NIST-standardized lattice signature is on the order of one to two kilobytes, the post-quantum envelope’s framing-to-payload ratio is materially worse for short messages than for the OEM and bulk-telemetry case. The COSMIC envelope design must therefore be optimized for the CDM regime, which is also the regime that the operational latency budget of short-warning conjunction alerting constrains most tightly [5,13]. Third, because the additive identity holds, batching policies that amortize key transport across multiple CDMs translate directly and linearly into per-message envelope savings, and the savings can be priced exactly from the same coefficient set. The batching policy choice can therefore be co-designed with the parameter-set choice rather than estimated empirically a second time.</w:t>
      </w:r>
    </w:p>
    <w:bookmarkEnd w:id="118"/>
    <w:bookmarkStart w:id="119" w:name="robustness-of-the-wire-cost-finding"/>
    <w:p>
      <w:pPr>
        <w:pStyle w:val="Heading3"/>
        <w:spacing w:line="480" w:lineRule="auto"/>
      </w:pPr>
      <w:r>
        <w:t xml:space="preserve">6.1.6 Robustness of the wire-cost finding</w:t>
      </w:r>
    </w:p>
    <w:p>
      <w:pPr>
        <w:pStyle w:val="FirstParagraph"/>
        <w:spacing w:line="480" w:lineRule="auto"/>
      </w:pPr>
      <w:r>
        <w:t xml:space="preserve">The robustness of the wire-cost finding rests on three properties of the estimator output. First, all three size coefficients lie within one robust standard error of unity, and the intercept lies within one robust standard error of zero. This four-way concordance with the additive-identity null is not an artifact that a misspecified model would produce; it is the signature of a correctly specified accounting decomposition. Second, the precision of the sig_or_ct_bytes coefficient, with a standard error in the fourth decimal place, demonstrates that the orders-of-magnitude variation across signature families (from 64 bytes for Ed25519 to 49856 bytes for SPHINCS-256f [11,17]) is fully absorbed by the linear specification rather than producing residual heteroskedasticity that would inflate the standard error. Third, the NIST level coefficient’s failure to reach significance is not a power problem; with N = 32 and the joint F-statistic at four hundred and five million, the model has ample inferential resolution to detect even a small residual effect were one present.</w:t>
      </w:r>
    </w:p>
    <w:bookmarkEnd w:id="119"/>
    <w:bookmarkEnd w:id="120"/>
    <w:bookmarkStart w:id="127" w:name="X92255dc2a9913689fdf877684dfe1c79ecd4184"/>
    <w:p>
      <w:pPr>
        <w:pStyle w:val="Heading2"/>
        <w:spacing w:line="480" w:lineRule="auto"/>
      </w:pPr>
      <w:r>
        <w:t xml:space="preserve">6.2 Paper 2: Panel Model of CDM Volume Across Orbital Regimes</w:t>
      </w:r>
    </w:p>
    <w:bookmarkStart w:id="121" w:name="estimator-and-fit-1"/>
    <w:p>
      <w:pPr>
        <w:pStyle w:val="Heading3"/>
        <w:spacing w:line="480" w:lineRule="auto"/>
      </w:pPr>
      <w:r>
        <w:t xml:space="preserve">6.2.1 Estimator and fit</w:t>
      </w:r>
    </w:p>
    <w:p>
      <w:pPr>
        <w:pStyle w:val="FirstParagraph"/>
        <w:spacing w:line="480" w:lineRule="auto"/>
      </w:pPr>
      <w:r>
        <w:t xml:space="preserve">The second paper estimates an ordinary least squares panel model with HC1 heteroskedasticity-robust standard errors on N = 30 observations. The unit of observation is the regime-year, stacking three orbital regimes (LEO below 1000 km, LEO above 1000 km, and geosynchronous Earth orbit) across ten years from 2016 through 2025 [3,5,24]. The dependent variable is mean daily CDM volume in thousands of messages. The regressors are active payload count in the regime-year, a linear time trend measured as years since 2015, and large-constellation share, defined as the fraction of regime-year active payloads belonging to Starlink, OneWeb, Project Kuiper, and Qianfan [26,27].</w:t>
      </w:r>
    </w:p>
    <w:p>
      <w:pPr>
        <w:pStyle w:val="BodyText"/>
        <w:spacing w:line="480" w:lineRule="auto"/>
        <w:ind w:firstLine="720"/>
      </w:pPr>
      <w:r>
        <w:t xml:space="preserve">The model fits the panel tightly. The coefficient of determination is R-squared equal to 0.9807, the adjusted coefficient of determination is 0.9785, and the joint F-statistic is 286.71 with an associated p-value of 4.93 times ten to the minus twentieth. The joint null of all slopes equal to zero is rejected with overwhelming evidence. The fit is high but not constructively perfect, which is the appropriate behaviour for a behavioral panel rather than an accounting identity. Approximately ninety-eight percent of the cross-regime-year variation in mean daily CDM volume is explained by the three regressors; the residual two percent reflects screening-cadence shocks, catalog densification episodes, and partial-year anomalies that the linear specification does not capture by design.</w:t>
      </w:r>
    </w:p>
    <w:bookmarkEnd w:id="121"/>
    <w:bookmarkStart w:id="122" w:name="the-intercept-1"/>
    <w:p>
      <w:pPr>
        <w:pStyle w:val="Heading3"/>
        <w:spacing w:line="480" w:lineRule="auto"/>
      </w:pPr>
      <w:r>
        <w:t xml:space="preserve">6.2.2 The intercept</w:t>
      </w:r>
    </w:p>
    <w:p>
      <w:pPr>
        <w:pStyle w:val="FirstParagraph"/>
        <w:spacing w:line="480" w:lineRule="auto"/>
      </w:pPr>
      <w:r>
        <w:t xml:space="preserve">The intercept is estimated at minus 28.0657 thousand CDMs per day with a robust standard error of 6.756 and a p-value below the precision of the report. The intercept is statistically distinguishable from zero. The negative sign and statistical significance are not substantively interpretable as a counterfactual prediction of CDM volume at zero payloads, zero years since 2015, and zero constellation share; that combination of regressor values is outside the empirical support of the panel and is not a calibration point of the data-generating process. The intercept reflects the baseline calibration of the panel and absorbs the deviation between the regressor-fitted plane and the cluster of regime-year observations at the origin-side of the support. The substantive reading therefore reserves causal weight for the slope coefficients and treats the intercept as a calibration term.</w:t>
      </w:r>
    </w:p>
    <w:bookmarkEnd w:id="122"/>
    <w:bookmarkStart w:id="123" w:name="the-active-payload-coefficient"/>
    <w:p>
      <w:pPr>
        <w:pStyle w:val="Heading3"/>
        <w:spacing w:line="480" w:lineRule="auto"/>
      </w:pPr>
      <w:r>
        <w:t xml:space="preserve">6.2.3 The active payload coefficient</w:t>
      </w:r>
    </w:p>
    <w:p>
      <w:pPr>
        <w:pStyle w:val="FirstParagraph"/>
        <w:spacing w:line="480" w:lineRule="auto"/>
      </w:pPr>
      <w:r>
        <w:t xml:space="preserve">The coefficient on active_payloads is 0.04 thousand CDMs per day per active payload with a robust standard error of 0.0076 and a p-value below the precision of the report. This is the dominant first-order driver of CDM volume in the panel and is the coefficient on which the throughput projection in Chapter 7 rests.</w:t>
      </w:r>
    </w:p>
    <w:p>
      <w:pPr>
        <w:pStyle w:val="BodyText"/>
        <w:spacing w:line="480" w:lineRule="auto"/>
        <w:ind w:firstLine="720"/>
      </w:pPr>
      <w:r>
        <w:t xml:space="preserve">The substantive reading is that each additional active payload in an orbital regime contributes, on average, forty additional CDMs per day to the operational stream of that regime. The coefficient is statistically significant at any conventional threshold; the t-statistic implied by 0.04 over 0.0076 is approximately 5.26, which on twenty-six residual degrees of freedom pushes the p-value below conventional rounding. The estimate is consistent with the population mechanism articulated in the theory section of the paper: a denser shared volume of active payloads produces more close-approach pairs by mechanical necessity, and the screening process emits a CDM for each pair that crosses the operational probability-of-collision threshold [1,5].</w:t>
      </w:r>
    </w:p>
    <w:p>
      <w:pPr>
        <w:pStyle w:val="BodyText"/>
        <w:spacing w:line="480" w:lineRule="auto"/>
        <w:ind w:firstLine="720"/>
      </w:pPr>
      <w:r>
        <w:t xml:space="preserve">The operational consequence of the coefficient is that a 2030 LEO-below-1000 km active-payload projection in the range of ten to fifteen thousand payloads, which is the range implied by the announced large-constellation deployment plans</w:t>
      </w:r>
      <w:r>
        <w:t xml:space="preserve"> </w:t>
      </w:r>
      <w:hyperlink w:anchor="ref-27">
        <w:r>
          <w:rPr>
            <w:rStyle w:val="Hyperlink"/>
          </w:rPr>
          <w:t xml:space="preserve">[27]</w:t>
        </w:r>
      </w:hyperlink>
      <w:r>
        <w:t xml:space="preserve">, yields a mean CDM volume on the order of four to six hundred thousand messages per day for that regime alone. The COSMIC envelope must clear this throughput floor at the partner gateway, and the throughput floor enters Chapter 7 as the binding load specification.</w:t>
      </w:r>
    </w:p>
    <w:bookmarkEnd w:id="123"/>
    <w:bookmarkStart w:id="124" w:name="the-time-trend-coefficient"/>
    <w:p>
      <w:pPr>
        <w:pStyle w:val="Heading3"/>
        <w:spacing w:line="480" w:lineRule="auto"/>
      </w:pPr>
      <w:r>
        <w:t xml:space="preserve">6.2.4 The time trend coefficient</w:t>
      </w:r>
    </w:p>
    <w:p>
      <w:pPr>
        <w:pStyle w:val="FirstParagraph"/>
        <w:spacing w:line="480" w:lineRule="auto"/>
      </w:pPr>
      <w:r>
        <w:t xml:space="preserve">The coefficient on years_since_2015 is 1.4434 thousand CDMs per day per year with a robust standard error of 0.7667 and a p-value of 0.0598. The coefficient is marginally significant at the conventional five percent threshold, falling just inside the ten percent threshold and just outside the five percent threshold.</w:t>
      </w:r>
    </w:p>
    <w:p>
      <w:pPr>
        <w:pStyle w:val="BodyText"/>
        <w:spacing w:line="480" w:lineRule="auto"/>
        <w:ind w:firstLine="720"/>
      </w:pPr>
      <w:r>
        <w:t xml:space="preserve">The substantive reading is that, controlling for active payload count and large-constellation share, the secular passage of time contributes approximately fourteen hundred additional CDMs per day per year to the operational stream of each regime. This is the screening-network-maturation channel identified in the theory section of the paper</w:t>
      </w:r>
      <w:r>
        <w:t xml:space="preserve"> </w:t>
      </w:r>
      <w:hyperlink w:anchor="ref-2">
        <w:r>
          <w:rPr>
            <w:rStyle w:val="Hyperlink"/>
          </w:rPr>
          <w:t xml:space="preserve">[2]</w:t>
        </w:r>
      </w:hyperlink>
      <w:r>
        <w:t xml:space="preserve">. The expansion of the United States Space Surveillance Network and partner sensor contributions has densified the catalog and tightened the screening cadence in a manner that operates independently of the payload count of the regime in any given year. The marginal significance of the coefficient is the appropriate inferential signal: the maturation channel is real and identifiable, but it is a slow secular driver rather than the dominant force. The substantive weight of the coefficient is engineering: it advises the COSMIC envelope designer that throughput projections fixed at deployment will undershoot the operational load on a multi-year cadence even if the active-payload count is held constant.</w:t>
      </w:r>
    </w:p>
    <w:bookmarkEnd w:id="124"/>
    <w:bookmarkStart w:id="125" w:name="Xaa32528ce2b2a1c1d3ed4da9bf8bfb7f13e922a"/>
    <w:p>
      <w:pPr>
        <w:pStyle w:val="Heading3"/>
        <w:spacing w:line="480" w:lineRule="auto"/>
      </w:pPr>
      <w:r>
        <w:t xml:space="preserve">6.2.5 The large-constellation share coefficient</w:t>
      </w:r>
    </w:p>
    <w:p>
      <w:pPr>
        <w:pStyle w:val="FirstParagraph"/>
        <w:spacing w:line="480" w:lineRule="auto"/>
      </w:pPr>
      <w:r>
        <w:t xml:space="preserve">The coefficient on large_constellation_share is minus 168.5223 thousand CDMs per day per unit share with a robust standard error of 95.3178 and a p-value of 0.0771. The coefficient is marginally significant at the ten percent threshold and is signed negatively, which inverts the prior expectation that constellation deployment introduces a separate convex driver of CDM volume.</w:t>
      </w:r>
    </w:p>
    <w:p>
      <w:pPr>
        <w:pStyle w:val="BodyText"/>
        <w:spacing w:line="480" w:lineRule="auto"/>
        <w:ind w:firstLine="720"/>
      </w:pPr>
      <w:r>
        <w:t xml:space="preserve">The substantive reading is that, controlling for active payload count and the time trend, the large-constellation share variable does not survive as an independent positive driver of CDM volume. The negative sign and marginal significance indicate that the constellation-share variable is absorbing variation that is already captured by the active payload coefficient rather than adding an independent convex term. In the regime-years where the large-constellation share is high, the active payload count is also high; the two regressors are collinear by construction, and the active payload coefficient absorbs the first-order load while the constellation-share coefficient absorbs a residual negative offset that reflects the within-regime mean structure rather than a structural mechanism. The negative point estimate should not be read as evidence that constellations reduce CDM volume; the active payload coefficient captures the population mechanism through which constellation deployment generates load.</w:t>
      </w:r>
    </w:p>
    <w:p>
      <w:pPr>
        <w:pStyle w:val="BodyText"/>
        <w:spacing w:line="480" w:lineRule="auto"/>
        <w:ind w:firstLine="720"/>
      </w:pPr>
      <w:r>
        <w:t xml:space="preserve">The implication for the COSMIC envelope specification is parsimonious. Active payload count is a sufficient first-order regressor for throughput sizing across regimes. The envelope designer does not need to track the constellation composition of a regime separately from its active payload count to project the throughput floor; the payload count is the load-bearing covariate.</w:t>
      </w:r>
    </w:p>
    <w:bookmarkEnd w:id="125"/>
    <w:bookmarkStart w:id="126" w:name="the-joint-reading-of-the-second-paper"/>
    <w:p>
      <w:pPr>
        <w:pStyle w:val="Heading3"/>
        <w:spacing w:line="480" w:lineRule="auto"/>
      </w:pPr>
      <w:r>
        <w:t xml:space="preserve">6.2.6 The joint reading of the second paper</w:t>
      </w:r>
    </w:p>
    <w:p>
      <w:pPr>
        <w:pStyle w:val="FirstParagraph"/>
        <w:spacing w:line="480" w:lineRule="auto"/>
      </w:pPr>
      <w:r>
        <w:t xml:space="preserve">The three slope coefficients of the second paper together describe a demand surface in which the population mechanism is the dominant driver, the screening-maturation mechanism is a marginally significant secular driver, and the constellation-structure mechanism does not survive as an independent term once population is controlled. The R-squared of 0.981 confirms that this three-regressor specification captures the bulk of the cross-regime-year variation in CDM volume across the decade. The F-statistic of 286.71 confirms that the joint null is rejected at any conventional threshold.</w:t>
      </w:r>
    </w:p>
    <w:p>
      <w:pPr>
        <w:pStyle w:val="BodyText"/>
        <w:spacing w:line="480" w:lineRule="auto"/>
        <w:ind w:firstLine="720"/>
      </w:pPr>
      <w:r>
        <w:t xml:space="preserve">The substantive reading for the COSMIC program is that the throughput envelope of the post-quantum wrapper can be specified as a function of the active payload count projected for the deployment window, with a slow secular escalator drawn from the time-trend coefficient, and without a separate constellation-share margin. Combining the active payload coefficient of 0.04 thousand CDMs per day per payload with the announced large-constellation deployment plans</w:t>
      </w:r>
      <w:r>
        <w:t xml:space="preserve"> </w:t>
      </w:r>
      <w:hyperlink w:anchor="ref-27">
        <w:r>
          <w:rPr>
            <w:rStyle w:val="Hyperlink"/>
          </w:rPr>
          <w:t xml:space="preserve">[27]</w:t>
        </w:r>
      </w:hyperlink>
      <w:r>
        <w:t xml:space="preserve"> </w:t>
      </w:r>
      <w:r>
        <w:t xml:space="preserve">places the LEO-below-1000 km load floor in the several-hundred-thousand-CDMs-per-day range by the end of the decade. The marginally significant time-trend coefficient of 1.4434 thousand CDMs per day per year cautions that the throughput specification should be revisited on a multi-year cadence rather than fixed at deployment</w:t>
      </w:r>
      <w:r>
        <w:t xml:space="preserve"> </w:t>
      </w:r>
      <w:hyperlink w:anchor="ref-10">
        <w:r>
          <w:rPr>
            <w:rStyle w:val="Hyperlink"/>
          </w:rPr>
          <w:t xml:space="preserve">[10]</w:t>
        </w:r>
      </w:hyperlink>
      <w:r>
        <w:t xml:space="preserve">.</w:t>
      </w:r>
    </w:p>
    <w:bookmarkEnd w:id="126"/>
    <w:bookmarkEnd w:id="127"/>
    <w:bookmarkStart w:id="128" w:name="joint-reading-of-the-two-estimators"/>
    <w:p>
      <w:pPr>
        <w:pStyle w:val="Heading2"/>
        <w:spacing w:line="480" w:lineRule="auto"/>
      </w:pPr>
      <w:r>
        <w:t xml:space="preserve">6.3 Joint Reading of the Two Estimators</w:t>
      </w:r>
    </w:p>
    <w:p>
      <w:pPr>
        <w:pStyle w:val="FirstParagraph"/>
        <w:spacing w:line="480" w:lineRule="auto"/>
      </w:pPr>
      <w:r>
        <w:t xml:space="preserve">The two estimators are decoupled in their statistical objects but tightly coupled in their engineering implication. The first estimator delivers a per-message wire-cost that is exactly the sum of declared component sizes, with no security-level premium [11,20]. The second estimator delivers a throughput floor that scales with active payload count at a coefficient of 0.04 thousand CDMs per day per payload, with a marginally significant secular escalator and no surviving independent constellation-share channel [3,4,5]. Multiplying the per-message cost of a chosen scheme family by the throughput floor of a chosen regime-year yields the bandwidth burden the COSMIC envelope imposes on the partner gateway; the joint reading is therefore additive in the algebra of envelope design.</w:t>
      </w:r>
    </w:p>
    <w:p>
      <w:pPr>
        <w:pStyle w:val="BodyText"/>
        <w:spacing w:line="480" w:lineRule="auto"/>
        <w:ind w:firstLine="720"/>
      </w:pPr>
      <w:r>
        <w:t xml:space="preserve">The two papers also share a robustness property that bears on the credibility of their joint reading. Both estimators use heteroskedasticity-consistent HC1 standard errors, both report fits that are statistically dominated by the structural mechanisms theorized ex ante, and both report at least one coefficient (the intercept of the first paper, the constellation-share coefficient of the second paper) that fails to reach significance in the direction theory anticipated, demonstrating that the estimator is not uniformly delivering significant results by construction. The non-significance of the NIST level coefficient and the marginal significance of the time trend coefficient are the inferential signatures that the data are speaking on their own terms rather than confirming the hypothesis vector mechanically.</w:t>
      </w:r>
    </w:p>
    <w:p>
      <w:pPr>
        <w:pStyle w:val="BodyText"/>
        <w:spacing w:line="480" w:lineRule="auto"/>
        <w:ind w:firstLine="720"/>
      </w:pPr>
      <w:r>
        <w:t xml:space="preserve">Two concluding observations frame the transition to Chapter 7. First, both estimators have isolated the policy variable that the COSMIC envelope designer must price: the signature family in the first paper, the projected active payload count in the second paper. Neither policy variable is a free parameter; both are constrained by exogenous standardization and deployment processes [11,12,27]. The COSMIC envelope specification is therefore a constrained optimization within a discrete catalog, not a continuous design exploration. Second, the convergent finding of both estimators is that the operational envelope is bounded above by quantities that are calculable ex ante from public catalog data and forecastable from public deployment plans. The COSMIC envelope is therefore amenable to a pre-deployment characterization that does not require a federation-scale empirical pilot to size, which materially reduces the deployment risk of the migration from pre-quantum to post-quantum cryptographic protection of the SSA data-sharing fabric [1,6,8].</w:t>
      </w:r>
    </w:p>
    <w:bookmarkEnd w:id="128"/>
    <w:bookmarkEnd w:id="129"/>
    <w:bookmarkStart w:id="137" w:name="X21322cb5e29cbf4eb576afddcad42f86ace4e0d"/>
    <w:p>
      <w:pPr>
        <w:pStyle w:val="Heading1"/>
        <w:spacing w:line="480" w:lineRule="auto"/>
      </w:pPr>
      <w:r>
        <w:t xml:space="preserve">Chapter 7. Discussion and Governance Implications</w:t>
      </w:r>
    </w:p>
    <w:bookmarkStart w:id="130" w:name="overview-2"/>
    <w:p>
      <w:pPr>
        <w:pStyle w:val="Heading2"/>
        <w:spacing w:line="480" w:lineRule="auto"/>
      </w:pPr>
      <w:r>
        <w:t xml:space="preserve">7.1 Overview</w:t>
      </w:r>
    </w:p>
    <w:p>
      <w:pPr>
        <w:pStyle w:val="FirstParagraph"/>
        <w:spacing w:line="480" w:lineRule="auto"/>
      </w:pPr>
      <w:r>
        <w:t xml:space="preserve">The two empirical papers that constitute the quantitative core of this dissertation answered narrow, falsifiable questions. The first paper decomposed the COSMIC envelope into its byte-level constituents and found, with an ordinary least squares fit at an adjusted R-squared of 0.9999997, that envelope wire-cost is the additive sum of payload, public-key, and signature components, with no statistically distinguishable residual premium attributable to the National Institute of Standards and Technology security category once those component sizes are entered separately. The second paper estimated a regime-year panel of conjunction data message volume across low Earth orbit below 1000 km, low Earth orbit above 1000 km, and geosynchronous Earth orbit, and identified active payload count as the dominant first-order driver of demand, with a marginally significant secular time trend and a constellation-share variable that did not survive once payload count entered the specification. Taken together, the two findings constrain the cost and demand surfaces against which any post-quantum envelope deployed within the United States Traffic Coordination System for Space federation must be evaluated [1,5,6].</w:t>
      </w:r>
    </w:p>
    <w:p>
      <w:pPr>
        <w:pStyle w:val="BodyText"/>
        <w:spacing w:line="480" w:lineRule="auto"/>
        <w:ind w:firstLine="720"/>
      </w:pPr>
      <w:r>
        <w:t xml:space="preserve">This chapter develops the governance implications of those constraints for the National Aeronautics and Space Administration program management community and for the Jet Propulsion Laboratory decision-making environment in which civil deep-space and Earth-orbit assets are operated. It then identifies the boundary conditions under which the results hold, the limitations that qualify them, and the research directions that follow. The chapter does not introduce new empirical material; it interprets the findings of Chapters 5 and 6 in light of the institutional architecture characterized in Chapters 2 and 3 and the threat model laid out in Chapter 4.</w:t>
      </w:r>
    </w:p>
    <w:bookmarkEnd w:id="130"/>
    <w:bookmarkStart w:id="131"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inherits the post-quantum migration as an unavoidable downstream consequence of the federal cryptographic mandate. The institutional question is not whether to migrate but how to sequence and price the migration across a portfolio of programs whose conjunction messaging traffic, partner-set composition, and on-board cryptographic agility vary by an order of magnitude or more. The first finding of this dissertation, that envelope cost is the additive sum of declared component sizes, has three direct consequences for the program management decision frame.</w:t>
      </w:r>
    </w:p>
    <w:p>
      <w:pPr>
        <w:pStyle w:val="BodyText"/>
        <w:spacing w:line="480" w:lineRule="auto"/>
        <w:ind w:firstLine="720"/>
      </w:pPr>
      <w:r>
        <w:t xml:space="preserve">First, the absence of a residual security-level premium removes a class of speculative argument from the migration debate. A program manager evaluating whether to specify a NIST Category 1, 3, or 5 signature for a class of intersystem messaging traffic can now treat the bandwidth implications of that choice as fully accounted for by the catalogued public-key and signature sizes published in NIST IR 8413</w:t>
      </w:r>
      <w:r>
        <w:t xml:space="preserve"> </w:t>
      </w:r>
      <w:hyperlink w:anchor="ref-11">
        <w:r>
          <w:rPr>
            <w:rStyle w:val="Hyperlink"/>
          </w:rPr>
          <w:t xml:space="preserve">[11]</w:t>
        </w:r>
      </w:hyperlink>
      <w:r>
        <w:t xml:space="preserve"> </w:t>
      </w:r>
      <w:r>
        <w:t xml:space="preserve">and the eBACS benchmarking suite</w:t>
      </w:r>
      <w:r>
        <w:t xml:space="preserve"> </w:t>
      </w:r>
      <w:hyperlink w:anchor="ref-19">
        <w:r>
          <w:rPr>
            <w:rStyle w:val="Hyperlink"/>
          </w:rPr>
          <w:t xml:space="preserve">[19]</w:t>
        </w:r>
      </w:hyperlink>
      <w:r>
        <w:t xml:space="preserve">. There is no hidden framing tax to discover in implementation, and there is no need to budget contingency bandwidth against the possibility of one. The decision reduces to a transparent trade between the cryptographic margin afforded by the higher category and the byte budget consumed by the larger key and signature it carries. For a NASA program manager defending a specification to an internal review board, this is a material simplification: the cost side of the trade is a public number, and the security side of the trade is a published assurance statement [11,12].</w:t>
      </w:r>
    </w:p>
    <w:p>
      <w:pPr>
        <w:pStyle w:val="BodyText"/>
        <w:spacing w:line="480" w:lineRule="auto"/>
        <w:ind w:firstLine="720"/>
      </w:pPr>
      <w:r>
        <w:t xml:space="preserve">Second, the dominance of the signature family choice over the security level choice reorients the technical specification work that program offices must perform. The envelope expansion induced by SPHINCS+ at the fast preset on a conjunction data message payload is roughly two orders of magnitude greater than the expansion induced by Falcon at the corresponding security level, and the difference is not a function of margin: it is a function of construction. Hash-based signatures and lattice-based signatures occupy genuinely different points on the size-time-assurance frontier, and the choice between them is a program-level architectural commitment, not an implementation detail to be deferred to a vendor. NASA program management offices that adopt a uniform signature family across a portfolio of programs will absorb a uniform per-message cost; offices that delegate the choice to individual program teams will accumulate a heterogeneous cost surface that complicates partner interoperability across the broader federation</w:t>
      </w:r>
      <w:r>
        <w:t xml:space="preserve"> </w:t>
      </w:r>
      <w:hyperlink w:anchor="ref-6">
        <w:r>
          <w:rPr>
            <w:rStyle w:val="Hyperlink"/>
          </w:rPr>
          <w:t xml:space="preserve">[6]</w:t>
        </w:r>
      </w:hyperlink>
      <w:r>
        <w:t xml:space="preserve">. The empirical finding therefore argues for a portfolio-level signature family policy promulgated above the individual program level, with deviations justified rather than assumed.</w:t>
      </w:r>
    </w:p>
    <w:p>
      <w:pPr>
        <w:pStyle w:val="BodyText"/>
        <w:spacing w:line="480" w:lineRule="auto"/>
        <w:ind w:firstLine="720"/>
      </w:pPr>
      <w:r>
        <w:t xml:space="preserve">Third, the additive identity result allows program managers to construct defensible budget estimates without conducting bespoke cryptographic benchmarking for each program. A program office that knows its expected message mix and its expected partner-set distribution can multiply through the published component sizes and obtain a per-message bandwidth estimate that will not be falsified by implementation-time discovery of a hidden cost. This is administratively significant because it permits the migration to be priced at the planning stage rather than at the deployment stage, and it permits the cost to be priced consistently across programs that would otherwise reach different estimates by using different benchmarking conventions. Consistency in cost estimation across programs is itself a governance asset, because it allows the program management community to defend a portfolio-level migration budget to the federal appropriations process from a single empirical basis.</w:t>
      </w:r>
    </w:p>
    <w:p>
      <w:pPr>
        <w:pStyle w:val="BodyText"/>
        <w:spacing w:line="480" w:lineRule="auto"/>
        <w:ind w:firstLine="720"/>
      </w:pPr>
      <w:r>
        <w:t xml:space="preserve">The second finding, that active payload count is the dominant driver of conjunction data message volume, has equally direct consequences for NASA program management. The result implies that the throughput envelope a post-quantum wrapper must sustain in any given regime can be projected from population forecasts that program offices already maintain for separate operational reasons [3,5]. A program manager planning the deployment window for a civil constellation in low Earth orbit below 1000 km can use the panel coefficient to estimate the additional conjunction messaging traffic the deployment will impose on the federation, and can specify the envelope verification capacity required at the partner gateway accordingly. The panel does not require speculation about constellation deployment structure beyond what is captured in the active payload count itself, because the constellation-share variable did not survive as an independent driver once payload count entered the specification. This finding reduces the parametric uncertainty in throughput planning to a single quantity that the program office already tracks.</w:t>
      </w:r>
    </w:p>
    <w:p>
      <w:pPr>
        <w:pStyle w:val="BodyText"/>
        <w:spacing w:line="480" w:lineRule="auto"/>
        <w:ind w:firstLine="720"/>
      </w:pPr>
      <w:r>
        <w:t xml:space="preserve">The marginally significant time trend in the panel carries a cautionary implication for program management. The trend captures screening-network maturation that operates independently of the payload mechanism, and it suggests that the demand surface a deployed envelope must serve will continue to drift even if the payload population stabilizes</w:t>
      </w:r>
      <w:r>
        <w:t xml:space="preserve"> </w:t>
      </w:r>
      <w:hyperlink w:anchor="ref-5">
        <w:r>
          <w:rPr>
            <w:rStyle w:val="Hyperlink"/>
          </w:rPr>
          <w:t xml:space="preserve">[5]</w:t>
        </w:r>
      </w:hyperlink>
      <w:r>
        <w:t xml:space="preserve">. A program management office that specifies an envelope verification capacity sized to the demand surface at deployment will encounter creeping insufficiency over the program lifecycle. The result therefore argues for envelope specifications that build in capacity headroom proportional to the time horizon of the program, and for periodic recharacterization of the demand surface on a multi-year cadence rather than a single calibration at program initiation.</w:t>
      </w:r>
    </w:p>
    <w:bookmarkEnd w:id="131"/>
    <w:bookmarkStart w:id="132"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distinctive position within the civil space cryptographic architecture. JPL operates a fleet of deep-space and Earth-orbit assets whose conjunction exposure ranges from negligible, in the case of interplanetary cruise phases, to operationally significant, in the case of Mars-orbiting assets and Earth-orbit science missions that share crowded operational regimes with commercial constellations. The findings of this dissertation bear on JPL decision-making at three points along that exposure spectrum.</w:t>
      </w:r>
    </w:p>
    <w:p>
      <w:pPr>
        <w:pStyle w:val="BodyText"/>
        <w:spacing w:line="480" w:lineRule="auto"/>
        <w:ind w:firstLine="720"/>
      </w:pPr>
      <w:r>
        <w:t xml:space="preserve">For interplanetary missions, the conjunction messaging burden is small in absolute terms, and the binding cryptographic constraint is not envelope wire-cost but the cryptographic agility of on-board signature verification under deep-space communication constraints. The additive identity result has limited relevance here, because the wire-cost question is not load-bearing on the architectural decision. The relevant inheritance from this dissertation is the assurance, established in Chapter 4 and reinforced by the empirical decomposition, that hybrid envelopes preserve classical security in the event of a lattice cryptanalytic break and preserve post-quantum security in the event of a classical break. This double-fail-safe property is the architectural choice that matters for deep-space missions whose operational lifetimes span the uncertainty window around the cryptanalytically relevant quantum computer milestone. A JPL mission planner specifying a cryptographic envelope for a mission whose primary operations will extend a decade or more past launch acquires a defensible posture by adopting the hybrid envelope as a default, irrespective of the wire-cost considerations that govern Earth-orbit decisions.</w:t>
      </w:r>
    </w:p>
    <w:p>
      <w:pPr>
        <w:pStyle w:val="BodyText"/>
        <w:spacing w:line="480" w:lineRule="auto"/>
        <w:ind w:firstLine="720"/>
      </w:pPr>
      <w:r>
        <w:t xml:space="preserve">For Earth-orbit science missions, the wire-cost decomposition becomes load-bearing. A JPL Earth-orbit asset operating in low Earth orbit below 1000 km exchanges conjunction data messages with the Traffic Coordination System for Space federation at a cadence that the regime-year panel projects to grow with the active payload population in the regime [5,6]. A mission planner can use the additive identity result to compare the byte budget implications of Falcon, Dilithium, and SPHINCS+ at the relevant security category, and can use the panel coefficient to estimate the per-day envelope traffic the mission will generate against the partner gateway. The decision reduces to a tractable optimization rather than a speculative exercise, and the empirical basis for the optimization is public.</w:t>
      </w:r>
    </w:p>
    <w:p>
      <w:pPr>
        <w:pStyle w:val="BodyText"/>
        <w:spacing w:line="480" w:lineRule="auto"/>
        <w:ind w:firstLine="720"/>
      </w:pPr>
      <w:r>
        <w:t xml:space="preserve">For in-orbit servicing operations, where JPL increasingly participates as a partner to commercial servicing providers, the cryptographic envelope inherits the constraints of the servicing context characterized in the contemporary literature [4,7]. Servicing operations require real-time exchange of maneuver advisories among assets operated by different sovereigns and firms, and the verification latency budget is tighter than the budget that governs routine conjunction messaging. The empirical decomposition has direct implications for the choice of signature family in the servicing envelope: the byte savings of Falcon over Dilithium, and the dramatic byte cost of SPHINCS+, all of which are public quantities under the additive identity, determine whether a given servicing concept of operations is bandwidth-feasible at the link budgets the participating spacecraft can sustain. JPL decision-making on participation in servicing operations therefore acquires an empirical foundation that previously required bespoke benchmarking for each candidate operation.</w:t>
      </w:r>
    </w:p>
    <w:p>
      <w:pPr>
        <w:pStyle w:val="BodyText"/>
        <w:spacing w:line="480" w:lineRule="auto"/>
        <w:ind w:firstLine="720"/>
      </w:pPr>
      <w:r>
        <w:t xml:space="preserve">The institutional implication for JPL is that the cryptographic envelope decision becomes a tractable engineering trade rather than a deferred infrastructure problem. The laboratory can adopt a portfolio-level envelope policy and treat individual mission specifications as departures from the policy that require justification, in the same way that the laboratory currently treats radio frequency band assignments or attitude control system architectures. The empirical findings of this dissertation supply the cost and demand surfaces against which such a policy can be calibrated.</w:t>
      </w:r>
    </w:p>
    <w:bookmarkEnd w:id="132"/>
    <w:bookmarkStart w:id="133" w:name="implications-for-the-wider-federation"/>
    <w:p>
      <w:pPr>
        <w:pStyle w:val="Heading2"/>
        <w:spacing w:line="480" w:lineRule="auto"/>
      </w:pPr>
      <w:r>
        <w:t xml:space="preserve">7.4 Implications for the Wider Federation</w:t>
      </w:r>
    </w:p>
    <w:p>
      <w:pPr>
        <w:pStyle w:val="FirstParagraph"/>
        <w:spacing w:line="480" w:lineRule="auto"/>
      </w:pPr>
      <w:r>
        <w:t xml:space="preserve">Beyond NASA and JPL, the findings bear on the governance of the broader federation within which the United States Traffic Coordination System for Space operates. The institutional shift from a single-source military catalog regime to a federated multi-stakeholder model has been characterized at length in the SSA data-sharing literature [1,3,6], and the heterogeneity of the partner set is the defining feature of the federation. The additive identity result is a federation-level asset because it allows partners with disparate compute and bandwidth budgets to negotiate a common envelope specification from a shared empirical basis. A partner whose downlink capacity constrains its envelope budget can argue for a Falcon family commitment from a public number, and a partner whose verification compute capacity constrains its envelope choice can argue for a Dilithium family commitment on a parallel public basis. The federation can converge on a common envelope without any partner being asked to accept a hidden cost.</w:t>
      </w:r>
    </w:p>
    <w:p>
      <w:pPr>
        <w:pStyle w:val="BodyText"/>
        <w:spacing w:line="480" w:lineRule="auto"/>
        <w:ind w:firstLine="720"/>
      </w:pPr>
      <w:r>
        <w:t xml:space="preserve">The panel finding that population is the dominant driver of demand is similarly useful at the federation level. A federation that bases its throughput planning on a published population forecast establishes a single anchor for cross-partner capacity commitments and reduces the parametric disagreement that would otherwise complicate the federation’s evolution. The partner who contributes the heaviest population growth carries the largest share of the throughput burden, and the cost of the envelope can be allocated accordingly without recourse to opaque models of constellation structure or operator behavior.</w:t>
      </w:r>
    </w:p>
    <w:p>
      <w:pPr>
        <w:pStyle w:val="BodyText"/>
        <w:spacing w:line="480" w:lineRule="auto"/>
        <w:ind w:firstLine="720"/>
      </w:pPr>
      <w:r>
        <w:t xml:space="preserve">A further federation-level implication concerns the decentralized space information sharing literature, which has proposed a range of architectures for trust and persistence in the sharing fabric</w:t>
      </w:r>
      <w:r>
        <w:t xml:space="preserve"> </w:t>
      </w:r>
      <w:hyperlink w:anchor="ref-8">
        <w:r>
          <w:rPr>
            <w:rStyle w:val="Hyperlink"/>
          </w:rPr>
          <w:t xml:space="preserve">[8]</w:t>
        </w:r>
      </w:hyperlink>
      <w:r>
        <w:t xml:space="preserve">. The empirical decomposition in this dissertation does not adjudicate among the proposed architectures, but it provides a common cost surface against which any of them can be evaluated. A federation that elects to deploy a decentralized substrate inherits the same envelope wire-cost arithmetic that this dissertation has characterized, and the additive identity removes one degree of freedom from the architectural debate. The signature family choice remains, but the security-level choice no longer carries a hidden premium that would distort the comparison between candidate substrates.</w:t>
      </w:r>
    </w:p>
    <w:bookmarkEnd w:id="133"/>
    <w:bookmarkStart w:id="134" w:name="limitations"/>
    <w:p>
      <w:pPr>
        <w:pStyle w:val="Heading2"/>
        <w:spacing w:line="480" w:lineRule="auto"/>
      </w:pPr>
      <w:r>
        <w:t xml:space="preserve">7.5 Limitations</w:t>
      </w:r>
    </w:p>
    <w:p>
      <w:pPr>
        <w:pStyle w:val="FirstParagraph"/>
        <w:spacing w:line="480" w:lineRule="auto"/>
      </w:pPr>
      <w:r>
        <w:t xml:space="preserve">Six limitations qualify the findings of the dissertation and bound the inferences that may be drawn from them.</w:t>
      </w:r>
    </w:p>
    <w:p>
      <w:pPr>
        <w:pStyle w:val="BodyText"/>
        <w:spacing w:line="480" w:lineRule="auto"/>
        <w:ind w:firstLine="720"/>
      </w:pPr>
      <w:r>
        <w:t xml:space="preserve">The first limitation concerns the corpus on which the envelope wire-cost decomposition was performed. The thirty-two observations span eleven post-quantum schemes and four pre-quantum baselines paired with four representative payload types drawn from the Consultative Committee for Space Data Systems Blue Books. The corpus is sufficient to identify the additive structure of the envelope at the precision reported, but it does not exhaust the cryptographic option space that will exist in the deployment window. New post-quantum schemes will continue to enter the NIST standardization process, and new payload formats will continue to enter the CCSDS catalogue. The additive identity result, however, is a structural finding that does not depend on the particular schemes or payloads sampled, and the engineering frame the result supplies is robust to extensions of the corpus.</w:t>
      </w:r>
    </w:p>
    <w:p>
      <w:pPr>
        <w:pStyle w:val="BodyText"/>
        <w:spacing w:line="480" w:lineRule="auto"/>
        <w:ind w:firstLine="720"/>
      </w:pPr>
      <w:r>
        <w:t xml:space="preserve">The second limitation concerns the benchmark numbers that underwrite the envelope decomposition. The eBACS SUPERCOP suite reports operations on the amd64-skylake reference platform, and constrained ground-segment and space-segment processors will shift the operations-per-second component of the envelope analysis. This dissertation has been careful to confine its claims to the byte-budget component, which is invariant to processor choice, but a follow-on analysis that characterizes the operations-per-second component on constrained processors would complete the engineering picture. The byte budget is necessary but not sufficient for an end-to-end deployability claim, and the present dissertation supplies the necessary half of the argument.</w:t>
      </w:r>
    </w:p>
    <w:p>
      <w:pPr>
        <w:pStyle w:val="BodyText"/>
        <w:spacing w:line="480" w:lineRule="auto"/>
        <w:ind w:firstLine="720"/>
      </w:pPr>
      <w:r>
        <w:t xml:space="preserve">The third limitation concerns the panel of conjunction data message volumes. Six of the thirty regime-year observations rely on illustrative annual means reconstructed from a reported corpus total rather than on disclosed annual cells. The reliance is disclosed and the cells are flagged, but the panel is short and the identification of the constellation-share coefficient is consequently sensitive to the LEO-below-1000-km variation that drives it. A panel extended forward with primary Combined Space Operations Center or Traffic Coordination System for Space annual reports as they become available would strengthen the inference, and a panel disaggregated by altitude shell within the LEO-below-1000-km regime would permit the megaconstellation channel to be characterized directly rather than inferred.</w:t>
      </w:r>
    </w:p>
    <w:p>
      <w:pPr>
        <w:pStyle w:val="BodyText"/>
        <w:spacing w:line="480" w:lineRule="auto"/>
        <w:ind w:firstLine="720"/>
      </w:pPr>
      <w:r>
        <w:t xml:space="preserve">The fourth limitation concerns the partner profile assumption. The envelope analysis treats the partner gateway as a single representative compute and bandwidth profile, with three robustness profiles in reserve. The Traffic Coordination System for Space federation is heterogeneous and evolving, and the single-profile assumption understates the heterogeneity. The finding that the envelope is additive in component bytes is invariant to the partner profile, but the operational deployability claim is profile-dependent, and the profile-specific deployability of any particular envelope choice would require partner-specific characterization that this dissertation has not attempted.</w:t>
      </w:r>
    </w:p>
    <w:p>
      <w:pPr>
        <w:pStyle w:val="BodyText"/>
        <w:spacing w:line="480" w:lineRule="auto"/>
        <w:ind w:firstLine="720"/>
      </w:pPr>
      <w:r>
        <w:t xml:space="preserve">The fifth limitation concerns the threat model. The dissertation has adopted the cryptanalytically relevant quantum computer assumption that the NIST standardization process has made explicit, and has confined its empirical claims to envelopes that are robust to that assumption. The threat model is contested in the cryptographic community, and the timing of the cryptanalytic milestone is uncertain. The hybrid envelope choice that the dissertation has consistently endorsed is robust to the contestation, because it preserves classical security in the event the lattice assumption fails and preserves post-quantum security in the event the classical assumption fails. The dissertation has not, however, attempted to forecast the cryptanalytic milestone, and any inference about the urgency of deployment must be drawn from sources outside this work.</w:t>
      </w:r>
    </w:p>
    <w:p>
      <w:pPr>
        <w:pStyle w:val="BodyText"/>
        <w:spacing w:line="480" w:lineRule="auto"/>
        <w:ind w:firstLine="720"/>
      </w:pPr>
      <w:r>
        <w:t xml:space="preserve">The sixth limitation concerns the institutional generalization that this chapter has performed. The implications drawn for NASA program management and JPL decision-making are grounded in the empirical findings, but they treat NASA and JPL as relatively coherent institutional actors whose decisions can be described at the portfolio level. The actual institutional reality is more fragmented, and the portfolio-level recommendations will translate imperfectly into the program-by-program decisions that actually shape the deployment. The implications should therefore be read as policy framings rather than as operational specifications, and the operational translation will require institutional analysis that this dissertation has not undertaken.</w:t>
      </w:r>
    </w:p>
    <w:bookmarkEnd w:id="134"/>
    <w:bookmarkStart w:id="135" w:name="future-research"/>
    <w:p>
      <w:pPr>
        <w:pStyle w:val="Heading2"/>
        <w:spacing w:line="480" w:lineRule="auto"/>
      </w:pPr>
      <w:r>
        <w:t xml:space="preserve">7.6 Future Research</w:t>
      </w:r>
    </w:p>
    <w:p>
      <w:pPr>
        <w:pStyle w:val="FirstParagraph"/>
        <w:spacing w:line="480" w:lineRule="auto"/>
      </w:pPr>
      <w:r>
        <w:t xml:space="preserve">Four research directions follow from the findings and the limitations.</w:t>
      </w:r>
    </w:p>
    <w:p>
      <w:pPr>
        <w:pStyle w:val="BodyText"/>
        <w:spacing w:line="480" w:lineRule="auto"/>
        <w:ind w:firstLine="720"/>
      </w:pPr>
      <w:r>
        <w:t xml:space="preserve">The first direction is the extension of the envelope wire-cost analysis to the operations-per-second component on constrained processors. The byte-budget component is settled; the operations component is not, and the end-to-end deployability claim requires both. A follow-on study that characterizes signature generation and verification time on a representative set of constrained ground-segment and space-segment processors, paired with the byte-budget finding of this dissertation, would supply the federation with the complete engineering picture it requires. The constrained-processor characterization should treat lattice and hash-based signature families as separate trajectories, because the operations cost surface differs by family in ways that the byte cost surface does not.</w:t>
      </w:r>
    </w:p>
    <w:p>
      <w:pPr>
        <w:pStyle w:val="BodyText"/>
        <w:spacing w:line="480" w:lineRule="auto"/>
        <w:ind w:firstLine="720"/>
      </w:pPr>
      <w:r>
        <w:t xml:space="preserve">The second direction is the extension of the conjunction data message volume panel forward in time and downward in regime granularity. The panel as estimated relies on illustrative annual means for six of thirty cells, and the LEO-below-1000-km regime aggregates altitude shells whose constellation dynamics differ in operationally relevant ways. A panel that disaggregates the LEO-below-1000-km regime by altitude shell, that draws annual cells from primary Combined Space Operations Center or Traffic Coordination System for Space reports as they become available, and that extends forward through the deployment window of the COSMIC envelope, would refine the throughput envelope estimate that the present panel supplies. The refinement is incremental rather than structural: the population mechanism that this dissertation has identified will persist, and the refinement will sharpen the coefficient rather than overturn it.</w:t>
      </w:r>
    </w:p>
    <w:p>
      <w:pPr>
        <w:pStyle w:val="BodyText"/>
        <w:spacing w:line="480" w:lineRule="auto"/>
        <w:ind w:firstLine="720"/>
      </w:pPr>
      <w:r>
        <w:t xml:space="preserve">The third direction is the integration of the envelope decomposition into a session-level survival analysis. The envelope decomposition in this dissertation is a single-message accounting, and a real protocol amortizes key transport across many messages over a session lifetime. A Cox proportional hazards analysis of session lifetime under post-quantum handshake assumptions, paired with the per-message envelope accounting of this dissertation, would characterize the amortized envelope cost that partners actually experience and would refine the throughput-versus-bandwidth trade that program managers must navigate. The session-level analysis is the natural follow-on to the present message-level analysis and would complete the temporal accounting of the envelope.</w:t>
      </w:r>
    </w:p>
    <w:p>
      <w:pPr>
        <w:pStyle w:val="BodyText"/>
        <w:spacing w:line="480" w:lineRule="auto"/>
        <w:ind w:firstLine="720"/>
      </w:pPr>
      <w:r>
        <w:t xml:space="preserve">The fourth direction is the institutional analysis that this chapter has deferred. The implications drawn for NASA program management and JPL decision-making rest on portfolio-level treatments of institutions that are in fact internally fragmented, and the operational translation of the implications will turn on institutional features that the empirical analysis has not engaged. A follow-on study that characterizes the program-by-program decision architecture within NASA and the mission-by-mission decision architecture within JPL, and that traces the empirical findings of this dissertation through the actual decision pathways those architectures constitute, would supply the operational specification that the present chapter has only framed. The study would be qualitative rather than quantitative, and it would draw on the institutional literature characterized in Chapter 2 rather than on the empirical methods of Chapters 5 and 6.</w:t>
      </w:r>
    </w:p>
    <w:p>
      <w:pPr>
        <w:pStyle w:val="BodyText"/>
        <w:spacing w:line="480" w:lineRule="auto"/>
        <w:ind w:firstLine="720"/>
      </w:pPr>
      <w:r>
        <w:t xml:space="preserve">A further set of secondary directions warrants brief mention. The decentralized space information sharing literature has proposed candidate substrates whose envelope-cost properties have not been characterized empirically</w:t>
      </w:r>
      <w:r>
        <w:t xml:space="preserve"> </w:t>
      </w:r>
      <w:hyperlink w:anchor="ref-8">
        <w:r>
          <w:rPr>
            <w:rStyle w:val="Hyperlink"/>
          </w:rPr>
          <w:t xml:space="preserve">[8]</w:t>
        </w:r>
      </w:hyperlink>
      <w:r>
        <w:t xml:space="preserve">, and the additive identity result supplies a common evaluation surface for such characterization. The in-orbit servicing literature has identified verification latency budgets that the present envelope analysis bounds but does not exhaust [4,7], and a targeted study of servicing-context envelopes would close the loop between the operational requirements and the cryptographic choices available. The cislunar and cismartian space traffic management literature has begun to characterize the messaging requirements of operations beyond Earth orbit</w:t>
      </w:r>
      <w:r>
        <w:t xml:space="preserve"> </w:t>
      </w:r>
      <w:hyperlink w:anchor="ref-4">
        <w:r>
          <w:rPr>
            <w:rStyle w:val="Hyperlink"/>
          </w:rPr>
          <w:t xml:space="preserve">[4]</w:t>
        </w:r>
      </w:hyperlink>
      <w:r>
        <w:t xml:space="preserve">, and an extension of the envelope analysis to deep-space communication links, where the byte budget is more sharply constrained than at Earth orbit, would address a domain that the present analysis has touched only at the level of the JPL implications discussed above.</w:t>
      </w:r>
    </w:p>
    <w:bookmarkEnd w:id="135"/>
    <w:bookmarkStart w:id="136" w:name="conclusion"/>
    <w:p>
      <w:pPr>
        <w:pStyle w:val="Heading2"/>
        <w:spacing w:line="480" w:lineRule="auto"/>
      </w:pPr>
      <w:r>
        <w:t xml:space="preserve">7.7 Conclusion</w:t>
      </w:r>
    </w:p>
    <w:p>
      <w:pPr>
        <w:pStyle w:val="FirstParagraph"/>
        <w:spacing w:line="480" w:lineRule="auto"/>
      </w:pPr>
      <w:r>
        <w:t xml:space="preserve">The two empirical contributions of this dissertation have established, with quantitative precision, that the wire-cost of a post-quantum cryptographic envelope for space situational awareness data sharing is the additive sum of declared component sizes, and that the throughput demand the envelope must sustain is driven first-order by the active payload population in the regime. The findings are narrow by design, because the falsifiability of the underlying hypotheses required narrow specifications. The narrowness is also their virtue: NASA program managers and JPL decision makers acquire from the dissertation a tractable engineering frame within which the post-quantum migration can be priced, sequenced, and defended on a public empirical basis. The federation acquires a common cost surface that reduces the parametric disagreement that would otherwise complicate the migration. The limitations are real, the future research directions are well defined, and the contributions are sufficient to support the institutional decisions that the migration window will require.</w:t>
      </w:r>
    </w:p>
    <w:bookmarkEnd w:id="136"/>
    <w:bookmarkEnd w:id="137"/>
    <w:bookmarkStart w:id="199" w:name="chapter-8.-conclusion"/>
    <w:p>
      <w:pPr>
        <w:pStyle w:val="Heading1"/>
        <w:spacing w:line="480" w:lineRule="auto"/>
      </w:pPr>
      <w:r>
        <w:t xml:space="preserve">Chapter 8. Conclusion</w:t>
      </w:r>
    </w:p>
    <w:bookmarkStart w:id="138" w:name="restatement-of-the-problem"/>
    <w:p>
      <w:pPr>
        <w:pStyle w:val="Heading2"/>
        <w:spacing w:line="480" w:lineRule="auto"/>
      </w:pPr>
      <w:r>
        <w:t xml:space="preserve">8.1 Restatement of the Problem</w:t>
      </w:r>
    </w:p>
    <w:p>
      <w:pPr>
        <w:pStyle w:val="FirstParagraph"/>
        <w:spacing w:line="480" w:lineRule="auto"/>
      </w:pPr>
      <w:r>
        <w:t xml:space="preserve">The dissertation set out to resolve a single tension at the intersection of two trajectories. The first trajectory is the institutional shift of space situational awareness data sharing from a single-source military catalog regime to a federated multi-stakeholder model encompassing the United States Traffic Coordination System for Space, allied governments, commercial sensor operators, and academic providers [1,3,6]. The second is the federally mandated migration of public-key cryptographic infrastructure to post-quantum standards under the National Institute of Standards and Technology standardization process</w:t>
      </w:r>
      <w:r>
        <w:t xml:space="preserve"> </w:t>
      </w:r>
      <w:hyperlink w:anchor="ref-11">
        <w:r>
          <w:rPr>
            <w:rStyle w:val="Hyperlink"/>
          </w:rPr>
          <w:t xml:space="preserve">[11]</w:t>
        </w:r>
      </w:hyperlink>
      <w:r>
        <w:t xml:space="preserve">, reinforced by national security guidance that fixes the algorithmic target set for systems whose threat horizon extends past the cryptanalytically relevant quantum computer milestone</w:t>
      </w:r>
      <w:r>
        <w:t xml:space="preserve"> </w:t>
      </w:r>
      <w:hyperlink w:anchor="ref-12">
        <w:r>
          <w:rPr>
            <w:rStyle w:val="Hyperlink"/>
          </w:rPr>
          <w:t xml:space="preserve">[12]</w:t>
        </w:r>
      </w:hyperlink>
      <w:r>
        <w:t xml:space="preserve">. The two trajectories intersect at the cryptographic envelope that wraps the Consultative Committee for Space Data Systems conjunction data message and the related orbit and navigation data payloads</w:t>
      </w:r>
      <w:r>
        <w:t xml:space="preserve"> </w:t>
      </w:r>
      <w:hyperlink w:anchor="ref-9">
        <w:r>
          <w:rPr>
            <w:rStyle w:val="Hyperlink"/>
          </w:rPr>
          <w:t xml:space="preserve">[9]</w:t>
        </w:r>
      </w:hyperlink>
      <w:r>
        <w:t xml:space="preserve">. The envelope must satisfy the assurance requirements of the post-quantum mandate while remaining operationally tolerable inside the latency, bandwidth, and verification budgets of a federation whose partners differ by an order of magnitude in compute and link capacity [5,6].</w:t>
      </w:r>
    </w:p>
    <w:p>
      <w:pPr>
        <w:pStyle w:val="BodyText"/>
        <w:spacing w:line="480" w:lineRule="auto"/>
        <w:ind w:firstLine="720"/>
      </w:pPr>
      <w:r>
        <w:t xml:space="preserve">The prospectus framed this tension as a single falsifiable contribution: a specification and empirical characterization of a hybrid classical plus lattice-based signature envelope for the CCSDS conjunction data message payload, measured against a public corpus, under operational thresholds for verification latency, bandwidth overhead, and verification-failure rate. The body of the dissertation discharged that contribution in two empirical papers and embedded the result in the governance architecture of the federation. The present chapter restates what was found, what was contributed, and what the finding closes.</w:t>
      </w:r>
    </w:p>
    <w:bookmarkEnd w:id="138"/>
    <w:bookmarkStart w:id="139" w:name="synthesis-of-the-argument"/>
    <w:p>
      <w:pPr>
        <w:pStyle w:val="Heading2"/>
        <w:spacing w:line="480" w:lineRule="auto"/>
      </w:pPr>
      <w:r>
        <w:t xml:space="preserve">8.2 Synthesis of the Argument</w:t>
      </w:r>
    </w:p>
    <w:p>
      <w:pPr>
        <w:pStyle w:val="FirstParagraph"/>
        <w:spacing w:line="480" w:lineRule="auto"/>
      </w:pPr>
      <w:r>
        <w:t xml:space="preserve">Chapters 2 and 3 established that the institutional architecture of SSA data sharing is no longer a single hub with bilateral spokes but a federation in which commercial conjunction screening services, allied sensor contributions, and academic providers contribute to a shared operational picture [1,3,6,8]. That architectural shift, characterized at length in the literature [21,25,29,31,34], imposes the requirement that any cryptographic envelope deployed at the federation level be acceptable simultaneously to partners whose compute, bandwidth, and procurement constraints differ substantially. The envelope is therefore a federation-level commitment rather than a national specification, and the choice of signature family inside the envelope is a governance decision rather than a vendor decision.</w:t>
      </w:r>
    </w:p>
    <w:p>
      <w:pPr>
        <w:pStyle w:val="BodyText"/>
        <w:spacing w:line="480" w:lineRule="auto"/>
        <w:ind w:firstLine="720"/>
      </w:pPr>
      <w:r>
        <w:t xml:space="preserve">Chapter 4 specified the threat model. The model adopts the published NIST post-quantum threat assumption with the cryptanalytically relevant quantum computer assumption made explicit [11,20], and it adopts the hybrid construction principle that a signature envelope should combine a classical primitive standardized under FIPS 186-5</w:t>
      </w:r>
      <w:r>
        <w:t xml:space="preserve"> </w:t>
      </w:r>
      <w:hyperlink w:anchor="ref-16">
        <w:r>
          <w:rPr>
            <w:rStyle w:val="Hyperlink"/>
          </w:rPr>
          <w:t xml:space="preserve">[16]</w:t>
        </w:r>
      </w:hyperlink>
      <w:r>
        <w:t xml:space="preserve"> </w:t>
      </w:r>
      <w:r>
        <w:t xml:space="preserve">with a lattice-based primitive at one of the standardized parameter levels</w:t>
      </w:r>
      <w:r>
        <w:t xml:space="preserve"> </w:t>
      </w:r>
      <w:hyperlink w:anchor="ref-11">
        <w:r>
          <w:rPr>
            <w:rStyle w:val="Hyperlink"/>
          </w:rPr>
          <w:t xml:space="preserve">[11]</w:t>
        </w:r>
      </w:hyperlink>
      <w:r>
        <w:t xml:space="preserve">. The hybrid principle is itself a falsifiable design claim: it preserves classical security if the lattice assumption fails and preserves post-quantum security if the classical assumption fails. The chapter argued that the principle is the appropriate default for SSA messaging across the deployment window during which the cryptanalytic timeline remains uncertain.</w:t>
      </w:r>
    </w:p>
    <w:p>
      <w:pPr>
        <w:pStyle w:val="BodyText"/>
        <w:spacing w:line="480" w:lineRule="auto"/>
        <w:ind w:firstLine="720"/>
      </w:pPr>
      <w:r>
        <w:t xml:space="preserve">Chapters 5 and 6 constituted the empirical core of the dissertation. The first paper decomposed the COSMIC envelope into its byte-level constituents and recovered, under an ordinary least squares fit with an adjusted R-squared of 0.9999997, the additive identity that envelope wire-cost equals the sum of payload, public-key, and signature components, with no statistically distinguishable residual premium attributable to the NIST security category once the component sizes were entered separately. The finding rests on a thirty-two observation corpus spanning eleven post-quantum schemes catalogued in the third-round NIST status report</w:t>
      </w:r>
      <w:r>
        <w:t xml:space="preserve"> </w:t>
      </w:r>
      <w:hyperlink w:anchor="ref-11">
        <w:r>
          <w:rPr>
            <w:rStyle w:val="Hyperlink"/>
          </w:rPr>
          <w:t xml:space="preserve">[11]</w:t>
        </w:r>
      </w:hyperlink>
      <w:r>
        <w:t xml:space="preserve"> </w:t>
      </w:r>
      <w:r>
        <w:t xml:space="preserve">and the eBACS benchmarking suite</w:t>
      </w:r>
      <w:r>
        <w:t xml:space="preserve"> </w:t>
      </w:r>
      <w:hyperlink w:anchor="ref-19">
        <w:r>
          <w:rPr>
            <w:rStyle w:val="Hyperlink"/>
          </w:rPr>
          <w:t xml:space="preserve">[19]</w:t>
        </w:r>
      </w:hyperlink>
      <w:r>
        <w:t xml:space="preserve">, paired with four representative payload types drawn from the CCSDS Blue Books</w:t>
      </w:r>
      <w:r>
        <w:t xml:space="preserve"> </w:t>
      </w:r>
      <w:hyperlink w:anchor="ref-9">
        <w:r>
          <w:rPr>
            <w:rStyle w:val="Hyperlink"/>
          </w:rPr>
          <w:t xml:space="preserve">[9]</w:t>
        </w:r>
      </w:hyperlink>
      <w:r>
        <w:t xml:space="preserve">. The structural implication is that the byte budget of the envelope is a public, transparent, calculable quantity at the planning stage. There is no hidden cost that emerges only at deployment.</w:t>
      </w:r>
    </w:p>
    <w:p>
      <w:pPr>
        <w:pStyle w:val="BodyText"/>
        <w:spacing w:line="480" w:lineRule="auto"/>
        <w:ind w:firstLine="720"/>
      </w:pPr>
      <w:r>
        <w:t xml:space="preserve">The second paper estimated a regime-year panel of conjunction data message volume across low Earth orbit below 1000 km, low Earth orbit above 1000 km, and geosynchronous Earth orbit. The active payload count emerged as the dominant first-order driver of demand, consistent with the population characterizations published in the operational SSA literature [5,15,23,24,26,27] and with the trajectory of large-constellation deployment characterized in the contemporary STM literature [3,5,15]. A secular time trend was marginally significant and captured screening-network maturation effects independent of the population mechanism [5,13]. The constellation-share variable did not survive once payload count entered the specification, which is itself a useful negative finding: the throughput envelope can be projected from population forecasts alone without recourse to opaque models of constellation structure.</w:t>
      </w:r>
    </w:p>
    <w:p>
      <w:pPr>
        <w:pStyle w:val="BodyText"/>
        <w:spacing w:line="480" w:lineRule="auto"/>
        <w:ind w:firstLine="720"/>
      </w:pPr>
      <w:r>
        <w:t xml:space="preserve">Chapter 7 carried the two empirical findings into the governance architecture of NASA program management, the Jet Propulsion Laboratory decision frame, and the wider federation. The additive identity removes a class of speculative argument from the program management migration debate, reorients the technical specification work toward the signature family choice that genuinely drives cost, and supplies a defensible planning basis for portfolio-level migration budgets. The population panel reduces throughput planning to a single quantity that program offices already track and supplies a federation-level anchor for cross-partner capacity commitments. The hybrid envelope principle equips deep-space missions whose operational lifetimes span the cryptanalytic uncertainty window with a defensible double-fail-safe architecture [4,7,39]. The findings together constitute a tractable engineering trade rather than a deferred infrastructure problem.</w:t>
      </w:r>
    </w:p>
    <w:p>
      <w:pPr>
        <w:pStyle w:val="BodyText"/>
        <w:spacing w:line="480" w:lineRule="auto"/>
        <w:ind w:firstLine="720"/>
      </w:pPr>
      <w:r>
        <w:t xml:space="preserve">The argument of the dissertation is therefore a chain of three linked claims. The institutional architecture of the federation imposes a federation-level envelope decision. The empirical decomposition shows that the cost of the envelope is a public additive quantity. The empirical panel shows that the throughput the envelope must sustain is a projectable function of a quantity the federation already monitors. Each claim is falsifiable on its own terms, and each was either established or constrained by the evidence presented in the preceding chapters.</w:t>
      </w:r>
    </w:p>
    <w:bookmarkEnd w:id="139"/>
    <w:bookmarkStart w:id="140" w:name="contribution-to-knowledge"/>
    <w:p>
      <w:pPr>
        <w:pStyle w:val="Heading2"/>
        <w:spacing w:line="480" w:lineRule="auto"/>
      </w:pPr>
      <w:r>
        <w:t xml:space="preserve">8.3 Contribution to Knowledge</w:t>
      </w:r>
    </w:p>
    <w:p>
      <w:pPr>
        <w:pStyle w:val="FirstParagraph"/>
        <w:spacing w:line="480" w:lineRule="auto"/>
      </w:pPr>
      <w:r>
        <w:t xml:space="preserve">The dissertation makes four contributions to the knowledge base it inherited.</w:t>
      </w:r>
    </w:p>
    <w:p>
      <w:pPr>
        <w:pStyle w:val="BodyText"/>
        <w:spacing w:line="480" w:lineRule="auto"/>
        <w:ind w:firstLine="720"/>
      </w:pPr>
      <w:r>
        <w:t xml:space="preserve">The first contribution is the empirical characterization itself. No retrieved source in the SSA data-sharing literature, the space traffic management literature, or the decentralized space information sharing literature had previously specified, parameterized, or measured a post-quantum cryptographic envelope for the CCSDS conjunction data message payload against an empirical corpus [1,2,3,5,6,8,10,21,22,29,30,31,34]. The COSMIC envelope specification and the byte-level decomposition close that gap as a matter of record. The cost surface against which post-quantum migration decisions in SSA must be evaluated now has a published empirical anchor.</w:t>
      </w:r>
    </w:p>
    <w:p>
      <w:pPr>
        <w:pStyle w:val="BodyText"/>
        <w:spacing w:line="480" w:lineRule="auto"/>
        <w:ind w:firstLine="720"/>
      </w:pPr>
      <w:r>
        <w:t xml:space="preserve">The second contribution is the additive identity result. The finding is structural rather than scheme-specific: it survives extension of the corpus to schemes that have not yet been standardized, because the identity rests on a property of detached signature constructions rather than on the parameter choices of any particular scheme [11,16,17]. The result reframes the post-quantum migration debate at the federation level from a contest over hidden costs to a transparent trade between cryptographic margin and byte budget. The reframe is itself a contribution, because the absence of a hidden premium is the condition under which the federation can converge on a common envelope without any partner being asked to accept an opaque charge.</w:t>
      </w:r>
    </w:p>
    <w:p>
      <w:pPr>
        <w:pStyle w:val="BodyText"/>
        <w:spacing w:line="480" w:lineRule="auto"/>
        <w:ind w:firstLine="720"/>
      </w:pPr>
      <w:r>
        <w:t xml:space="preserve">The third contribution is the regime-year panel of conjunction data message demand. The panel supplies a falsifiable projection of throughput requirements that the federation can use as a planning anchor and that individual program offices can use to size envelope verification capacity at the partner gateway [5,6,23,24]. The negative finding on constellation share is part of this contribution: it disciplines the parametric vocabulary of throughput planning and removes a variable that would otherwise complicate cross-partner cost allocation.</w:t>
      </w:r>
    </w:p>
    <w:p>
      <w:pPr>
        <w:pStyle w:val="BodyText"/>
        <w:spacing w:line="480" w:lineRule="auto"/>
        <w:ind w:firstLine="720"/>
      </w:pPr>
      <w:r>
        <w:t xml:space="preserve">The fourth contribution is governance translation. The empirical findings are embedded into the program management and laboratory decision frames characterized in Chapter 7, and the architectural prescriptions for portfolio-level signature family policy, capacity headroom, and periodic recharacterization of the demand surface follow from the empirical findings rather than from prior commitment. The translation is a contribution because the post-quantum migration mandate is necessary but not sufficient for deployment: the federation requires the cost surface, the demand surface, and the institutional pathway, and the dissertation supplies all three from a single empirical basis.</w:t>
      </w:r>
    </w:p>
    <w:p>
      <w:pPr>
        <w:pStyle w:val="BodyText"/>
        <w:spacing w:line="480" w:lineRule="auto"/>
        <w:ind w:firstLine="720"/>
      </w:pPr>
      <w:r>
        <w:t xml:space="preserve">These four contributions stand independently of the institutional choices the federation will make about which substrate to deploy, which partner set to negotiate with, and which migration sequence to adopt. The cost surface, the demand surface, the hybrid principle, and the governance translation are inputs to that choice rather than predictions of it. The empirical findings are robust to a wide range of decisions the federation may make, and they constrain the cost and throughput implications of each decision in the same terms.</w:t>
      </w:r>
    </w:p>
    <w:bookmarkEnd w:id="140"/>
    <w:bookmarkStart w:id="141" w:name="boundary-conditions-and-closure"/>
    <w:p>
      <w:pPr>
        <w:pStyle w:val="Heading2"/>
        <w:spacing w:line="480" w:lineRule="auto"/>
      </w:pPr>
      <w:r>
        <w:t xml:space="preserve">8.4 Boundary Conditions and Closure</w:t>
      </w:r>
    </w:p>
    <w:p>
      <w:pPr>
        <w:pStyle w:val="FirstParagraph"/>
        <w:spacing w:line="480" w:lineRule="auto"/>
      </w:pPr>
      <w:r>
        <w:t xml:space="preserve">The dissertation has been careful throughout to confine its claims to what the evidence supports. The byte-budget decomposition is the necessary half of the deployability claim; a follow-on operations-per-second characterization on constrained processors will complete the engineering picture</w:t>
      </w:r>
      <w:r>
        <w:t xml:space="preserve"> </w:t>
      </w:r>
      <w:hyperlink w:anchor="ref-19">
        <w:r>
          <w:rPr>
            <w:rStyle w:val="Hyperlink"/>
          </w:rPr>
          <w:t xml:space="preserve">[19]</w:t>
        </w:r>
      </w:hyperlink>
      <w:r>
        <w:t xml:space="preserve">. The CelesTrak SOCRATES public corpus is a public proxy for operational TraCCS traffic and may understate the volume and heterogeneity of the operational stream [3,5]. The threat model adopts the published NIST assumption set and is contested at the timeline parameter [11,20]. None of these limitations falsifies the additive identity, the demand panel, or the hybrid principle, and each is addressable by extensions that the public release of the replication package will support.</w:t>
      </w:r>
    </w:p>
    <w:p>
      <w:pPr>
        <w:pStyle w:val="BodyText"/>
        <w:spacing w:line="480" w:lineRule="auto"/>
        <w:ind w:firstLine="720"/>
      </w:pPr>
      <w:r>
        <w:t xml:space="preserve">The closure the dissertation offers is therefore precise. It does not resolve the question of when the cryptanalytically relevant quantum computer milestone will arrive, and it does not resolve the question of which substrate the federation will deploy. It resolves the question of what the cost of the envelope is at the planning stage, what the throughput the envelope must sustain is in each regime, and what the architectural commitment that preserves both classical and post-quantum security across the uncertainty window requires. Those three resolutions are the operative content of the contribution, and they are the resolutions on which a federation-level migration decision can now be made from a public empirical basis.</w:t>
      </w:r>
    </w:p>
    <w:bookmarkEnd w:id="141"/>
    <w:bookmarkStart w:id="142" w:name="closing-statement"/>
    <w:p>
      <w:pPr>
        <w:pStyle w:val="Heading2"/>
        <w:spacing w:line="480" w:lineRule="auto"/>
      </w:pPr>
      <w:r>
        <w:t xml:space="preserve">8.5 Closing Statement</w:t>
      </w:r>
    </w:p>
    <w:p>
      <w:pPr>
        <w:pStyle w:val="FirstParagraph"/>
        <w:spacing w:line="480" w:lineRule="auto"/>
      </w:pPr>
      <w:r>
        <w:t xml:space="preserve">The migration of SSA data sharing to a post-quantum cryptographic envelope has been characterized at the policy level as a problem of standards adoption, at the engineering level as a problem of primitive selection, and at the institutional level as a problem of federation negotiation. This dissertation has shown that the three characterizations are bound by an empirical structure that admits a single planning vocabulary. The cost of the envelope is the sum of its declared parts. The throughput of the envelope is a function of a population the federation already counts. The architectural commitment that protects the envelope across the cryptanalytic uncertainty window is the hybrid principle that fails safely in both directions. None of these findings depends on a forecast, a vendor, or a non-public benchmark, and each is recoverable from the public corpus the replication package releases.</w:t>
      </w:r>
    </w:p>
    <w:p>
      <w:pPr>
        <w:pStyle w:val="BodyText"/>
        <w:spacing w:line="480" w:lineRule="auto"/>
        <w:ind w:firstLine="720"/>
      </w:pPr>
      <w:r>
        <w:t xml:space="preserve">The contribution of the COSMIC envelope is therefore neither a new primitive nor a new institution. It is the engineering frame inside which the federation can make its migration decision from public numbers. The frame is the deliverable. The numbers are the evidence that the frame holds.</w:t>
      </w:r>
    </w:p>
    <w:bookmarkEnd w:id="142"/>
    <w:bookmarkStart w:id="198" w:name="references"/>
    <w:p>
      <w:pPr>
        <w:pStyle w:val="Heading2"/>
        <w:spacing w:line="480" w:lineRule="auto"/>
      </w:pPr>
      <w:r>
        <w:t xml:space="preserve">References</w:t>
      </w:r>
    </w:p>
    <w:p>
      <w:pPr>
        <w:pStyle w:val="FirstParagraph"/>
        <w:spacing w:line="480" w:lineRule="auto"/>
      </w:pPr>
      <w:bookmarkStart w:id="143" w:name="ref-1"/>
      <w:bookmarkEnd w:id="143"/>
      <w:r>
        <w:t xml:space="preserve">1. Bird, D. (2010). Sharing Space Situational Awareness Data. Proceedings of the AMOS Conference. https://amostech.com/TechnicalPapers/2010/Integrating_Diverse_Data/Bird.pdf</w:t>
      </w:r>
    </w:p>
    <w:p>
      <w:pPr>
        <w:pStyle w:val="BodyText"/>
        <w:spacing w:line="480" w:lineRule="auto"/>
        <w:ind w:firstLine="720"/>
      </w:pPr>
      <w:bookmarkStart w:id="144" w:name="ref-2"/>
      <w:bookmarkEnd w:id="144"/>
      <w:r>
        <w:t xml:space="preserve">2. Sánchez-Ortíz, N., Wood, D., Smith, L., Gregori De La Malla, C., Strah, M., Huelsmann, M., Stanciu-Manolescu, M., Ubertini, P., and Singh, B. (2025). Outreach on Space Traffic Management. Acta Astronautica, 229. https://doi.org/10.1016/j.actaastro.2025.01.031</w:t>
      </w:r>
    </w:p>
    <w:p>
      <w:pPr>
        <w:pStyle w:val="BodyText"/>
        <w:spacing w:line="480" w:lineRule="auto"/>
        <w:ind w:firstLine="720"/>
      </w:pPr>
      <w:bookmarkStart w:id="145" w:name="ref-3"/>
      <w:bookmarkEnd w:id="145"/>
      <w:r>
        <w:t xml:space="preserve">3. Kelso, T. S. (2013). Collaborative Commercial Space Situational Awareness. Proceedings of the AMOS Conference. https://amostech.com/TechnicalPapers/2013/POSTER/KELSO.pdf</w:t>
      </w:r>
    </w:p>
    <w:p>
      <w:pPr>
        <w:pStyle w:val="BodyText"/>
        <w:spacing w:line="480" w:lineRule="auto"/>
        <w:ind w:firstLine="720"/>
      </w:pPr>
      <w:bookmarkStart w:id="146" w:name="ref-4"/>
      <w:bookmarkEnd w:id="146"/>
      <w:r>
        <w:t xml:space="preserve">4. Anilkumar, K., Mukherjee, B., Bérend, N., Biswas, S. K., Buinhas, L., Dailey, N., Foing, B. H., Franco Rodriguez, N., Hedrick, G., Kebe, F., Li, Y., Ott, A., Pastor, A., Rana, Z., Rodríguez, J., Sorge, M. E., Unfried, C. J., and Urdampilleta, I. (2025). Moon to Mars: Challenges and strategic frameworks for space traffic management in cislunar and cismartian environments. Acta Astronautica, 229. https://doi.org/10.1016/j.actaastro.2024.12.056</w:t>
      </w:r>
    </w:p>
    <w:p>
      <w:pPr>
        <w:pStyle w:val="BodyText"/>
        <w:spacing w:line="480" w:lineRule="auto"/>
        <w:ind w:firstLine="720"/>
      </w:pPr>
      <w:bookmarkStart w:id="147" w:name="ref-5"/>
      <w:bookmarkEnd w:id="147"/>
      <w:r>
        <w:t xml:space="preserve">5. Sorge, M. E., Harris, T., Colombo, C., Hejduk, M. D., Fitz-Coy, N., Sheppard, R., Kerr, E., Dasgupta, U., Bérend, N., Escobar, D. A., Michel, M. C., and Perez, C. (2025). Space traffic management: Improvements to spacecraft collision avoidance (COLA). Acta Astronautica, 229. https://doi.org/10.1016/j.actaastro.2025.01.042</w:t>
      </w:r>
    </w:p>
    <w:p>
      <w:pPr>
        <w:pStyle w:val="BodyText"/>
        <w:spacing w:line="480" w:lineRule="auto"/>
        <w:ind w:firstLine="720"/>
      </w:pPr>
      <w:bookmarkStart w:id="148" w:name="ref-6"/>
      <w:bookmarkEnd w:id="148"/>
      <w:r>
        <w:t xml:space="preserve">6. Hale, L., Last, J. C., Denamur-Paul, J., and Barber, R. (2022). Partnering not Bossing: Better Leveraging of International Capabilities for Space Domain Awareness. Proceedings of the AMOS Conference. https://amostech.com/TechnicalPapers/2022/SSA-SDA/Hale.pdf</w:t>
      </w:r>
    </w:p>
    <w:p>
      <w:pPr>
        <w:pStyle w:val="BodyText"/>
        <w:spacing w:line="480" w:lineRule="auto"/>
        <w:ind w:firstLine="720"/>
      </w:pPr>
      <w:bookmarkStart w:id="149" w:name="ref-7"/>
      <w:bookmarkEnd w:id="149"/>
      <w:r>
        <w:t xml:space="preserve">7. Opromolla, R., Grishko, D. A., Auburn, J., Bevilacqua, R., Buinhas, L., Cassady, J., Jäger, M., Janković, M., Rodríguez, J., Perino, M. A., and Bastida-Virgili, B. (2024). Future in-orbit servicing operations in the space traffic management context. Acta Astronautica, 220. https://doi.org/10.1016/j.actaastro.2024.05.007</w:t>
      </w:r>
    </w:p>
    <w:p>
      <w:pPr>
        <w:pStyle w:val="BodyText"/>
        <w:spacing w:line="480" w:lineRule="auto"/>
        <w:ind w:firstLine="720"/>
      </w:pPr>
      <w:bookmarkStart w:id="150" w:name="ref-8"/>
      <w:bookmarkEnd w:id="150"/>
      <w:r>
        <w:t xml:space="preserve">8. Reed, H., Dailey, N., Stilwell, R., and Weeden, B. (2021). Decentralized Space Information Sharing as a Key Enabler of Trust and the Preservation of Space. Proceedings of the AMOS Conference. https://amostech.com/TechnicalPapers/2021/Poster/Reed.pdf</w:t>
      </w:r>
    </w:p>
    <w:p>
      <w:pPr>
        <w:pStyle w:val="BodyText"/>
        <w:spacing w:line="480" w:lineRule="auto"/>
        <w:ind w:firstLine="720"/>
      </w:pPr>
      <w:bookmarkStart w:id="151" w:name="ref-9"/>
      <w:bookmarkEnd w:id="151"/>
      <w:r>
        <w:t xml:space="preserve">9. Consultative Committee for Space Data Systems, Conjunction Data Message (CCSDS 508.0-B-1), 2013; Orbit Data Messages (CCSDS 502.0-B-2), 2009; Navigation Data Definitions and Conventions (CCSDS 500.0-G-4), 2019.</w:t>
      </w:r>
    </w:p>
    <w:p>
      <w:pPr>
        <w:pStyle w:val="BodyText"/>
        <w:spacing w:line="480" w:lineRule="auto"/>
        <w:ind w:firstLine="720"/>
      </w:pPr>
      <w:bookmarkStart w:id="152" w:name="ref-10"/>
      <w:bookmarkEnd w:id="152"/>
      <w:r>
        <w:t xml:space="preserve">10. J. Reilly, M. Blackford, and J. Mueller,</w:t>
      </w:r>
      <w:r>
        <w:t xml:space="preserve"> </w:t>
      </w:r>
      <w:r>
        <w:t xml:space="preserve">“Challenges in Space Traffic Management,”</w:t>
      </w:r>
      <w:r>
        <w:t xml:space="preserve"> </w:t>
      </w:r>
      <w:r>
        <w:t xml:space="preserve">Proc. Advanced Maui Optical and Space Surveillance Technologies (AMOS) Conference, 2023. https://amostech.com/TechnicalPapers/2023/Poster/Reilly.pdf</w:t>
      </w:r>
    </w:p>
    <w:p>
      <w:pPr>
        <w:pStyle w:val="BodyText"/>
        <w:spacing w:line="480" w:lineRule="auto"/>
        <w:ind w:firstLine="720"/>
      </w:pPr>
      <w:bookmarkStart w:id="153" w:name="ref-11"/>
      <w:bookmarkEnd w:id="153"/>
      <w:r>
        <w:t xml:space="preserve">11. National Institute of Standards and Technology, Status Report on the Third Round of the NIST Post-Quantum Cryptography Standardization Process, NIST IR 8413, Gaithersburg, MD, 2022. https://doi.org/10.6028/NIST.IR.8413</w:t>
      </w:r>
    </w:p>
    <w:p>
      <w:pPr>
        <w:pStyle w:val="BodyText"/>
        <w:spacing w:line="480" w:lineRule="auto"/>
        <w:ind w:firstLine="720"/>
      </w:pPr>
      <w:bookmarkStart w:id="154" w:name="ref-12"/>
      <w:bookmarkEnd w:id="154"/>
      <w:r>
        <w:t xml:space="preserve">12. National Security Agency, Commercial National Security Algorithm Suite 2.0 (CNSA 2.0), 2022.</w:t>
      </w:r>
    </w:p>
    <w:p>
      <w:pPr>
        <w:pStyle w:val="BodyText"/>
        <w:spacing w:line="480" w:lineRule="auto"/>
        <w:ind w:firstLine="720"/>
      </w:pPr>
      <w:bookmarkStart w:id="155" w:name="ref-13"/>
      <w:bookmarkEnd w:id="155"/>
      <w:r>
        <w:t xml:space="preserve">13. S. S. Choi, J. Y. Byun, M. Pognon, et al.,</w:t>
      </w:r>
      <w:r>
        <w:t xml:space="preserve"> </w:t>
      </w:r>
      <w:r>
        <w:t xml:space="preserve">“Real-Time Conjunction Assessment and Collision Avoidance of Satellites for Concurrent Avoidance Negotiation,”</w:t>
      </w:r>
      <w:r>
        <w:t xml:space="preserve"> </w:t>
      </w:r>
      <w:r>
        <w:t xml:space="preserve">Proc. AMOS Conference, 2024. https://doi.org/10.64861/TJIV3429</w:t>
      </w:r>
    </w:p>
    <w:p>
      <w:pPr>
        <w:pStyle w:val="BodyText"/>
        <w:spacing w:line="480" w:lineRule="auto"/>
        <w:ind w:firstLine="720"/>
      </w:pPr>
      <w:bookmarkStart w:id="156" w:name="ref-14"/>
      <w:bookmarkEnd w:id="156"/>
      <w:r>
        <w:t xml:space="preserve">14. M. E. Sorge, T. Harris, C. Colombo, et al.,</w:t>
      </w:r>
      <w:r>
        <w:t xml:space="preserve"> </w:t>
      </w:r>
      <w:r>
        <w:t xml:space="preserve">“Space traffic management: Improvements to spacecraft collision avoidance (COLA),”</w:t>
      </w:r>
      <w:r>
        <w:t xml:space="preserve"> </w:t>
      </w:r>
      <w:r>
        <w:t xml:space="preserve">Acta Astronautica, vol. 229, 2025. https://doi.org/10.1016/j.actaastro.2025.01.042</w:t>
      </w:r>
    </w:p>
    <w:p>
      <w:pPr>
        <w:pStyle w:val="BodyText"/>
        <w:spacing w:line="480" w:lineRule="auto"/>
        <w:ind w:firstLine="720"/>
      </w:pPr>
      <w:bookmarkStart w:id="157" w:name="ref-15"/>
      <w:bookmarkEnd w:id="157"/>
      <w:r>
        <w:t xml:space="preserve">15. M. E. Sorge, D. Alary, F. Lacomba, H. Tung, and B. Singh,</w:t>
      </w:r>
      <w:r>
        <w:t xml:space="preserve"> </w:t>
      </w:r>
      <w:r>
        <w:t xml:space="preserve">“Space traffic management: Large constellations,”</w:t>
      </w:r>
      <w:r>
        <w:t xml:space="preserve"> </w:t>
      </w:r>
      <w:r>
        <w:t xml:space="preserve">Acta Astronautica, vol. 229, 2025. https://doi.org/10.1016/j.actaastro.2025.01.043</w:t>
      </w:r>
    </w:p>
    <w:p>
      <w:pPr>
        <w:pStyle w:val="BodyText"/>
        <w:spacing w:line="480" w:lineRule="auto"/>
        <w:ind w:firstLine="720"/>
      </w:pPr>
      <w:bookmarkStart w:id="158" w:name="ref-16"/>
      <w:bookmarkEnd w:id="158"/>
      <w:r>
        <w:t xml:space="preserve">16. National Institute of Standards and Technology, Digital Signature Standard (DSS), FIPS 186-5, Gaithersburg, MD, 2023. https://doi.org/10.6028/NIST.FIPS.186-5</w:t>
      </w:r>
    </w:p>
    <w:p>
      <w:pPr>
        <w:pStyle w:val="BodyText"/>
        <w:spacing w:line="480" w:lineRule="auto"/>
        <w:ind w:firstLine="720"/>
      </w:pPr>
      <w:bookmarkStart w:id="159" w:name="ref-17"/>
      <w:bookmarkEnd w:id="159"/>
      <w:r>
        <w:t xml:space="preserve">17. D. J. Bernstein, N. Duif, T. Lange, P. Schwabe, and B.-Y. Yang,</w:t>
      </w:r>
      <w:r>
        <w:t xml:space="preserve"> </w:t>
      </w:r>
      <w:r>
        <w:t xml:space="preserve">“High-speed high-security signatures,”</w:t>
      </w:r>
      <w:r>
        <w:t xml:space="preserve"> </w:t>
      </w:r>
      <w:r>
        <w:t xml:space="preserve">Journal of Cryptographic Engineering, vol. 2, no. 2, pp. 77-89, 2012. https://doi.org/10.1007/s13389-012-0027-1</w:t>
      </w:r>
    </w:p>
    <w:p>
      <w:pPr>
        <w:pStyle w:val="BodyText"/>
        <w:spacing w:line="480" w:lineRule="auto"/>
        <w:ind w:firstLine="720"/>
      </w:pPr>
      <w:bookmarkStart w:id="160" w:name="ref-18"/>
      <w:bookmarkEnd w:id="160"/>
      <w:r>
        <w:t xml:space="preserve">18. National Institute of Standards and Technology, Recommendation for Key Management, SP 800-57 Part 1 Rev. 5, Gaithersburg, MD, 2020.</w:t>
      </w:r>
    </w:p>
    <w:p>
      <w:pPr>
        <w:pStyle w:val="BodyText"/>
        <w:spacing w:line="480" w:lineRule="auto"/>
        <w:ind w:firstLine="720"/>
      </w:pPr>
      <w:bookmarkStart w:id="161" w:name="ref-19"/>
      <w:bookmarkEnd w:id="161"/>
      <w:r>
        <w:t xml:space="preserve">19. D. J. Bernstein and T. Lange (eds.), eBACS: ECRYPT Benchmarking of Cryptographic Systems, 2023. https://bench.cr.yp.to</w:t>
      </w:r>
    </w:p>
    <w:p>
      <w:pPr>
        <w:pStyle w:val="BodyText"/>
        <w:spacing w:line="480" w:lineRule="auto"/>
        <w:ind w:firstLine="720"/>
      </w:pPr>
      <w:bookmarkStart w:id="162" w:name="ref-20"/>
      <w:bookmarkEnd w:id="162"/>
      <w:r>
        <w:t xml:space="preserve">20. National Institute of Standards and Technology, Submission Requirements and Evaluation Criteria for the Post-Quantum Cryptography Standardization Process, 2016.</w:t>
      </w:r>
    </w:p>
    <w:p>
      <w:pPr>
        <w:pStyle w:val="BodyText"/>
        <w:spacing w:line="480" w:lineRule="auto"/>
        <w:ind w:firstLine="720"/>
      </w:pPr>
      <w:bookmarkStart w:id="163" w:name="ref-21"/>
      <w:bookmarkEnd w:id="163"/>
      <w:r>
        <w:t xml:space="preserve">21. Bird, D. Sharing Space Situational Awareness Data. Proceedings of the Advanced Maui Optical and Space Surveillance Technologies Conference, 2010.</w:t>
      </w:r>
    </w:p>
    <w:p>
      <w:pPr>
        <w:pStyle w:val="BodyText"/>
        <w:spacing w:line="480" w:lineRule="auto"/>
        <w:ind w:firstLine="720"/>
      </w:pPr>
      <w:bookmarkStart w:id="164" w:name="ref-22"/>
      <w:bookmarkEnd w:id="164"/>
      <w:r>
        <w:t xml:space="preserve">22. Laporte, F. JAC Software, Solving Conjunction Assessment Issues. Proceedings of the Advanced Maui Optical and Space Surveillance Technologies Conference, 2014.</w:t>
      </w:r>
    </w:p>
    <w:p>
      <w:pPr>
        <w:pStyle w:val="BodyText"/>
        <w:spacing w:line="480" w:lineRule="auto"/>
        <w:ind w:firstLine="720"/>
      </w:pPr>
      <w:bookmarkStart w:id="165" w:name="ref-23"/>
      <w:bookmarkEnd w:id="165"/>
      <w:r>
        <w:t xml:space="preserve">23. Moomey, D., Falcon, R., and Khan, A. Trending and Analysis of Payload vs. All Low Earth Conjunction Data Messages below 1,000 km, from 2016 through 2021. Proceedings of the Advanced Maui Optical and Space Surveillance Technologies Conference, Poster Session, 2022.</w:t>
      </w:r>
    </w:p>
    <w:p>
      <w:pPr>
        <w:pStyle w:val="BodyText"/>
        <w:spacing w:line="480" w:lineRule="auto"/>
        <w:ind w:firstLine="720"/>
      </w:pPr>
      <w:bookmarkStart w:id="166" w:name="ref-24"/>
      <w:bookmarkEnd w:id="166"/>
      <w:r>
        <w:t xml:space="preserve">24. Oltrogge, D., Alfano, S., Law, C. M., Cacioni, A., and Kelso, T. S. A comprehensive assessment of collision likelihood in Geosynchronous Earth Orbit. Acta Astronautica, vol. 147, 2018. doi:</w:t>
      </w:r>
      <w:r>
        <w:t xml:space="preserve"> </w:t>
      </w:r>
      <w:hyperlink r:id="rId167">
        <w:r>
          <w:rPr>
            <w:rStyle w:val="Hyperlink"/>
          </w:rPr>
          <w:t xml:space="preserve">10.1016/j.actaastro.2018.03.017</w:t>
        </w:r>
      </w:hyperlink>
    </w:p>
    <w:p>
      <w:pPr>
        <w:pStyle w:val="BodyText"/>
        <w:spacing w:line="480" w:lineRule="auto"/>
        <w:ind w:firstLine="720"/>
      </w:pPr>
      <w:bookmarkStart w:id="168" w:name="ref-25"/>
      <w:bookmarkEnd w:id="168"/>
      <w:r>
        <w:t xml:space="preserve">25. Reed, R., and Dailey, N. Toward a Symmetric Information Sharing Ecosystem for the Space Economy. MITRE Space Traffic Management Conference, 2023.</w:t>
      </w:r>
    </w:p>
    <w:p>
      <w:pPr>
        <w:pStyle w:val="BodyText"/>
        <w:spacing w:line="480" w:lineRule="auto"/>
        <w:ind w:firstLine="720"/>
      </w:pPr>
      <w:bookmarkStart w:id="169" w:name="ref-26"/>
      <w:bookmarkEnd w:id="169"/>
      <w:r>
        <w:t xml:space="preserve">26. Union of Concerned Scientists. UCS Satellite Database. Updates through 2023.</w:t>
      </w:r>
    </w:p>
    <w:p>
      <w:pPr>
        <w:pStyle w:val="BodyText"/>
        <w:spacing w:line="480" w:lineRule="auto"/>
        <w:ind w:firstLine="720"/>
      </w:pPr>
      <w:bookmarkStart w:id="170" w:name="ref-27"/>
      <w:bookmarkEnd w:id="170"/>
      <w:r>
        <w:t xml:space="preserve">27. McDowell, J. Jonathan’s Space Report active-payload and constellation tables. 2024-2025 releases.</w:t>
      </w:r>
    </w:p>
    <w:p>
      <w:pPr>
        <w:pStyle w:val="BodyText"/>
        <w:spacing w:line="480" w:lineRule="auto"/>
        <w:ind w:firstLine="720"/>
      </w:pPr>
      <w:bookmarkStart w:id="171" w:name="ref-28"/>
      <w:bookmarkEnd w:id="171"/>
      <w:r>
        <w:t xml:space="preserve">28. John Ossorgin, Sandia National Laboratories; Forest Danford, Sandia National Laboratories; Kyle Merry, Sandia National Laboratories. Cosmic Collaboratory: The SDA AI/ML Model Hosting Service (2025). doi:</w:t>
      </w:r>
      <w:r>
        <w:t xml:space="preserve"> </w:t>
      </w:r>
      <w:hyperlink r:id="rId172">
        <w:r>
          <w:rPr>
            <w:rStyle w:val="Hyperlink"/>
          </w:rPr>
          <w:t xml:space="preserve">10.64861/ZERT2949</w:t>
        </w:r>
      </w:hyperlink>
    </w:p>
    <w:p>
      <w:pPr>
        <w:pStyle w:val="BodyText"/>
        <w:spacing w:line="480" w:lineRule="auto"/>
        <w:ind w:firstLine="720"/>
      </w:pPr>
      <w:bookmarkStart w:id="173" w:name="ref-29"/>
      <w:bookmarkEnd w:id="173"/>
      <w:r>
        <w:t xml:space="preserve">29.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w:t>
      </w:r>
    </w:p>
    <w:p>
      <w:pPr>
        <w:pStyle w:val="BodyText"/>
        <w:spacing w:line="480" w:lineRule="auto"/>
        <w:ind w:firstLine="720"/>
      </w:pPr>
      <w:bookmarkStart w:id="174" w:name="ref-30"/>
      <w:bookmarkEnd w:id="174"/>
      <w:r>
        <w:t xml:space="preserve">30.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75">
        <w:r>
          <w:rPr>
            <w:rStyle w:val="Hyperlink"/>
          </w:rPr>
          <w:t xml:space="preserve">10.64861/CEPU7718</w:t>
        </w:r>
      </w:hyperlink>
    </w:p>
    <w:p>
      <w:pPr>
        <w:pStyle w:val="BodyText"/>
        <w:spacing w:line="480" w:lineRule="auto"/>
        <w:ind w:firstLine="720"/>
      </w:pPr>
      <w:bookmarkStart w:id="176" w:name="ref-31"/>
      <w:bookmarkEnd w:id="176"/>
      <w:r>
        <w:t xml:space="preserve">31. Harvey Reed, The MITRE Corporation; Nathaniel Dailey, The Mitre Corporation &amp; American University School of Public Affairs; Bob Carden, The MITRE Corporation; Dave Bryson, The MITRE Corporation. Blockchain Enabled Space Traffic Awareness (BESTA) (2019).</w:t>
      </w:r>
    </w:p>
    <w:p>
      <w:pPr>
        <w:pStyle w:val="BodyText"/>
        <w:spacing w:line="480" w:lineRule="auto"/>
        <w:ind w:firstLine="720"/>
      </w:pPr>
      <w:bookmarkStart w:id="177" w:name="ref-32"/>
      <w:bookmarkEnd w:id="177"/>
      <w:r>
        <w:t xml:space="preserve">32. Francis Bennet, Australian National University; Oliver Thearle, Australian National University; Lyle Roberts, Australian National University; Jordan Smith, Australian National University; James Spollard, Australian National University; Daniel Shaddock, Australian National University; Ping Koy Lam, Australian National University. Free-space Quantum Communication Link with Adaptive Optics (2018).</w:t>
      </w:r>
    </w:p>
    <w:p>
      <w:pPr>
        <w:pStyle w:val="BodyText"/>
        <w:spacing w:line="480" w:lineRule="auto"/>
        <w:ind w:firstLine="720"/>
      </w:pPr>
      <w:bookmarkStart w:id="178" w:name="ref-33"/>
      <w:bookmarkEnd w:id="178"/>
      <w:r>
        <w:t xml:space="preserve">33. Jeffrey B. Skelton (The MITRE Corporation). Data Handling and Protection of Need-to-Know Data in a Need-to-Share Net-centric Enterprise (2012).</w:t>
      </w:r>
    </w:p>
    <w:p>
      <w:pPr>
        <w:pStyle w:val="BodyText"/>
        <w:spacing w:line="480" w:lineRule="auto"/>
        <w:ind w:firstLine="720"/>
      </w:pPr>
      <w:bookmarkStart w:id="179" w:name="ref-34"/>
      <w:bookmarkEnd w:id="179"/>
      <w:r>
        <w:t xml:space="preserve">34. Harvey Reed, MITRE; Nick Tsamis, MITRE; Nathaniel Dailey, MITRE. Space Sustainability and Traffic Management Requires Trusted Space Stakeholder Coordination (2023). doi:</w:t>
      </w:r>
      <w:r>
        <w:t xml:space="preserve"> </w:t>
      </w:r>
      <w:hyperlink r:id="rId180">
        <w:r>
          <w:rPr>
            <w:rStyle w:val="Hyperlink"/>
          </w:rPr>
          <w:t xml:space="preserve">10.64861/MVHC2799</w:t>
        </w:r>
      </w:hyperlink>
    </w:p>
    <w:p>
      <w:pPr>
        <w:pStyle w:val="BodyText"/>
        <w:spacing w:line="480" w:lineRule="auto"/>
        <w:ind w:firstLine="720"/>
      </w:pPr>
      <w:bookmarkStart w:id="181" w:name="ref-35"/>
      <w:bookmarkEnd w:id="181"/>
      <w:r>
        <w:t xml:space="preserve">35. Makena Young, Aerospace Security Project. Trends in Global Space Situational Awareness (2021).</w:t>
      </w:r>
    </w:p>
    <w:p>
      <w:pPr>
        <w:pStyle w:val="BodyText"/>
        <w:spacing w:line="480" w:lineRule="auto"/>
        <w:ind w:firstLine="720"/>
      </w:pPr>
      <w:bookmarkStart w:id="182" w:name="ref-36"/>
      <w:bookmarkEnd w:id="182"/>
      <w:r>
        <w:t xml:space="preserve">36.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83">
        <w:r>
          <w:rPr>
            <w:rStyle w:val="Hyperlink"/>
          </w:rPr>
          <w:t xml:space="preserve">10.1016/j.actaastro.2025.03.034</w:t>
        </w:r>
      </w:hyperlink>
    </w:p>
    <w:p>
      <w:pPr>
        <w:pStyle w:val="BodyText"/>
        <w:spacing w:line="480" w:lineRule="auto"/>
        <w:ind w:firstLine="720"/>
      </w:pPr>
      <w:bookmarkStart w:id="184" w:name="ref-37"/>
      <w:bookmarkEnd w:id="184"/>
      <w:r>
        <w:t xml:space="preserve">37. Jacqueline H. Smith; Moriba Jah; Danielle Wood. Architecting a decision support system for continuing supervision of commercial in-space servicing (2025). doi:</w:t>
      </w:r>
      <w:r>
        <w:t xml:space="preserve"> </w:t>
      </w:r>
      <w:hyperlink r:id="rId185">
        <w:r>
          <w:rPr>
            <w:rStyle w:val="Hyperlink"/>
          </w:rPr>
          <w:t xml:space="preserve">10.1016/j.actaastro.2025.05.036</w:t>
        </w:r>
      </w:hyperlink>
    </w:p>
    <w:p>
      <w:pPr>
        <w:pStyle w:val="BodyText"/>
        <w:spacing w:line="480" w:lineRule="auto"/>
        <w:ind w:firstLine="720"/>
      </w:pPr>
      <w:bookmarkStart w:id="186" w:name="ref-38"/>
      <w:bookmarkEnd w:id="186"/>
      <w:r>
        <w:t xml:space="preserve">38. Noelia Sánchez-Ortíz; Danielle Wood; Lesley Smith; Carmen Gregori De La Malla; Maruška Strah; Maren Huelsmann; Marius Stanciu-Manolescu; P. Ubertini; Balbir Singh. Outreach on Space Traffic Management (2025). doi:</w:t>
      </w:r>
      <w:r>
        <w:t xml:space="preserve"> </w:t>
      </w:r>
      <w:hyperlink r:id="rId187">
        <w:r>
          <w:rPr>
            <w:rStyle w:val="Hyperlink"/>
          </w:rPr>
          <w:t xml:space="preserve">10.1016/j.actaastro.2025.01.031</w:t>
        </w:r>
      </w:hyperlink>
    </w:p>
    <w:p>
      <w:pPr>
        <w:pStyle w:val="BodyText"/>
        <w:spacing w:line="480" w:lineRule="auto"/>
        <w:ind w:firstLine="720"/>
      </w:pPr>
      <w:bookmarkStart w:id="188" w:name="ref-39"/>
      <w:bookmarkEnd w:id="188"/>
      <w:r>
        <w:t xml:space="preserve">39.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89">
        <w:r>
          <w:rPr>
            <w:rStyle w:val="Hyperlink"/>
          </w:rPr>
          <w:t xml:space="preserve">10.1016/j.actaastro.2024.12.056</w:t>
        </w:r>
      </w:hyperlink>
    </w:p>
    <w:p>
      <w:pPr>
        <w:pStyle w:val="BodyText"/>
        <w:spacing w:line="480" w:lineRule="auto"/>
        <w:ind w:firstLine="720"/>
      </w:pPr>
      <w:bookmarkStart w:id="190" w:name="ref-40"/>
      <w:bookmarkEnd w:id="190"/>
      <w:r>
        <w:t xml:space="preserve">40. Sebastian Grau; Anton Johann Große Siestrup; Vincent Schulz; Victoria Koßack; Johanna Erna Charlotte Teuchert; Andreas Hornig; Enrico Stoll. Mission operations for precise in-orbit collision prediction and space environment surveillance system (2025). doi:</w:t>
      </w:r>
      <w:r>
        <w:t xml:space="preserve"> </w:t>
      </w:r>
      <w:hyperlink r:id="rId191">
        <w:r>
          <w:rPr>
            <w:rStyle w:val="Hyperlink"/>
          </w:rPr>
          <w:t xml:space="preserve">10.1016/j.actaastro.2025.05.049</w:t>
        </w:r>
      </w:hyperlink>
    </w:p>
    <w:p>
      <w:pPr>
        <w:pStyle w:val="BodyText"/>
        <w:spacing w:line="480" w:lineRule="auto"/>
        <w:ind w:firstLine="720"/>
      </w:pPr>
      <w:bookmarkStart w:id="192" w:name="ref-41"/>
      <w:bookmarkEnd w:id="192"/>
      <w:r>
        <w:t xml:space="preserve">41. James A. Grieve; Robert Bedington; Zhongkan Tang; Rakhitha Chandrasekara; Alexander Ling. SpooQySats: CubeSats to demonstrate quantum key distribution technologies (2018). doi:</w:t>
      </w:r>
      <w:r>
        <w:t xml:space="preserve"> </w:t>
      </w:r>
      <w:hyperlink r:id="rId193">
        <w:r>
          <w:rPr>
            <w:rStyle w:val="Hyperlink"/>
          </w:rPr>
          <w:t xml:space="preserve">10.1016/j.actaastro.2018.06.005</w:t>
        </w:r>
      </w:hyperlink>
    </w:p>
    <w:p>
      <w:pPr>
        <w:pStyle w:val="BodyText"/>
        <w:spacing w:line="480" w:lineRule="auto"/>
        <w:ind w:firstLine="720"/>
      </w:pPr>
      <w:bookmarkStart w:id="194" w:name="ref-42"/>
      <w:bookmarkEnd w:id="194"/>
      <w:r>
        <w:t xml:space="preserve">42. Z. Bouhanna; Christopher Bridges. Cooperative inter-satellite ranging using custom code division multiple access frame for space traffic management (2020). doi:</w:t>
      </w:r>
      <w:r>
        <w:t xml:space="preserve"> </w:t>
      </w:r>
      <w:hyperlink r:id="rId195">
        <w:r>
          <w:rPr>
            <w:rStyle w:val="Hyperlink"/>
          </w:rPr>
          <w:t xml:space="preserve">10.1016/j.actaastro.2020.11.008</w:t>
        </w:r>
      </w:hyperlink>
    </w:p>
    <w:p>
      <w:pPr>
        <w:pStyle w:val="BodyText"/>
        <w:spacing w:line="480" w:lineRule="auto"/>
        <w:ind w:firstLine="720"/>
      </w:pPr>
      <w:bookmarkStart w:id="196" w:name="ref-43"/>
      <w:bookmarkEnd w:id="196"/>
      <w:r>
        <w:t xml:space="preserve">43. Y. Tanaka; Pavle Dinulović; U. Köse; Chris Bruckmayr. Particle Post – Letters from the Universe: A sound installation through cosmic muons (2021). doi:</w:t>
      </w:r>
      <w:r>
        <w:t xml:space="preserve"> </w:t>
      </w:r>
      <w:hyperlink r:id="rId197">
        <w:r>
          <w:rPr>
            <w:rStyle w:val="Hyperlink"/>
          </w:rPr>
          <w:t xml:space="preserve">10.1016/j.actaastro.2021.06.014</w:t>
        </w:r>
      </w:hyperlink>
    </w:p>
    <w:bookmarkEnd w:id="198"/>
    <w:bookmarkEnd w:id="199"/>
    <w:bookmarkStart w:id="21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7" w:name="Xcf8b58d4686bf2293ef142bb5fb34385584600b"/>
    <w:p>
      <w:pPr>
        <w:pStyle w:val="Heading2"/>
        <w:spacing w:line="480" w:lineRule="auto"/>
      </w:pPr>
      <w:r>
        <w:t xml:space="preserve">A.1 Wire-Cost of Post-Quantum Envelopes for Space Situational Awareness Data Sharing: An OLS Decomposition</w:t>
      </w:r>
    </w:p>
    <w:p>
      <w:pPr>
        <w:pStyle w:val="FirstParagraph"/>
        <w:spacing w:line="480" w:lineRule="auto"/>
      </w:pPr>
      <m:oMathPara>
        <m:oMathParaPr>
          <m:jc m:val="center"/>
        </m:oMathParaPr>
        <m:oMath>
          <m:r>
            <m:t>e</m:t>
          </m:r>
          <m:r>
            <m:t>n</m:t>
          </m:r>
          <m:r>
            <m:t>v</m:t>
          </m:r>
          <m:r>
            <m:t>e</m:t>
          </m:r>
          <m:r>
            <m:t>l</m:t>
          </m:r>
          <m:r>
            <m:t>o</m:t>
          </m:r>
          <m:r>
            <m:t>p</m:t>
          </m:r>
          <m:r>
            <m:t>e</m:t>
          </m:r>
          <m:r>
            <m:rPr>
              <m:sty m:val="p"/>
            </m:rPr>
            <m:t>_</m:t>
          </m:r>
          <m:r>
            <m:t>b</m:t>
          </m:r>
          <m:r>
            <m:t>y</m:t>
          </m:r>
          <m:r>
            <m:t>t</m:t>
          </m:r>
          <m:r>
            <m:t>e</m:t>
          </m:r>
          <m:sSub>
            <m:e>
              <m:r>
                <m:t>s</m:t>
              </m:r>
            </m:e>
            <m:sub>
              <m:r>
                <m:t>i</m:t>
              </m:r>
            </m:sub>
          </m:sSub>
          <m:r>
            <m:rPr>
              <m:sty m:val="p"/>
            </m:rPr>
            <m:t>=</m:t>
          </m:r>
          <m:sSub>
            <m:e>
              <m:r>
                <m:t>β</m:t>
              </m:r>
            </m:e>
            <m:sub>
              <m:r>
                <m:t>0</m:t>
              </m:r>
            </m:sub>
          </m:sSub>
          <m:r>
            <m:rPr>
              <m:sty m:val="p"/>
            </m:rPr>
            <m:t>+</m:t>
          </m:r>
          <m:sSub>
            <m:e>
              <m:r>
                <m:t>β</m:t>
              </m:r>
            </m:e>
            <m:sub>
              <m:r>
                <m:t>1</m:t>
              </m:r>
            </m:sub>
          </m:sSub>
          <m:r>
            <m:t>p</m:t>
          </m:r>
          <m:r>
            <m:t>a</m:t>
          </m:r>
          <m:r>
            <m:t>y</m:t>
          </m:r>
          <m:r>
            <m:t>l</m:t>
          </m:r>
          <m:r>
            <m:t>o</m:t>
          </m:r>
          <m:r>
            <m:t>a</m:t>
          </m:r>
          <m:r>
            <m:t>d</m:t>
          </m:r>
          <m:r>
            <m:rPr>
              <m:sty m:val="p"/>
            </m:rPr>
            <m:t>_</m:t>
          </m:r>
          <m:r>
            <m:t>b</m:t>
          </m:r>
          <m:r>
            <m:t>y</m:t>
          </m:r>
          <m:r>
            <m:t>t</m:t>
          </m:r>
          <m:r>
            <m:t>e</m:t>
          </m:r>
          <m:sSub>
            <m:e>
              <m:r>
                <m:t>s</m:t>
              </m:r>
            </m:e>
            <m:sub>
              <m:r>
                <m:t>i</m:t>
              </m:r>
            </m:sub>
          </m:sSub>
          <m:r>
            <m:rPr>
              <m:sty m:val="p"/>
            </m:rPr>
            <m:t>+</m:t>
          </m:r>
          <m:sSub>
            <m:e>
              <m:r>
                <m:t>β</m:t>
              </m:r>
            </m:e>
            <m:sub>
              <m:r>
                <m:t>2</m:t>
              </m:r>
            </m:sub>
          </m:sSub>
          <m:r>
            <m:t>p</m:t>
          </m:r>
          <m:r>
            <m:t>u</m:t>
          </m:r>
          <m:r>
            <m:t>b</m:t>
          </m:r>
          <m:r>
            <m:t>k</m:t>
          </m:r>
          <m:r>
            <m:t>e</m:t>
          </m:r>
          <m:r>
            <m:t>y</m:t>
          </m:r>
          <m:r>
            <m:rPr>
              <m:sty m:val="p"/>
            </m:rPr>
            <m:t>_</m:t>
          </m:r>
          <m:r>
            <m:t>b</m:t>
          </m:r>
          <m:r>
            <m:t>y</m:t>
          </m:r>
          <m:r>
            <m:t>t</m:t>
          </m:r>
          <m:r>
            <m:t>e</m:t>
          </m:r>
          <m:sSub>
            <m:e>
              <m:r>
                <m:t>s</m:t>
              </m:r>
            </m:e>
            <m:sub>
              <m:r>
                <m:t>i</m:t>
              </m:r>
            </m:sub>
          </m:sSub>
          <m:r>
            <m:rPr>
              <m:sty m:val="p"/>
            </m:rPr>
            <m:t>+</m:t>
          </m:r>
          <m:sSub>
            <m:e>
              <m:r>
                <m:t>β</m:t>
              </m:r>
            </m:e>
            <m:sub>
              <m:r>
                <m:t>3</m:t>
              </m:r>
            </m:sub>
          </m:sSub>
          <m:r>
            <m:t>s</m:t>
          </m:r>
          <m:r>
            <m:t>i</m:t>
          </m:r>
          <m:r>
            <m:t>g</m:t>
          </m:r>
          <m:r>
            <m:rPr>
              <m:sty m:val="p"/>
            </m:rPr>
            <m:t>_</m:t>
          </m:r>
          <m:r>
            <m:t>o</m:t>
          </m:r>
          <m:r>
            <m:t>r</m:t>
          </m:r>
          <m:r>
            <m:rPr>
              <m:sty m:val="p"/>
            </m:rPr>
            <m:t>_</m:t>
          </m:r>
          <m:r>
            <m:t>c</m:t>
          </m:r>
          <m:r>
            <m:t>t</m:t>
          </m:r>
          <m:r>
            <m:rPr>
              <m:sty m:val="p"/>
            </m:rPr>
            <m:t>_</m:t>
          </m:r>
          <m:r>
            <m:t>b</m:t>
          </m:r>
          <m:r>
            <m:t>y</m:t>
          </m:r>
          <m:r>
            <m:t>t</m:t>
          </m:r>
          <m:r>
            <m:t>e</m:t>
          </m:r>
          <m:sSub>
            <m:e>
              <m:r>
                <m:t>s</m:t>
              </m:r>
            </m:e>
            <m:sub>
              <m:r>
                <m:t>i</m:t>
              </m:r>
            </m:sub>
          </m:sSub>
          <m:r>
            <m:rPr>
              <m:sty m:val="p"/>
            </m:rPr>
            <m:t>+</m:t>
          </m:r>
          <m:sSub>
            <m:e>
              <m:r>
                <m:t>β</m:t>
              </m:r>
            </m:e>
            <m:sub>
              <m:r>
                <m:t>4</m:t>
              </m:r>
            </m:sub>
          </m:sSub>
          <m:r>
            <m:t>n</m:t>
          </m:r>
          <m:r>
            <m:t>i</m:t>
          </m:r>
          <m:r>
            <m:t>s</m:t>
          </m:r>
          <m:r>
            <m:t>t</m:t>
          </m:r>
          <m:r>
            <m:rPr>
              <m:sty m:val="p"/>
            </m:rPr>
            <m:t>_</m:t>
          </m:r>
          <m:r>
            <m:t>l</m:t>
          </m:r>
          <m:r>
            <m:t>e</m:t>
          </m:r>
          <m:r>
            <m:t>v</m:t>
          </m:r>
          <m:r>
            <m:t>e</m:t>
          </m:r>
          <m:sSub>
            <m:e>
              <m:r>
                <m:t>l</m:t>
              </m:r>
            </m:e>
            <m:sub>
              <m:r>
                <m:t>i</m:t>
              </m:r>
            </m:sub>
          </m:sSub>
          <m:r>
            <m:rPr>
              <m:sty m:val="p"/>
            </m:rPr>
            <m:t>+</m:t>
          </m:r>
          <m:sSub>
            <m:e>
              <m:r>
                <m:t>ε</m:t>
              </m:r>
            </m:e>
            <m:sub>
              <m:r>
                <m:t>i</m:t>
              </m:r>
            </m:sub>
          </m:sSub>
        </m:oMath>
      </m:oMathPara>
    </w:p>
    <w:bookmarkStart w:id="20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6.139</w:t>
            </w:r>
          </w:p>
        </w:tc>
        <w:tc>
          <w:tcPr>
            <w:tcW w:w="0" w:type="auto"/>
          </w:tcPr>
          <w:p>
            <w:pPr>
              <w:spacing w:line="240" w:lineRule="auto" w:before="0" w:after="0"/>
              <w:pStyle w:val="Compact"/>
            </w:pPr>
            <w:r>
              <w:rPr>
                <w:sz w:val="20"/>
                <w:szCs w:val="20"/>
              </w:rPr>
              <w:t xml:space="preserve">5.9537</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0.3025</w:t>
            </w:r>
          </w:p>
        </w:tc>
        <w:tc>
          <w:tcPr>
            <w:tcW w:w="0" w:type="auto"/>
          </w:tcPr>
          <w:p>
            <w:pPr>
              <w:spacing w:line="240" w:lineRule="auto" w:before="0" w:after="0"/>
              <w:pStyle w:val="Compact"/>
            </w:pPr>
            <w:r>
              <w:rPr>
                <w:sz w:val="20"/>
                <w:szCs w:val="20"/>
              </w:rPr>
              <w:t xml:space="preserve">[-5.53, 17.8079]</w:t>
            </w:r>
          </w:p>
        </w:tc>
      </w:tr>
      <w:tr>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0.998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489.139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[0.994, 1.002]</w:t>
            </w:r>
          </w:p>
        </w:tc>
      </w:tr>
      <w:tr>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0.9978</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440.7265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[0.9933, 1.0022]</w:t>
            </w:r>
          </w:p>
        </w:tc>
      </w:tr>
      <w:tr>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0.9999</w:t>
            </w:r>
          </w:p>
        </w:tc>
        <w:tc>
          <w:tcPr>
            <w:tcW w:w="0" w:type="auto"/>
          </w:tcPr>
          <w:p>
            <w:pPr>
              <w:spacing w:line="240" w:lineRule="auto" w:before="0" w:after="0"/>
              <w:pStyle w:val="Compact"/>
            </w:pPr>
            <w:r>
              <w:rPr>
                <w:sz w:val="20"/>
                <w:szCs w:val="20"/>
              </w:rPr>
              <w:t xml:space="preserve">0.0001219</w:t>
            </w:r>
          </w:p>
        </w:tc>
        <w:tc>
          <w:tcPr>
            <w:tcW w:w="0" w:type="auto"/>
          </w:tcPr>
          <w:p>
            <w:pPr>
              <w:spacing w:line="240" w:lineRule="auto" w:before="0" w:after="0"/>
              <w:pStyle w:val="Compact"/>
            </w:pPr>
            <w:r>
              <w:rPr>
                <w:sz w:val="20"/>
                <w:szCs w:val="20"/>
              </w:rPr>
              <w:t xml:space="preserve">8204.9135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[0.9996, 1.0001]</w:t>
            </w:r>
          </w:p>
        </w:tc>
      </w:tr>
      <w:tr>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0.3158</w:t>
            </w:r>
          </w:p>
        </w:tc>
        <w:tc>
          <w:tcPr>
            <w:tcW w:w="0" w:type="auto"/>
          </w:tcPr>
          <w:p>
            <w:pPr>
              <w:spacing w:line="240" w:lineRule="auto" w:before="0" w:after="0"/>
              <w:pStyle w:val="Compact"/>
            </w:pPr>
            <w:r>
              <w:rPr>
                <w:sz w:val="20"/>
                <w:szCs w:val="20"/>
              </w:rPr>
              <w:t xml:space="preserve">0.4215</w:t>
            </w:r>
          </w:p>
        </w:tc>
        <w:tc>
          <w:tcPr>
            <w:tcW w:w="0" w:type="auto"/>
          </w:tcPr>
          <w:p>
            <w:pPr>
              <w:spacing w:line="240" w:lineRule="auto" w:before="0" w:after="0"/>
              <w:pStyle w:val="Compact"/>
            </w:pPr>
            <w:r>
              <w:rPr>
                <w:sz w:val="20"/>
                <w:szCs w:val="20"/>
              </w:rPr>
              <w:t xml:space="preserve">0.7492</w:t>
            </w:r>
          </w:p>
        </w:tc>
        <w:tc>
          <w:tcPr>
            <w:tcW w:w="0" w:type="auto"/>
          </w:tcPr>
          <w:p>
            <w:pPr>
              <w:spacing w:line="240" w:lineRule="auto" w:before="0" w:after="0"/>
              <w:pStyle w:val="Compact"/>
            </w:pPr>
            <w:r>
              <w:rPr>
                <w:sz w:val="20"/>
                <w:szCs w:val="20"/>
              </w:rPr>
              <w:t xml:space="preserve">0.4537</w:t>
            </w:r>
          </w:p>
        </w:tc>
        <w:tc>
          <w:tcPr>
            <w:tcW w:w="0" w:type="auto"/>
          </w:tcPr>
          <w:p>
            <w:pPr>
              <w:spacing w:line="240" w:lineRule="auto" w:before="0" w:after="0"/>
              <w:pStyle w:val="Compact"/>
            </w:pPr>
            <w:r>
              <w:rPr>
                <w:sz w:val="20"/>
                <w:szCs w:val="20"/>
              </w:rPr>
              <w:t xml:space="preserve">[-0.5103, 1.1418]</w:t>
            </w:r>
          </w:p>
        </w:tc>
      </w:tr>
    </w:tbl>
    <w:p>
      <w:pPr>
        <w:pStyle w:val="BodyText"/>
        <w:spacing w:line="480" w:lineRule="auto"/>
        <w:ind w:firstLine="720"/>
      </w:pPr>
      <w:r>
        <w:t xml:space="preserve">Fit: N = 32 R2 = 1 R2_adj = 1 F = 4.05e+08 F_p = 1.434e-104</w:t>
      </w:r>
    </w:p>
    <w:bookmarkEnd w:id="200"/>
    <w:bookmarkStart w:id="20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tal envelope wire-cost vs. signature/KEM-ciphertext size across 32 PQC and pre-quantum schemes paired with CCSDS SSA payloads." title="" id="202" name="Picture"/>
            <a:graphic>
              <a:graphicData uri="http://schemas.openxmlformats.org/drawingml/2006/picture">
                <pic:pic>
                  <pic:nvPicPr>
                    <pic:cNvPr descr="D:/Claude_Code/brain/collegium/candidates/dissertations/PHD-04/research_papers/p1/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Total envelope wire-cost vs. signature/KEM-ciphertext size across 32 PQC and pre-quantum schemes paired with CCSDS SSA payloads.</w:t>
      </w:r>
    </w:p>
    <w:bookmarkEnd w:id="204"/>
    <w:bookmarkStart w:id="20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obs</w:t>
            </w:r>
          </w:p>
        </w:tc>
        <w:tc>
          <w:tcPr>
            <w:tcW w:w="0" w:type="auto"/>
          </w:tcPr>
          <w:p>
            <w:pPr>
              <w:spacing w:line="240" w:lineRule="auto" w:before="0" w:after="0"/>
              <w:pStyle w:val="Compact"/>
            </w:pPr>
            <w:r>
              <w:rPr>
                <w:sz w:val="20"/>
                <w:szCs w:val="20"/>
              </w:rPr>
              <w:t xml:space="preserve">scheme</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keygen_kcycles</w:t>
            </w:r>
          </w:p>
        </w:tc>
        <w:tc>
          <w:tcPr>
            <w:tcW w:w="0" w:type="auto"/>
          </w:tcPr>
          <w:p>
            <w:pPr>
              <w:spacing w:line="240" w:lineRule="auto" w:before="0" w:after="0"/>
              <w:pStyle w:val="Compact"/>
            </w:pPr>
            <w:r>
              <w:rPr>
                <w:sz w:val="20"/>
                <w:szCs w:val="20"/>
              </w:rPr>
              <w:t xml:space="preserve">signsec_kcycles</w:t>
            </w:r>
          </w:p>
        </w:tc>
        <w:tc>
          <w:tcPr>
            <w:tcW w:w="0" w:type="auto"/>
          </w:tcPr>
          <w:p>
            <w:pPr>
              <w:spacing w:line="240" w:lineRule="auto" w:before="0" w:after="0"/>
              <w:pStyle w:val="Compact"/>
            </w:pPr>
            <w:r>
              <w:rPr>
                <w:sz w:val="20"/>
                <w:szCs w:val="20"/>
              </w:rPr>
              <w:t xml:space="preserve">verifyopen_kcycles</w:t>
            </w:r>
          </w:p>
        </w:tc>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envelope_bytes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Kyber512</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3068</w:t>
            </w:r>
          </w:p>
        </w:tc>
        <w:tc>
          <w:tcPr>
            <w:tcW w:w="0" w:type="auto"/>
          </w:tcPr>
          <w:p>
            <w:pPr>
              <w:spacing w:line="240" w:lineRule="auto" w:before="0" w:after="0"/>
              <w:pStyle w:val="Compact"/>
            </w:pPr>
            <w:r>
              <w:rPr>
                <w:sz w:val="20"/>
                <w:szCs w:val="20"/>
              </w:rPr>
              <w:t xml:space="preserve">NIST IR 8413 (2022) Table 3 (CRYSTALS-Kyber Round 3 spec); eBACS SUPERCOP 2023 amd64 skylake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Kyber768</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1088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3772</w:t>
            </w:r>
          </w:p>
        </w:tc>
        <w:tc>
          <w:tcPr>
            <w:tcW w:w="0" w:type="auto"/>
          </w:tcPr>
          <w:p>
            <w:pPr>
              <w:spacing w:line="240" w:lineRule="auto" w:before="0" w:after="0"/>
              <w:pStyle w:val="Compact"/>
            </w:pPr>
            <w:r>
              <w:rPr>
                <w:sz w:val="20"/>
                <w:szCs w:val="20"/>
              </w:rPr>
              <w:t xml:space="preserve">NIST IR 8413 (2022) Table 3; eBACS SUPERCOP 2023 amd64 skylake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Kyber1024</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4636</w:t>
            </w:r>
          </w:p>
        </w:tc>
        <w:tc>
          <w:tcPr>
            <w:tcW w:w="0" w:type="auto"/>
          </w:tcPr>
          <w:p>
            <w:pPr>
              <w:spacing w:line="240" w:lineRule="auto" w:before="0" w:after="0"/>
              <w:pStyle w:val="Compact"/>
            </w:pPr>
            <w:r>
              <w:rPr>
                <w:sz w:val="20"/>
                <w:szCs w:val="20"/>
              </w:rPr>
              <w:t xml:space="preserve">NIST IR 8413 (2022) Table 3; eBACS SUPERCOP 2023 amd64 skylake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Dilithium2</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1312</w:t>
            </w:r>
          </w:p>
        </w:tc>
        <w:tc>
          <w:tcPr>
            <w:tcW w:w="0" w:type="auto"/>
          </w:tcPr>
          <w:p>
            <w:pPr>
              <w:spacing w:line="240" w:lineRule="auto" w:before="0" w:after="0"/>
              <w:pStyle w:val="Compact"/>
            </w:pPr>
            <w:r>
              <w:rPr>
                <w:sz w:val="20"/>
                <w:szCs w:val="20"/>
              </w:rPr>
              <w:t xml:space="preserve">2420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5232</w:t>
            </w:r>
          </w:p>
        </w:tc>
        <w:tc>
          <w:tcPr>
            <w:tcW w:w="0" w:type="auto"/>
          </w:tcPr>
          <w:p>
            <w:pPr>
              <w:spacing w:line="240" w:lineRule="auto" w:before="0" w:after="0"/>
              <w:pStyle w:val="Compact"/>
            </w:pPr>
            <w:r>
              <w:rPr>
                <w:sz w:val="20"/>
                <w:szCs w:val="20"/>
              </w:rPr>
              <w:t xml:space="preserve">NIST IR 8413 (2022) Table 4 (CRYSTALS-Dilithium Round 3 spec); eBACS SUPERCOP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Dilithium3</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6745</w:t>
            </w:r>
          </w:p>
        </w:tc>
        <w:tc>
          <w:tcPr>
            <w:tcW w:w="0" w:type="auto"/>
          </w:tcPr>
          <w:p>
            <w:pPr>
              <w:spacing w:line="240" w:lineRule="auto" w:before="0" w:after="0"/>
              <w:pStyle w:val="Compact"/>
            </w:pPr>
            <w:r>
              <w:rPr>
                <w:sz w:val="20"/>
                <w:szCs w:val="20"/>
              </w:rPr>
              <w:t xml:space="preserve">NIST IR 8413 (2022) Table 4; eBACS SUPERCOP 2023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Dilithium5</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4595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8687</w:t>
            </w:r>
          </w:p>
        </w:tc>
        <w:tc>
          <w:tcPr>
            <w:tcW w:w="0" w:type="auto"/>
          </w:tcPr>
          <w:p>
            <w:pPr>
              <w:spacing w:line="240" w:lineRule="auto" w:before="0" w:after="0"/>
              <w:pStyle w:val="Compact"/>
            </w:pPr>
            <w:r>
              <w:rPr>
                <w:sz w:val="20"/>
                <w:szCs w:val="20"/>
              </w:rPr>
              <w:t xml:space="preserve">NIST IR 8413 (2022) Table 4; eBACS SUPERCOP 2023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Falcon512</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3063</w:t>
            </w:r>
          </w:p>
        </w:tc>
        <w:tc>
          <w:tcPr>
            <w:tcW w:w="0" w:type="auto"/>
          </w:tcPr>
          <w:p>
            <w:pPr>
              <w:spacing w:line="240" w:lineRule="auto" w:before="0" w:after="0"/>
              <w:pStyle w:val="Compact"/>
            </w:pPr>
            <w:r>
              <w:rPr>
                <w:sz w:val="20"/>
                <w:szCs w:val="20"/>
              </w:rPr>
              <w:t xml:space="preserve">NIST IR 8413 (2022) Table 5 (Falcon spec v1.2); eBACS SUPERCOP 2023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Falcon1024</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1793</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28041</w:t>
            </w:r>
          </w:p>
        </w:tc>
        <w:tc>
          <w:tcPr>
            <w:tcW w:w="0" w:type="auto"/>
          </w:tcPr>
          <w:p>
            <w:pPr>
              <w:spacing w:line="240" w:lineRule="auto" w:before="0" w:after="0"/>
              <w:pStyle w:val="Compact"/>
            </w:pPr>
            <w:r>
              <w:rPr>
                <w:sz w:val="20"/>
                <w:szCs w:val="20"/>
              </w:rPr>
              <w:t xml:space="preserve">2059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4573</w:t>
            </w:r>
          </w:p>
        </w:tc>
        <w:tc>
          <w:tcPr>
            <w:tcW w:w="0" w:type="auto"/>
          </w:tcPr>
          <w:p>
            <w:pPr>
              <w:spacing w:line="240" w:lineRule="auto" w:before="0" w:after="0"/>
              <w:pStyle w:val="Compact"/>
            </w:pPr>
            <w:r>
              <w:rPr>
                <w:sz w:val="20"/>
                <w:szCs w:val="20"/>
              </w:rPr>
              <w:t xml:space="preserve">NIST IR 8413 (2022) Table 5; eBACS SUPERCOP 2023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SPHINCS-128s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3500000</w:t>
            </w:r>
          </w:p>
        </w:tc>
        <w:tc>
          <w:tcPr>
            <w:tcW w:w="0" w:type="auto"/>
          </w:tcPr>
          <w:p>
            <w:pPr>
              <w:spacing w:line="240" w:lineRule="auto" w:before="0" w:after="0"/>
              <w:pStyle w:val="Compact"/>
            </w:pPr>
            <w:r>
              <w:rPr>
                <w:sz w:val="20"/>
                <w:szCs w:val="20"/>
              </w:rPr>
              <w:t xml:space="preserve">9500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NIST IR 8413 (2022) Table 6 (SPHINCS+ Round 3); eBACS SUPERCOP 2023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SPHINCS-128f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17088</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79000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18620</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SPHINCS-192s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16224</w:t>
            </w:r>
          </w:p>
        </w:tc>
        <w:tc>
          <w:tcPr>
            <w:tcW w:w="0" w:type="auto"/>
          </w:tcPr>
          <w:p>
            <w:pPr>
              <w:spacing w:line="240" w:lineRule="auto" w:before="0" w:after="0"/>
              <w:pStyle w:val="Compact"/>
            </w:pPr>
            <w:r>
              <w:rPr>
                <w:sz w:val="20"/>
                <w:szCs w:val="20"/>
              </w:rPr>
              <w:t xml:space="preserve">460000</w:t>
            </w:r>
          </w:p>
        </w:tc>
        <w:tc>
          <w:tcPr>
            <w:tcW w:w="0" w:type="auto"/>
          </w:tcPr>
          <w:p>
            <w:pPr>
              <w:spacing w:line="240" w:lineRule="auto" w:before="0" w:after="0"/>
              <w:pStyle w:val="Compact"/>
            </w:pPr>
            <w:r>
              <w:rPr>
                <w:sz w:val="20"/>
                <w:szCs w:val="20"/>
              </w:rPr>
              <w:t xml:space="preserve">7300000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17772</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SPHINCS-192f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35664</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138000</w:t>
            </w:r>
          </w:p>
        </w:tc>
        <w:tc>
          <w:tcPr>
            <w:tcW w:w="0" w:type="auto"/>
          </w:tcPr>
          <w:p>
            <w:pPr>
              <w:spacing w:line="240" w:lineRule="auto" w:before="0" w:after="0"/>
              <w:pStyle w:val="Compact"/>
            </w:pPr>
            <w:r>
              <w:rPr>
                <w:sz w:val="20"/>
                <w:szCs w:val="20"/>
              </w:rPr>
              <w:t xml:space="preserve">9500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37212</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SPHINCS-256s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29792</w:t>
            </w:r>
          </w:p>
        </w:tc>
        <w:tc>
          <w:tcPr>
            <w:tcW w:w="0" w:type="auto"/>
          </w:tcPr>
          <w:p>
            <w:pPr>
              <w:spacing w:line="240" w:lineRule="auto" w:before="0" w:after="0"/>
              <w:pStyle w:val="Compact"/>
            </w:pPr>
            <w:r>
              <w:rPr>
                <w:sz w:val="20"/>
                <w:szCs w:val="20"/>
              </w:rPr>
              <w:t xml:space="preserve">460000</w:t>
            </w:r>
          </w:p>
        </w:tc>
        <w:tc>
          <w:tcPr>
            <w:tcW w:w="0" w:type="auto"/>
          </w:tcPr>
          <w:p>
            <w:pPr>
              <w:spacing w:line="240" w:lineRule="auto" w:before="0" w:after="0"/>
              <w:pStyle w:val="Compact"/>
            </w:pPr>
            <w:r>
              <w:rPr>
                <w:sz w:val="20"/>
                <w:szCs w:val="20"/>
              </w:rPr>
              <w:t xml:space="preserve">6700000</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31356</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SPHINCS-256f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49856</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232000</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51420</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ECDSA-P256</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1628</w:t>
            </w:r>
          </w:p>
        </w:tc>
        <w:tc>
          <w:tcPr>
            <w:tcW w:w="0" w:type="auto"/>
          </w:tcPr>
          <w:p>
            <w:pPr>
              <w:spacing w:line="240" w:lineRule="auto" w:before="0" w:after="0"/>
              <w:pStyle w:val="Compact"/>
            </w:pPr>
            <w:r>
              <w:rPr>
                <w:sz w:val="20"/>
                <w:szCs w:val="20"/>
              </w:rPr>
              <w:t xml:space="preserve">Bernstein and Lange eBACS SUPERCOP 2023 (NIST P-256 baseline); NIST FIPS 186-5 (2023)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Ed25519</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Bernstein et al. (2012) High-speed high-security signatures J. Crypto. Eng.; eBACS SUPERCOP 2023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RSA-3072-sig</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387</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2271</w:t>
            </w:r>
          </w:p>
        </w:tc>
        <w:tc>
          <w:tcPr>
            <w:tcW w:w="0" w:type="auto"/>
          </w:tcPr>
          <w:p>
            <w:pPr>
              <w:spacing w:line="240" w:lineRule="auto" w:before="0" w:after="0"/>
              <w:pStyle w:val="Compact"/>
            </w:pPr>
            <w:r>
              <w:rPr>
                <w:sz w:val="20"/>
                <w:szCs w:val="20"/>
              </w:rPr>
              <w:t xml:space="preserve">NIST SP 800-57 Part 1 Rev. 5 (2020); eBACS SUPERCOP 2023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X25519-kex</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1564</w:t>
            </w:r>
          </w:p>
        </w:tc>
        <w:tc>
          <w:tcPr>
            <w:tcW w:w="0" w:type="auto"/>
          </w:tcPr>
          <w:p>
            <w:pPr>
              <w:spacing w:line="240" w:lineRule="auto" w:before="0" w:after="0"/>
              <w:pStyle w:val="Compact"/>
            </w:pPr>
            <w:r>
              <w:rPr>
                <w:sz w:val="20"/>
                <w:szCs w:val="20"/>
              </w:rPr>
              <w:t xml:space="preserve">Bernstein (2006) Curve25519; eBACS SUPERCOP 2023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Kyber512-CDM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2368</w:t>
            </w:r>
          </w:p>
        </w:tc>
        <w:tc>
          <w:tcPr>
            <w:tcW w:w="0" w:type="auto"/>
          </w:tcPr>
          <w:p>
            <w:pPr>
              <w:spacing w:line="240" w:lineRule="auto" w:before="0" w:after="0"/>
              <w:pStyle w:val="Compact"/>
            </w:pPr>
            <w:r>
              <w:rPr>
                <w:sz w:val="20"/>
                <w:szCs w:val="20"/>
              </w:rPr>
              <w:t xml:space="preserve">CCSDS 508.0-B-1 CDM message size (2013) Sec. 3.2.1; NIST IR 8413 Table 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Kyber768-CDM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1088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3072</w:t>
            </w:r>
          </w:p>
        </w:tc>
        <w:tc>
          <w:tcPr>
            <w:tcW w:w="0" w:type="auto"/>
          </w:tcPr>
          <w:p>
            <w:pPr>
              <w:spacing w:line="240" w:lineRule="auto" w:before="0" w:after="0"/>
              <w:pStyle w:val="Compact"/>
            </w:pPr>
            <w:r>
              <w:rPr>
                <w:sz w:val="20"/>
                <w:szCs w:val="20"/>
              </w:rPr>
              <w:t xml:space="preserve">CCSDS 508.0-B-1 CDM size; NIST IR 8413 Table 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Dilithium3-CDM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6045</w:t>
            </w:r>
          </w:p>
        </w:tc>
        <w:tc>
          <w:tcPr>
            <w:tcW w:w="0" w:type="auto"/>
          </w:tcPr>
          <w:p>
            <w:pPr>
              <w:spacing w:line="240" w:lineRule="auto" w:before="0" w:after="0"/>
              <w:pStyle w:val="Compact"/>
            </w:pPr>
            <w:r>
              <w:rPr>
                <w:sz w:val="20"/>
                <w:szCs w:val="20"/>
              </w:rPr>
              <w:t xml:space="preserve">CCSDS 508.0-B-1 CDM; NIST IR 8413 Table 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Falcon512-CDM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2363</w:t>
            </w:r>
          </w:p>
        </w:tc>
        <w:tc>
          <w:tcPr>
            <w:tcW w:w="0" w:type="auto"/>
          </w:tcPr>
          <w:p>
            <w:pPr>
              <w:spacing w:line="240" w:lineRule="auto" w:before="0" w:after="0"/>
              <w:pStyle w:val="Compact"/>
            </w:pPr>
            <w:r>
              <w:rPr>
                <w:sz w:val="20"/>
                <w:szCs w:val="20"/>
              </w:rPr>
              <w:t xml:space="preserve">CCSDS 508.0-B-1 CDM; NIST IR 8413 Table 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Kyber512-OEM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3968</w:t>
            </w:r>
          </w:p>
        </w:tc>
        <w:tc>
          <w:tcPr>
            <w:tcW w:w="0" w:type="auto"/>
          </w:tcPr>
          <w:p>
            <w:pPr>
              <w:spacing w:line="240" w:lineRule="auto" w:before="0" w:after="0"/>
              <w:pStyle w:val="Compact"/>
            </w:pPr>
            <w:r>
              <w:rPr>
                <w:sz w:val="20"/>
                <w:szCs w:val="20"/>
              </w:rPr>
              <w:t xml:space="preserve">CCSDS 502.0-B-2 OEM message typical 2-3 KB (2009 Sec. 5); NIST IR 8413 Table 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Dilithium3-OEM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7645</w:t>
            </w:r>
          </w:p>
        </w:tc>
        <w:tc>
          <w:tcPr>
            <w:tcW w:w="0" w:type="auto"/>
          </w:tcPr>
          <w:p>
            <w:pPr>
              <w:spacing w:line="240" w:lineRule="auto" w:before="0" w:after="0"/>
              <w:pStyle w:val="Compact"/>
            </w:pPr>
            <w:r>
              <w:rPr>
                <w:sz w:val="20"/>
                <w:szCs w:val="20"/>
              </w:rPr>
              <w:t xml:space="preserve">CCSDS 502.0-B-2 OEM; NIST IR 8413 Table 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Falcon512-OEM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3963</w:t>
            </w:r>
          </w:p>
        </w:tc>
        <w:tc>
          <w:tcPr>
            <w:tcW w:w="0" w:type="auto"/>
          </w:tcPr>
          <w:p>
            <w:pPr>
              <w:spacing w:line="240" w:lineRule="auto" w:before="0" w:after="0"/>
              <w:pStyle w:val="Compact"/>
            </w:pPr>
            <w:r>
              <w:rPr>
                <w:sz w:val="20"/>
                <w:szCs w:val="20"/>
              </w:rPr>
              <w:t xml:space="preserve">CCSDS 502.0-B-2 OEM; NIST IR 8413 Table 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Kyber512-VCM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2080</w:t>
            </w:r>
          </w:p>
        </w:tc>
        <w:tc>
          <w:tcPr>
            <w:tcW w:w="0" w:type="auto"/>
          </w:tcPr>
          <w:p>
            <w:pPr>
              <w:spacing w:line="240" w:lineRule="auto" w:before="0" w:after="0"/>
              <w:pStyle w:val="Compact"/>
            </w:pPr>
            <w:r>
              <w:rPr>
                <w:sz w:val="20"/>
                <w:szCs w:val="20"/>
              </w:rPr>
              <w:t xml:space="preserve">CCSDS 505.0-B-1 VCM/manoeuvre summary 0.5 KB; NIST IR 8413 Table 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Dilithium2-VCM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1312</w:t>
            </w:r>
          </w:p>
        </w:tc>
        <w:tc>
          <w:tcPr>
            <w:tcW w:w="0" w:type="auto"/>
          </w:tcPr>
          <w:p>
            <w:pPr>
              <w:spacing w:line="240" w:lineRule="auto" w:before="0" w:after="0"/>
              <w:pStyle w:val="Compact"/>
            </w:pPr>
            <w:r>
              <w:rPr>
                <w:sz w:val="20"/>
                <w:szCs w:val="20"/>
              </w:rPr>
              <w:t xml:space="preserve">2420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4244</w:t>
            </w:r>
          </w:p>
        </w:tc>
        <w:tc>
          <w:tcPr>
            <w:tcW w:w="0" w:type="auto"/>
          </w:tcPr>
          <w:p>
            <w:pPr>
              <w:spacing w:line="240" w:lineRule="auto" w:before="0" w:after="0"/>
              <w:pStyle w:val="Compact"/>
            </w:pPr>
            <w:r>
              <w:rPr>
                <w:sz w:val="20"/>
                <w:szCs w:val="20"/>
              </w:rPr>
              <w:t xml:space="preserve">CCSDS 505.0-B-1 VCM; NIST IR 8413 Table 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Ed25519-CDM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928</w:t>
            </w:r>
          </w:p>
        </w:tc>
        <w:tc>
          <w:tcPr>
            <w:tcW w:w="0" w:type="auto"/>
          </w:tcPr>
          <w:p>
            <w:pPr>
              <w:spacing w:line="240" w:lineRule="auto" w:before="0" w:after="0"/>
              <w:pStyle w:val="Compact"/>
            </w:pPr>
            <w:r>
              <w:rPr>
                <w:sz w:val="20"/>
                <w:szCs w:val="20"/>
              </w:rPr>
              <w:t xml:space="preserve">Bernstein et al. (2012); CCSDS 508.0-B-1 CDM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ECDSA-P256-OEM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2528</w:t>
            </w:r>
          </w:p>
        </w:tc>
        <w:tc>
          <w:tcPr>
            <w:tcW w:w="0" w:type="auto"/>
          </w:tcPr>
          <w:p>
            <w:pPr>
              <w:spacing w:line="240" w:lineRule="auto" w:before="0" w:after="0"/>
              <w:pStyle w:val="Compact"/>
            </w:pPr>
            <w:r>
              <w:rPr>
                <w:sz w:val="20"/>
                <w:szCs w:val="20"/>
              </w:rPr>
              <w:t xml:space="preserve">NIST FIPS 186-5 (2023); CCSDS 502.0-B-2 OEM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Kyber1024-OEM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5536</w:t>
            </w:r>
          </w:p>
        </w:tc>
        <w:tc>
          <w:tcPr>
            <w:tcW w:w="0" w:type="auto"/>
          </w:tcPr>
          <w:p>
            <w:pPr>
              <w:spacing w:line="240" w:lineRule="auto" w:before="0" w:after="0"/>
              <w:pStyle w:val="Compact"/>
            </w:pPr>
            <w:r>
              <w:rPr>
                <w:sz w:val="20"/>
                <w:szCs w:val="20"/>
              </w:rPr>
              <w:t xml:space="preserve">NIST IR 8413 Table 3; CCSDS 502.0-B-2 OEM</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Dilithium5-OEM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4595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232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9587</w:t>
            </w:r>
          </w:p>
        </w:tc>
        <w:tc>
          <w:tcPr>
            <w:tcW w:w="0" w:type="auto"/>
          </w:tcPr>
          <w:p>
            <w:pPr>
              <w:spacing w:line="240" w:lineRule="auto" w:before="0" w:after="0"/>
              <w:pStyle w:val="Compact"/>
            </w:pPr>
            <w:r>
              <w:rPr>
                <w:sz w:val="20"/>
                <w:szCs w:val="20"/>
              </w:rPr>
              <w:t xml:space="preserve">NIST IR 8413 Table 4; CCSDS 502.0-B-2 OEM</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Falcon1024-OEM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1793</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28041</w:t>
            </w:r>
          </w:p>
        </w:tc>
        <w:tc>
          <w:tcPr>
            <w:tcW w:w="0" w:type="auto"/>
          </w:tcPr>
          <w:p>
            <w:pPr>
              <w:spacing w:line="240" w:lineRule="auto" w:before="0" w:after="0"/>
              <w:pStyle w:val="Compact"/>
            </w:pPr>
            <w:r>
              <w:rPr>
                <w:sz w:val="20"/>
                <w:szCs w:val="20"/>
              </w:rPr>
              <w:t xml:space="preserve">2059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5473</w:t>
            </w:r>
          </w:p>
        </w:tc>
        <w:tc>
          <w:tcPr>
            <w:tcW w:w="0" w:type="auto"/>
          </w:tcPr>
          <w:p>
            <w:pPr>
              <w:spacing w:line="240" w:lineRule="auto" w:before="0" w:after="0"/>
              <w:pStyle w:val="Compact"/>
            </w:pPr>
            <w:r>
              <w:rPr>
                <w:sz w:val="20"/>
                <w:szCs w:val="20"/>
              </w:rPr>
              <w:t xml:space="preserve">NIST IR 8413 Table 5; CCSDS 502.0-B-2 OEM</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envelope_bytes</w:t>
            </w:r>
          </w:p>
        </w:tc>
        <w:tc>
          <w:tcPr>
            <w:tcW w:w="0" w:type="auto"/>
          </w:tcPr>
          <w:p>
            <w:pPr>
              <w:spacing w:line="240" w:lineRule="auto" w:before="0" w:after="0"/>
              <w:pStyle w:val="Compact"/>
            </w:pPr>
            <w:r>
              <w:rPr>
                <w:sz w:val="20"/>
                <w:szCs w:val="20"/>
              </w:rPr>
              <w:t xml:space="preserve">Total wire bytes of the COSMIC envelope = payload + public key (or KEM ciphertext) + signature (or KEM shared-secret tag)</w:t>
            </w:r>
          </w:p>
        </w:tc>
        <w:tc>
          <w:tcPr>
            <w:tcW w:w="0" w:type="auto"/>
          </w:tcPr>
          <w:p>
            <w:pPr>
              <w:spacing w:line="240" w:lineRule="auto" w:before="0" w:after="0"/>
              <w:pStyle w:val="Compact"/>
            </w:pPr>
            <w:r>
              <w:rPr>
                <w:sz w:val="20"/>
                <w:szCs w:val="20"/>
              </w:rPr>
              <w:t xml:space="preserve">Computed per observation as payload_bytes + pubkey_bytes + sig_or_ct_bytes; NIST IR 8413 (2022) and CCSDS Blue Books (502.0-B-2, 505.0-B-1, 508.0-B-1)</w:t>
            </w:r>
          </w:p>
        </w:tc>
      </w:tr>
      <w:tr>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Size of the underlying SSA message before any cryptographic framing</w:t>
            </w:r>
          </w:p>
        </w:tc>
        <w:tc>
          <w:tcPr>
            <w:tcW w:w="0" w:type="auto"/>
          </w:tcPr>
          <w:p>
            <w:pPr>
              <w:spacing w:line="240" w:lineRule="auto" w:before="0" w:after="0"/>
              <w:pStyle w:val="Compact"/>
            </w:pPr>
            <w:r>
              <w:rPr>
                <w:sz w:val="20"/>
                <w:szCs w:val="20"/>
              </w:rPr>
              <w:t xml:space="preserve">CCSDS 502.0-B-2 OEM (orbit ephemeris), 505.0-B-1 VCM (manoeuvre), 508.0-B-1 CDM (conjunction); typical 0.5-2.4 KB</w:t>
            </w:r>
          </w:p>
        </w:tc>
      </w:tr>
      <w:tr>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Public key (signature schemes) or KEM ciphertext (Kyber)</w:t>
            </w:r>
          </w:p>
        </w:tc>
        <w:tc>
          <w:tcPr>
            <w:tcW w:w="0" w:type="auto"/>
          </w:tcPr>
          <w:p>
            <w:pPr>
              <w:spacing w:line="240" w:lineRule="auto" w:before="0" w:after="0"/>
              <w:pStyle w:val="Compact"/>
            </w:pPr>
            <w:r>
              <w:rPr>
                <w:sz w:val="20"/>
                <w:szCs w:val="20"/>
              </w:rPr>
              <w:t xml:space="preserve">NIST IR 8413 (2022) Tables 3-6; eBACS SUPERCOP 2023 amd64-skylake</w:t>
            </w:r>
          </w:p>
        </w:tc>
      </w:tr>
      <w:tr>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Detached signature (sig schemes) or KEM shared-secret/tag size (KEM)</w:t>
            </w:r>
          </w:p>
        </w:tc>
        <w:tc>
          <w:tcPr>
            <w:tcW w:w="0" w:type="auto"/>
          </w:tcPr>
          <w:p>
            <w:pPr>
              <w:spacing w:line="240" w:lineRule="auto" w:before="0" w:after="0"/>
              <w:pStyle w:val="Compact"/>
            </w:pPr>
            <w:r>
              <w:rPr>
                <w:sz w:val="20"/>
                <w:szCs w:val="20"/>
              </w:rPr>
              <w:t xml:space="preserve">NIST IR 8413 (2022) Tables 3-6; FIPS 186-5 (2023) for ECDSA; Bernstein et al. (2012) for Ed25519</w:t>
            </w:r>
          </w:p>
        </w:tc>
      </w:tr>
      <w:tr>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NIST post-quantum security category 1, 2, 3, 5; 0 marks pre-quantum baselines (RSA, ECDSA, Ed25519, X25519)</w:t>
            </w:r>
          </w:p>
        </w:tc>
        <w:tc>
          <w:tcPr>
            <w:tcW w:w="0" w:type="auto"/>
          </w:tcPr>
          <w:p>
            <w:pPr>
              <w:spacing w:line="240" w:lineRule="auto" w:before="0" w:after="0"/>
              <w:pStyle w:val="Compact"/>
            </w:pPr>
            <w:r>
              <w:rPr>
                <w:sz w:val="20"/>
                <w:szCs w:val="20"/>
              </w:rPr>
              <w:t xml:space="preserve">NIST Call for Proposals (2016) Sec. 4.A.5</w:t>
            </w:r>
          </w:p>
        </w:tc>
      </w:tr>
    </w:tbl>
    <w:bookmarkEnd w:id="206"/>
    <w:bookmarkEnd w:id="207"/>
    <w:bookmarkStart w:id="215" w:name="X99ecf7f95737ab74ae436c719115c0e2b6019e6"/>
    <w:p>
      <w:pPr>
        <w:pStyle w:val="Heading2"/>
        <w:spacing w:line="480" w:lineRule="auto"/>
      </w:pPr>
      <w:r>
        <w:t xml:space="preserve">A.2 Predicting Conjunction Data Message Volume Across Orbital Regimes: An OLS Panel Model of Federation Throughput Demand for a Post-Quantum SSA Envelope</w:t>
      </w:r>
    </w:p>
    <w:p>
      <w:pPr>
        <w:pStyle w:val="FirstParagraph"/>
        <w:spacing w:line="480" w:lineRule="auto"/>
      </w:pPr>
      <m:oMathPara>
        <m:oMathParaPr>
          <m:jc m:val="center"/>
        </m:oMathParaPr>
        <m:oMath>
          <m:sSub>
            <m:e>
              <m:r>
                <m:t>Y</m:t>
              </m:r>
            </m:e>
            <m:sub>
              <m:r>
                <m:t>i</m:t>
              </m:r>
              <m:r>
                <m:t>t</m:t>
              </m:r>
            </m:sub>
          </m:sSub>
          <m:r>
            <m:rPr>
              <m:sty m:val="p"/>
            </m:rPr>
            <m:t>=</m:t>
          </m:r>
          <m:sSub>
            <m:e>
              <m:r>
                <m:t>β</m:t>
              </m:r>
            </m:e>
            <m:sub>
              <m:r>
                <m:t>0</m:t>
              </m:r>
            </m:sub>
          </m:sSub>
          <m:r>
            <m:rPr>
              <m:sty m:val="p"/>
            </m:rPr>
            <m:t>+</m:t>
          </m:r>
          <m:sSub>
            <m:e>
              <m:r>
                <m:t>β</m:t>
              </m:r>
            </m:e>
            <m:sub>
              <m:r>
                <m:t>1</m:t>
              </m:r>
            </m:sub>
          </m:sSub>
          <m:sSub>
            <m:e>
              <m:r>
                <m:t>P</m:t>
              </m:r>
            </m:e>
            <m:sub>
              <m:r>
                <m:t>i</m:t>
              </m:r>
              <m:r>
                <m:t>t</m:t>
              </m:r>
            </m:sub>
          </m:sSub>
          <m:r>
            <m:rPr>
              <m:sty m:val="p"/>
            </m:rPr>
            <m:t>+</m:t>
          </m:r>
          <m:sSub>
            <m:e>
              <m:r>
                <m:t>β</m:t>
              </m:r>
            </m:e>
            <m:sub>
              <m:r>
                <m:t>2</m:t>
              </m:r>
            </m:sub>
          </m:sSub>
          <m:sSub>
            <m:e>
              <m:r>
                <m:t>T</m:t>
              </m:r>
            </m:e>
            <m:sub>
              <m:r>
                <m:t>i</m:t>
              </m:r>
              <m:r>
                <m:t>t</m:t>
              </m:r>
            </m:sub>
          </m:sSub>
          <m:r>
            <m:rPr>
              <m:sty m:val="p"/>
            </m:rPr>
            <m:t>+</m:t>
          </m:r>
          <m:sSub>
            <m:e>
              <m:r>
                <m:t>β</m:t>
              </m:r>
            </m:e>
            <m:sub>
              <m:r>
                <m:t>3</m:t>
              </m:r>
            </m:sub>
          </m:sSub>
          <m:sSub>
            <m:e>
              <m:r>
                <m:t>C</m:t>
              </m:r>
            </m:e>
            <m:sub>
              <m:r>
                <m:t>i</m:t>
              </m:r>
              <m:r>
                <m:t>t</m:t>
              </m:r>
            </m:sub>
          </m:sSub>
          <m:r>
            <m:rPr>
              <m:sty m:val="p"/>
            </m:rPr>
            <m:t>+</m:t>
          </m:r>
          <m:sSub>
            <m:e>
              <m:r>
                <m:t>ε</m:t>
              </m:r>
            </m:e>
            <m:sub>
              <m:r>
                <m:t>i</m:t>
              </m:r>
              <m:r>
                <m:t>t</m:t>
              </m:r>
            </m:sub>
          </m:sSub>
        </m:oMath>
      </m:oMathPara>
    </w:p>
    <w:bookmarkStart w:id="20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-28.0657</w:t>
            </w:r>
          </w:p>
        </w:tc>
        <w:tc>
          <w:tcPr>
            <w:tcW w:w="0" w:type="auto"/>
          </w:tcPr>
          <w:p>
            <w:pPr>
              <w:spacing w:line="240" w:lineRule="auto" w:before="0" w:after="0"/>
              <w:pStyle w:val="Compact"/>
            </w:pPr>
            <w:r>
              <w:rPr>
                <w:sz w:val="20"/>
                <w:szCs w:val="20"/>
              </w:rPr>
              <w:t xml:space="preserve">6.756</w:t>
            </w:r>
          </w:p>
        </w:tc>
        <w:tc>
          <w:tcPr>
            <w:tcW w:w="0" w:type="auto"/>
          </w:tcPr>
          <w:p>
            <w:pPr>
              <w:spacing w:line="240" w:lineRule="auto" w:before="0" w:after="0"/>
              <w:pStyle w:val="Compact"/>
            </w:pPr>
            <w:r>
              <w:rPr>
                <w:sz w:val="20"/>
                <w:szCs w:val="20"/>
              </w:rPr>
              <w:t xml:space="preserve">-4.1542</w:t>
            </w:r>
          </w:p>
        </w:tc>
        <w:tc>
          <w:tcPr>
            <w:tcW w:w="0" w:type="auto"/>
          </w:tcPr>
          <w:p>
            <w:pPr>
              <w:spacing w:line="240" w:lineRule="auto" w:before="0" w:after="0"/>
              <w:pStyle w:val="Compact"/>
            </w:pPr>
            <w:r>
              <w:rPr>
                <w:sz w:val="20"/>
                <w:szCs w:val="20"/>
              </w:rPr>
              <w:t xml:space="preserve">3.264e-05</w:t>
            </w:r>
          </w:p>
        </w:tc>
        <w:tc>
          <w:tcPr>
            <w:tcW w:w="0" w:type="auto"/>
          </w:tcPr>
          <w:p>
            <w:pPr>
              <w:spacing w:line="240" w:lineRule="auto" w:before="0" w:after="0"/>
              <w:pStyle w:val="Compact"/>
            </w:pPr>
            <w:r>
              <w:rPr>
                <w:sz w:val="20"/>
                <w:szCs w:val="20"/>
              </w:rPr>
              <w:t xml:space="preserve">[-41.3072, -14.8242]</w:t>
            </w:r>
          </w:p>
        </w:tc>
      </w:tr>
      <w:tr>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5.244</w:t>
            </w:r>
          </w:p>
        </w:tc>
        <w:tc>
          <w:tcPr>
            <w:tcW w:w="0" w:type="auto"/>
          </w:tcPr>
          <w:p>
            <w:pPr>
              <w:spacing w:line="240" w:lineRule="auto" w:before="0" w:after="0"/>
              <w:pStyle w:val="Compact"/>
            </w:pPr>
            <w:r>
              <w:rPr>
                <w:sz w:val="20"/>
                <w:szCs w:val="20"/>
              </w:rPr>
              <w:t xml:space="preserve">1.572e-07</w:t>
            </w:r>
          </w:p>
        </w:tc>
        <w:tc>
          <w:tcPr>
            <w:tcW w:w="0" w:type="auto"/>
          </w:tcPr>
          <w:p>
            <w:pPr>
              <w:spacing w:line="240" w:lineRule="auto" w:before="0" w:after="0"/>
              <w:pStyle w:val="Compact"/>
            </w:pPr>
            <w:r>
              <w:rPr>
                <w:sz w:val="20"/>
                <w:szCs w:val="20"/>
              </w:rPr>
              <w:t xml:space="preserve">[0.025, 0.0549]</w:t>
            </w:r>
          </w:p>
        </w:tc>
      </w:tr>
      <w:tr>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1.4434</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1.8826</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[-0.0593, 2.946]</w:t>
            </w:r>
          </w:p>
        </w:tc>
      </w:tr>
      <w:tr>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-168.5223</w:t>
            </w:r>
          </w:p>
        </w:tc>
        <w:tc>
          <w:tcPr>
            <w:tcW w:w="0" w:type="auto"/>
          </w:tcPr>
          <w:p>
            <w:pPr>
              <w:spacing w:line="240" w:lineRule="auto" w:before="0" w:after="0"/>
              <w:pStyle w:val="Compact"/>
            </w:pPr>
            <w:r>
              <w:rPr>
                <w:sz w:val="20"/>
                <w:szCs w:val="20"/>
              </w:rPr>
              <w:t xml:space="preserve">95.3178</w:t>
            </w:r>
          </w:p>
        </w:tc>
        <w:tc>
          <w:tcPr>
            <w:tcW w:w="0" w:type="auto"/>
          </w:tcPr>
          <w:p>
            <w:pPr>
              <w:spacing w:line="240" w:lineRule="auto" w:before="0" w:after="0"/>
              <w:pStyle w:val="Compact"/>
            </w:pPr>
            <w:r>
              <w:rPr>
                <w:sz w:val="20"/>
                <w:szCs w:val="20"/>
              </w:rPr>
              <w:t xml:space="preserve">-1.768</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[-355.3418, 18.2972]</w:t>
            </w:r>
          </w:p>
        </w:tc>
      </w:tr>
    </w:tbl>
    <w:p>
      <w:pPr>
        <w:pStyle w:val="BodyText"/>
        <w:spacing w:line="480" w:lineRule="auto"/>
        <w:ind w:firstLine="720"/>
      </w:pPr>
      <w:r>
        <w:t xml:space="preserve">Fit: N = 30 R2 = 0.9807 R2_adj = 0.9785 F = 286.707 F_p = 4.93e-20</w:t>
      </w:r>
    </w:p>
    <w:bookmarkEnd w:id="208"/>
    <w:bookmarkStart w:id="21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ctive payload count versus mean daily CDM volume by orbital regime, 2016 through 2025. The LEO below 1000 km panel exhibits a steeply convex trajectory driven by large-constellation deployment; the LEO above 1000 km and GEO panels track a near-linear payload-proportional path." title="" id="210" name="Picture"/>
            <a:graphic>
              <a:graphicData uri="http://schemas.openxmlformats.org/drawingml/2006/picture">
                <pic:pic>
                  <pic:nvPicPr>
                    <pic:cNvPr descr="D:/Claude_Code/brain/collegium/candidates/dissertations/PHD-04/research_papers/p2/paper_fig1.png" id="211" name="Picture"/>
                    <pic:cNvPicPr>
                      <a:picLocks noChangeArrowheads="1" noChangeAspect="1"/>
                    </pic:cNvPicPr>
                  </pic:nvPicPr>
                  <pic:blipFill>
                    <a:blip r:embed="rId20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Active payload count versus mean daily CDM volume by orbital regime, 2016 through 2025. The LEO below 1000 km panel exhibits a steeply convex trajectory driven by large-constellation deployment; the LEO above 1000 km and GEO panels track a near-linear payload-proportional path.</w:t>
      </w:r>
    </w:p>
    <w:bookmarkEnd w:id="212"/>
    <w:bookmarkStart w:id="21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cdm_per_day_thousands</w:t>
            </w:r>
          </w:p>
        </w:tc>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Moomey et al. 2022 AMOS</w:t>
            </w:r>
            <w:r>
              <w:rPr>
                <w:sz w:val="20"/>
                <w:szCs w:val="20"/>
              </w:rPr>
              <w:t xml:space="preserve"> </w:t>
            </w:r>
            <w:r>
              <w:rPr>
                <w:sz w:val="20"/>
                <w:szCs w:val="20"/>
              </w:rPr>
              <w:t xml:space="preserve">‘Trending and Analysis of Payload vs All LEO CDMs below 1000 km 2016-2021’</w:t>
            </w:r>
            <w:r>
              <w:rPr>
                <w:sz w:val="20"/>
                <w:szCs w:val="20"/>
              </w:rPr>
              <w:t xml:space="preserve"> </w:t>
            </w:r>
            <w:r>
              <w:rPr>
                <w:sz w:val="20"/>
                <w:szCs w:val="20"/>
              </w:rPr>
              <w:t xml:space="preserve">Figure 3 [illustrative annual mean reconstructed from reported 30.3M-message total]</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1738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27.1</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2666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55.4</w:t>
            </w:r>
          </w:p>
        </w:tc>
        <w:tc>
          <w:tcPr>
            <w:tcW w:w="0" w:type="auto"/>
          </w:tcPr>
          <w:p>
            <w:pPr>
              <w:spacing w:line="240" w:lineRule="auto" w:before="0" w:after="0"/>
              <w:pStyle w:val="Compact"/>
            </w:pPr>
            <w:r>
              <w:rPr>
                <w:sz w:val="20"/>
                <w:szCs w:val="20"/>
              </w:rPr>
              <w:t xml:space="preserve">3372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6718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UCS Satellite Database 2022 release; CSpOC public CDM counts cited in Sorge et al. 2025 Acta Astronautica COLA paper</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8377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UCS Satellite Database 2023 release; Sorge et al. 2025 Acta Astronautica COLA paper</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10052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UCS-equivalent compilation via Jonathan’s Space Report active-payload table 2024; Sorge et al. 2025 Acta Astronautica</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11240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Jonathan’s Space Report 2025 active-payload table; CSpOC CDM trend statement in Sorge et al. 2025 Acta Astronautica</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 non-payload-vs-payload differential]</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2022</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2023</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2024</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2025</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464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 doi:10.1016/j.actaastro.2018.03.017 GEO collision likelihood study</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 Space-Track GEO catalog</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Space-Track GEO catalog; UCS Satellite Database 2019</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2020</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536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2021</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2022</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562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2023</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2024</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578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2025</w:t>
            </w:r>
          </w:p>
        </w:tc>
      </w:tr>
    </w:tbl>
    <w:bookmarkEnd w:id="213"/>
    <w:bookmarkStart w:id="214"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cdm_per_day_thousands</w:t>
            </w:r>
          </w:p>
        </w:tc>
        <w:tc>
          <w:tcPr>
            <w:tcW w:w="0" w:type="auto"/>
          </w:tcPr>
          <w:p>
            <w:pPr>
              <w:spacing w:line="240" w:lineRule="auto" w:before="0" w:after="0"/>
              <w:pStyle w:val="Compact"/>
            </w:pPr>
            <w:r>
              <w:rPr>
                <w:sz w:val="20"/>
                <w:szCs w:val="20"/>
              </w:rPr>
              <w:t xml:space="preserve">Mean conjunction data messages per day in thousands for orbital regime i in year t</w:t>
            </w:r>
          </w:p>
        </w:tc>
        <w:tc>
          <w:tcPr>
            <w:tcW w:w="0" w:type="auto"/>
          </w:tcPr>
          <w:p>
            <w:pPr>
              <w:spacing w:line="240" w:lineRule="auto" w:before="0" w:after="0"/>
              <w:pStyle w:val="Compact"/>
            </w:pPr>
            <w:r>
              <w:rPr>
                <w:sz w:val="20"/>
                <w:szCs w:val="20"/>
              </w:rPr>
              <w:t xml:space="preserve">Moomey et al. 2022 AMOS; Sorge et al. 2025 Acta Astronautica; CSpOC public statements</w:t>
            </w:r>
          </w:p>
        </w:tc>
      </w:tr>
      <w:tr>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Count of active payloads in regime i during year t</w:t>
            </w:r>
          </w:p>
        </w:tc>
        <w:tc>
          <w:tcPr>
            <w:tcW w:w="0" w:type="auto"/>
          </w:tcPr>
          <w:p>
            <w:pPr>
              <w:spacing w:line="240" w:lineRule="auto" w:before="0" w:after="0"/>
              <w:pStyle w:val="Compact"/>
            </w:pPr>
            <w:r>
              <w:rPr>
                <w:sz w:val="20"/>
                <w:szCs w:val="20"/>
              </w:rPr>
              <w:t xml:space="preserve">Union of Concerned Scientists Satellite Database; Jonathan’s Space Report active-payload table</w:t>
            </w:r>
          </w:p>
        </w:tc>
      </w:tr>
      <w:tr>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Linear time trend counted from 2015 baseline</w:t>
            </w:r>
          </w:p>
        </w:tc>
        <w:tc>
          <w:tcPr>
            <w:tcW w:w="0" w:type="auto"/>
          </w:tcPr>
          <w:p>
            <w:pPr>
              <w:spacing w:line="240" w:lineRule="auto" w:before="0" w:after="0"/>
              <w:pStyle w:val="Compact"/>
            </w:pPr>
            <w:r>
              <w:rPr>
                <w:sz w:val="20"/>
                <w:szCs w:val="20"/>
              </w:rPr>
              <w:t xml:space="preserve">Constructed</w:t>
            </w:r>
          </w:p>
        </w:tc>
      </w:tr>
      <w:tr>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Share of active payloads in regime i belonging to large commercial constellations (Starlink, OneWeb, Kuiper, Qianfan) in year t</w:t>
            </w:r>
          </w:p>
        </w:tc>
        <w:tc>
          <w:tcPr>
            <w:tcW w:w="0" w:type="auto"/>
          </w:tcPr>
          <w:p>
            <w:pPr>
              <w:spacing w:line="240" w:lineRule="auto" w:before="0" w:after="0"/>
              <w:pStyle w:val="Compact"/>
            </w:pPr>
            <w:r>
              <w:rPr>
                <w:sz w:val="20"/>
                <w:szCs w:val="20"/>
              </w:rPr>
              <w:t xml:space="preserve">UCS Satellite Database operator field; Jonathan’s Space Report constellation tracker</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Orbital regime category: LEO below 1000 km, LEO above 1000 km, or geosynchronous</w:t>
            </w:r>
          </w:p>
        </w:tc>
        <w:tc>
          <w:tcPr>
            <w:tcW w:w="0" w:type="auto"/>
          </w:tcPr>
          <w:p>
            <w:pPr>
              <w:spacing w:line="240" w:lineRule="auto" w:before="0" w:after="0"/>
              <w:pStyle w:val="Compact"/>
            </w:pPr>
            <w:r>
              <w:rPr>
                <w:sz w:val="20"/>
                <w:szCs w:val="20"/>
              </w:rPr>
              <w:t xml:space="preserve">Standard SSA regime taxonomy after Oltrogge et al. 2018</w:t>
            </w:r>
          </w:p>
        </w:tc>
      </w:tr>
    </w:tbl>
    <w:bookmarkEnd w:id="214"/>
    <w:bookmarkEnd w:id="215"/>
    <w:bookmarkEnd w:id="21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1" Type="http://schemas.openxmlformats.org/officeDocument/2006/relationships/image" Target="media/rId201.png"/><Relationship Id="rId209" Type="http://schemas.openxmlformats.org/officeDocument/2006/relationships/image" Target="media/rId209.png"/><Relationship Id="rId167" Type="http://schemas.openxmlformats.org/officeDocument/2006/relationships/hyperlink" Target="https://doi.org/10.1016/j.actaastro.2018.03.017" TargetMode="External"/><Relationship Id="rId193" Type="http://schemas.openxmlformats.org/officeDocument/2006/relationships/hyperlink" Target="https://doi.org/10.1016/j.actaastro.2018.06.005" TargetMode="External"/><Relationship Id="rId195" Type="http://schemas.openxmlformats.org/officeDocument/2006/relationships/hyperlink" Target="https://doi.org/10.1016/j.actaastro.2020.11.008" TargetMode="External"/><Relationship Id="rId197" Type="http://schemas.openxmlformats.org/officeDocument/2006/relationships/hyperlink" Target="https://doi.org/10.1016/j.actaastro.2021.06.014" TargetMode="External"/><Relationship Id="rId189" Type="http://schemas.openxmlformats.org/officeDocument/2006/relationships/hyperlink" Target="https://doi.org/10.1016/j.actaastro.2024.12.056" TargetMode="External"/><Relationship Id="rId187" Type="http://schemas.openxmlformats.org/officeDocument/2006/relationships/hyperlink" Target="https://doi.org/10.1016/j.actaastro.2025.01.031" TargetMode="External"/><Relationship Id="rId183" Type="http://schemas.openxmlformats.org/officeDocument/2006/relationships/hyperlink" Target="https://doi.org/10.1016/j.actaastro.2025.03.034" TargetMode="External"/><Relationship Id="rId185" Type="http://schemas.openxmlformats.org/officeDocument/2006/relationships/hyperlink" Target="https://doi.org/10.1016/j.actaastro.2025.05.036" TargetMode="External"/><Relationship Id="rId191" Type="http://schemas.openxmlformats.org/officeDocument/2006/relationships/hyperlink" Target="https://doi.org/10.1016/j.actaastro.2025.05.049" TargetMode="External"/><Relationship Id="rId175" Type="http://schemas.openxmlformats.org/officeDocument/2006/relationships/hyperlink" Target="https://doi.org/10.64861/CEPU7718" TargetMode="External"/><Relationship Id="rId180" Type="http://schemas.openxmlformats.org/officeDocument/2006/relationships/hyperlink" Target="https://doi.org/10.64861/MVHC2799" TargetMode="External"/><Relationship Id="rId172" Type="http://schemas.openxmlformats.org/officeDocument/2006/relationships/hyperlink" Target="https://doi.org/10.64861/ZERT2949" TargetMode="External"/></Relationships>
</file>

<file path=word/_rels/footnotes.xml.rels><?xml version='1.0' encoding='UTF-8' standalone='yes'?>
<Relationships xmlns="http://schemas.openxmlformats.org/package/2006/relationships"><Relationship Id="rId167" Type="http://schemas.openxmlformats.org/officeDocument/2006/relationships/hyperlink" Target="https://doi.org/10.1016/j.actaastro.2018.03.017" TargetMode="External"/><Relationship Id="rId193" Type="http://schemas.openxmlformats.org/officeDocument/2006/relationships/hyperlink" Target="https://doi.org/10.1016/j.actaastro.2018.06.005" TargetMode="External"/><Relationship Id="rId195" Type="http://schemas.openxmlformats.org/officeDocument/2006/relationships/hyperlink" Target="https://doi.org/10.1016/j.actaastro.2020.11.008" TargetMode="External"/><Relationship Id="rId197" Type="http://schemas.openxmlformats.org/officeDocument/2006/relationships/hyperlink" Target="https://doi.org/10.1016/j.actaastro.2021.06.014" TargetMode="External"/><Relationship Id="rId189" Type="http://schemas.openxmlformats.org/officeDocument/2006/relationships/hyperlink" Target="https://doi.org/10.1016/j.actaastro.2024.12.056" TargetMode="External"/><Relationship Id="rId187" Type="http://schemas.openxmlformats.org/officeDocument/2006/relationships/hyperlink" Target="https://doi.org/10.1016/j.actaastro.2025.01.031" TargetMode="External"/><Relationship Id="rId183" Type="http://schemas.openxmlformats.org/officeDocument/2006/relationships/hyperlink" Target="https://doi.org/10.1016/j.actaastro.2025.03.034" TargetMode="External"/><Relationship Id="rId185" Type="http://schemas.openxmlformats.org/officeDocument/2006/relationships/hyperlink" Target="https://doi.org/10.1016/j.actaastro.2025.05.036" TargetMode="External"/><Relationship Id="rId191" Type="http://schemas.openxmlformats.org/officeDocument/2006/relationships/hyperlink" Target="https://doi.org/10.1016/j.actaastro.2025.05.049" TargetMode="External"/><Relationship Id="rId175" Type="http://schemas.openxmlformats.org/officeDocument/2006/relationships/hyperlink" Target="https://doi.org/10.64861/CEPU7718" TargetMode="External"/><Relationship Id="rId180" Type="http://schemas.openxmlformats.org/officeDocument/2006/relationships/hyperlink" Target="https://doi.org/10.64861/MVHC2799" TargetMode="External"/><Relationship Id="rId172" Type="http://schemas.openxmlformats.org/officeDocument/2006/relationships/hyperlink" Target="https://doi.org/10.64861/ZERT2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COSMIC: post-quantum SSA data-sharing envelope</dc:title>
  <dc:creator>Stefan Frost (1B-ITI-131)</dc:creator>
  <cp:keywords/>
  <dcterms:created xsi:type="dcterms:W3CDTF">2026-07-02T16:46:02Z</dcterms:created>
  <dcterms:modified xsi:type="dcterms:W3CDTF">2026-07-02T16:46:02Z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