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a5917935b0868c8754ba025dabce4b550323dcc"/>
    <w:p>
      <w:pPr>
        <w:pStyle w:val="Heading1"/>
      </w:pPr>
      <w:r>
        <w:t xml:space="preserve">Attention Accumulation in Polycentric Cislunar STM: A Learning-Curve Analysis of Citation Growth by Article Age</w:t>
      </w:r>
    </w:p>
    <w:bookmarkStart w:id="61" w:name="introduction"/>
    <w:p>
      <w:pPr>
        <w:pStyle w:val="Heading2"/>
      </w:pPr>
      <w:r>
        <w:t xml:space="preserve">1. Introduction</w:t>
      </w:r>
    </w:p>
    <w:p>
      <w:pPr>
        <w:pStyle w:val="FirstParagraph"/>
      </w:pPr>
      <w:r>
        <w:t xml:space="preserve">This empirical paper supports Soren Vance (1B-SDA-188) and the dissertation project</w:t>
      </w:r>
      <w:r>
        <w:t xml:space="preserve"> </w:t>
      </w:r>
      <w:r>
        <w:rPr>
          <w:i/>
          <w:iCs/>
        </w:rPr>
        <w:t xml:space="preserve">Polycentric Cislunar STM</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R2=0.02998034763839874, elasticity_b=-0.3912707240399367, progress_ratio_2^b=0.7624577367849963. The exact term summary is: const coef=1.2867010209607117 p=0.02224551516825301; _ln_x coef=-0.3912707240399367 p=0.31811923231550265.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7" w:name="references"/>
    <w:p>
      <w:pPr>
        <w:pStyle w:val="Heading2"/>
      </w:pPr>
      <w:r>
        <w:t xml:space="preserve">References</w:t>
      </w:r>
    </w:p>
    <w:p>
      <w:pPr>
        <w:pStyle w:val="FirstParagraph"/>
      </w:pPr>
      <w:bookmarkStart w:id="67" w:name="ref-1"/>
      <w:bookmarkEnd w:id="67"/>
      <w:r>
        <w:t xml:space="preserve">1. Harvey Reed, MITRE; Nathaniel Dailey, MITRE; Ruth Stilwell, Aerospace Policy Solutions, LLC; Brian Weeden, Secure World Foundation. Decentralized Space Information Sharing as a Key Enabler of Trust and the Preservation of Space (2021). [AMOS]</w:t>
      </w:r>
      <w:r>
        <w:t xml:space="preserve"> </w:t>
      </w:r>
      <w:bookmarkStart w:id="68" w:name="ref-2"/>
      <w:bookmarkEnd w:id="68"/>
      <w:r>
        <w:t xml:space="preserve">2. Phillip M. Cunio, ExoAnalytic Solutions, Inc.; Marcus Bever, ExoAnalytic Solutions, Inc.; Christopher Ingram, ExoAnalytic Solutions, Inc.; Brien R. Flewelling, ExoAnalytic Solutions, Inc.; Greg McNeill, ExoAnalytic Solutions, Inc.. Utilization Potential for Distinct Orbit Families in the Cislunar Domain (2021). [AMOS]</w:t>
      </w:r>
      <w:r>
        <w:t xml:space="preserve"> </w:t>
      </w:r>
      <w:bookmarkStart w:id="69" w:name="ref-3"/>
      <w:bookmarkEnd w:id="69"/>
      <w:r>
        <w:t xml:space="preserve">3. Joshua Wysack, Ball Aerospace; Kevin Ferrant, Ball Aerospace. Contrasting Architectures for Cislunar SDA and STM (2023). doi:</w:t>
      </w:r>
      <w:r>
        <w:t xml:space="preserve"> </w:t>
      </w:r>
      <w:hyperlink r:id="rId70">
        <w:r>
          <w:rPr>
            <w:rStyle w:val="Hyperlink"/>
          </w:rPr>
          <w:t xml:space="preserve">10.64861/KUQJ3053</w:t>
        </w:r>
      </w:hyperlink>
      <w:r>
        <w:t xml:space="preserve"> </w:t>
      </w:r>
      <w:bookmarkStart w:id="71" w:name="ref-4"/>
      <w:bookmarkEnd w:id="71"/>
      <w:r>
        <w:t xml:space="preserve">4. Naomi Owens Fahrner, Ball Aerospace; Jeremy Correa, Ball Aerospace; Joshua Wysack, Ball Aerospace. Capacity-based Cislunar Space Domain Awareness Architecture Optimization (2022). [AMOS]</w:t>
      </w:r>
      <w:r>
        <w:t xml:space="preserve"> </w:t>
      </w:r>
      <w:bookmarkStart w:id="72" w:name="ref-5"/>
      <w:bookmarkEnd w:id="72"/>
      <w:r>
        <w:t xml:space="preserve">5. Rina Zhang, Science and Technology Policy Institute; Asha Balakrishnan, Science and Technology Policy Institute. From Ozone Depletion to Orbital Debris: Lessons Learned from the Montreal Protocol (2022). [AMOS]</w:t>
      </w:r>
      <w:r>
        <w:t xml:space="preserve"> </w:t>
      </w:r>
      <w:bookmarkStart w:id="73" w:name="ref-6"/>
      <w:bookmarkEnd w:id="73"/>
      <w:r>
        <w:t xml:space="preserve">6. Harvey Reed, The MITRE Corporation; Ruth Stilwell, Aerospace Policy Solutions, LLC; Brian Weeden, Secure World Foundation; Nathaniel Dailey, The MITRE Corporation; Nick Tsamis, The MITRE Corporation. Sharing Operational Risk Information in the Space Domain to Facilitate Norms Development and Compliance Monitoring (2022). [AMOS]</w:t>
      </w:r>
      <w:r>
        <w:t xml:space="preserve"> </w:t>
      </w:r>
      <w:bookmarkStart w:id="74" w:name="ref-7"/>
      <w:bookmarkEnd w:id="74"/>
      <w:r>
        <w:t xml:space="preserve">7. Raymond Wright, BAE Systems; Naomi Owens-Fahrner, BAE Systems; Luke Tafur, BAE Systems; Joshua Wysack, BAE Systems. Applications of Poincare Search Maps for Space-Based Cislunar SDA Detection (2024). doi:</w:t>
      </w:r>
      <w:r>
        <w:t xml:space="preserve"> </w:t>
      </w:r>
      <w:hyperlink r:id="rId75">
        <w:r>
          <w:rPr>
            <w:rStyle w:val="Hyperlink"/>
          </w:rPr>
          <w:t xml:space="preserve">10.64861/UAMB9924</w:t>
        </w:r>
      </w:hyperlink>
      <w:r>
        <w:t xml:space="preserve"> </w:t>
      </w:r>
      <w:bookmarkStart w:id="76" w:name="ref-8"/>
      <w:bookmarkEnd w:id="76"/>
      <w:r>
        <w:t xml:space="preserve">8. Alexander Koenig, Massachusetts Institute of Technology; Phillip Cunio, ExoAnalytic Solutions; Juliana Chew, Massachusetts Institute of Technology. Risk Maps for Conjunction Potential Throughout the Cislunar Domain (2021). [AMOS]</w:t>
      </w:r>
    </w:p>
    <w:bookmarkEnd w:id="77"/>
    <w:bookmarkStart w:id="78"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1.2867</w:t>
            </w:r>
          </w:p>
        </w:tc>
        <w:tc>
          <w:tcPr>
            <w:tcW w:w="0" w:type="auto"/>
          </w:tcPr>
          <w:p>
            <w:pPr>
              <w:spacing w:line="240" w:lineRule="auto" w:before="0" w:after="0"/>
              <w:pStyle w:val="Compact"/>
            </w:pPr>
            <w:r>
              <w:rPr>
                <w:sz w:val="20"/>
                <w:szCs w:val="20"/>
              </w:rPr>
              <w:t xml:space="preserve">0.5628</w:t>
            </w:r>
          </w:p>
        </w:tc>
        <w:tc>
          <w:tcPr>
            <w:tcW w:w="0" w:type="auto"/>
          </w:tcPr>
          <w:p>
            <w:pPr>
              <w:spacing w:line="240" w:lineRule="auto" w:before="0" w:after="0"/>
              <w:pStyle w:val="Compact"/>
            </w:pPr>
            <w:r>
              <w:rPr>
                <w:sz w:val="20"/>
                <w:szCs w:val="20"/>
              </w:rPr>
              <w:t xml:space="preserve">2.2861</w:t>
            </w:r>
          </w:p>
        </w:tc>
        <w:tc>
          <w:tcPr>
            <w:tcW w:w="0" w:type="auto"/>
          </w:tcPr>
          <w:p>
            <w:pPr>
              <w:spacing w:line="240" w:lineRule="auto" w:before="0" w:after="0"/>
              <w:pStyle w:val="Compact"/>
            </w:pPr>
            <w:r>
              <w:rPr>
                <w:sz w:val="20"/>
                <w:szCs w:val="20"/>
              </w:rPr>
              <w:t xml:space="preserve">0.0222</w:t>
            </w:r>
          </w:p>
        </w:tc>
        <w:tc>
          <w:tcPr>
            <w:tcW w:w="0" w:type="auto"/>
          </w:tcPr>
          <w:p>
            <w:pPr>
              <w:spacing w:line="240" w:lineRule="auto" w:before="0" w:after="0"/>
              <w:pStyle w:val="Compact"/>
            </w:pPr>
            <w:r>
              <w:rPr>
                <w:sz w:val="20"/>
                <w:szCs w:val="20"/>
              </w:rPr>
              <w:t xml:space="preserve">[0.1836, 2.3898]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-0.3913</w:t>
            </w:r>
          </w:p>
        </w:tc>
        <w:tc>
          <w:tcPr>
            <w:tcW w:w="0" w:type="auto"/>
          </w:tcPr>
          <w:p>
            <w:pPr>
              <w:spacing w:line="240" w:lineRule="auto" w:before="0" w:after="0"/>
              <w:pStyle w:val="Compact"/>
            </w:pPr>
            <w:r>
              <w:rPr>
                <w:sz w:val="20"/>
                <w:szCs w:val="20"/>
              </w:rPr>
              <w:t xml:space="preserve">0.3919</w:t>
            </w:r>
          </w:p>
        </w:tc>
        <w:tc>
          <w:tcPr>
            <w:tcW w:w="0" w:type="auto"/>
          </w:tcPr>
          <w:p>
            <w:pPr>
              <w:spacing w:line="240" w:lineRule="auto" w:before="0" w:after="0"/>
              <w:pStyle w:val="Compact"/>
            </w:pPr>
            <w:r>
              <w:rPr>
                <w:sz w:val="20"/>
                <w:szCs w:val="20"/>
              </w:rPr>
              <w:t xml:space="preserve">-0.9983</w:t>
            </w:r>
          </w:p>
        </w:tc>
        <w:tc>
          <w:tcPr>
            <w:tcW w:w="0" w:type="auto"/>
          </w:tcPr>
          <w:p>
            <w:pPr>
              <w:spacing w:line="240" w:lineRule="auto" w:before="0" w:after="0"/>
              <w:pStyle w:val="Compact"/>
            </w:pPr>
            <w:r>
              <w:rPr>
                <w:sz w:val="20"/>
                <w:szCs w:val="20"/>
              </w:rPr>
              <w:t xml:space="preserve">0.3181</w:t>
            </w:r>
          </w:p>
        </w:tc>
        <w:tc>
          <w:tcPr>
            <w:tcW w:w="0" w:type="auto"/>
          </w:tcPr>
          <w:p>
            <w:pPr>
              <w:spacing w:line="240" w:lineRule="auto" w:before="0" w:after="0"/>
              <w:pStyle w:val="Compact"/>
            </w:pPr>
            <w:r>
              <w:rPr>
                <w:sz w:val="20"/>
                <w:szCs w:val="20"/>
              </w:rPr>
              <w:t xml:space="preserve">[-1.1594, 0.3769]</w:t>
            </w:r>
          </w:p>
        </w:tc>
      </w:tr>
    </w:tbl>
    <w:p>
      <w:pPr>
        <w:pStyle w:val="BodyText"/>
      </w:pPr>
      <w:r>
        <w:t xml:space="preserve">Fit: N = 30 R2 = 0.03 elasticity_b = -0.3913 progress_ratio_2^b = 0.7625</w:t>
      </w:r>
    </w:p>
    <w:p>
      <w:pPr>
        <w:pStyle w:val="CaptionedFigure"/>
      </w:pPr>
      <w:r>
        <w:drawing>
          <wp:inline>
            <wp:extent cx="5669280" cy="3657600"/>
            <wp:effectExtent b="0" l="0" r="0" t="0"/>
            <wp:docPr descr="Figure 1. Citation accumulation against article age in the retrieved topic literature." title="" id="80" name="Picture"/>
            <a:graphic>
              <a:graphicData uri="http://schemas.openxmlformats.org/drawingml/2006/picture">
                <pic:pic>
                  <pic:nvPicPr>
                    <pic:cNvPr descr="D:\Claude_Code\brain\collegium\candidates\dissertations\PHD-03\research_papers\p2\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https://amostech.space/year/2021/utilization-potential-for-distinct-orbit-families-in-the-cislunar-domain/</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10.64861/KUQJ3053</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https://amostech.space/year/2022/capacity-based-cislunar-space-domain-awareness-architecture-optimization/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https://amostech.space/year/2022/sharing-operational-risk-information-in-the-space-domain-to-facilitate-norms-development-and-compliance-monitoring/</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10.64861/UAMB9924</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https://amostech.space/year/2021/risk-maps-for-conjunction-potential-throughout-the-cislunar-domain/</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10.64861/DDNM3393</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10.64861/ACKU6440</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https://amostech.space/year/2022/employing-a-shared-space-information-sharing-ecosystem-as-a-mechanism-for-promoting-constructive-u-s-china-space-relations/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https://amostech.space/year/2022/eclipse-free-three-body-periodic-orbits-in-cislunar-space/</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10.1016/j.actaastro.2025.09.078</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10.1016/j.actaastro.2024.12.037</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10.1016/j.actaastro.2025.07.027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10.1016/j.actaastro.2024.09.063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10.1016/j.actaastro.2020.11.056</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10.1016/j.actaastro.2022.01.027</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10.1016/j.actaastro.2025.01.031</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10.1016/j.actaastro.2025.01.003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10.1016/j.actaastro.2026.02.030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10.1111/1758-5899.12950</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10.1162/glep_a_00775</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Astro-Environmentalism: Toward a Polycentric Governance of Space Debris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The Missing Ingredients for a Polycentric Governance System of Orbital Debris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Four Alternative Scenarios of Commons in Space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Reed and Dailey (MITRE, STM Conference 2023) propose a three-prong sociotechnical framework to enable a circular/lifecycle-oriented space economy: a standardized evolvable space ontology, a trusted symmetric information-sharing ecosystem (SISE), and actionable norms built on Minimal Viable Information (MVI) principles.</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1.2867</w:t>
            </w:r>
          </w:p>
        </w:tc>
        <w:tc>
          <w:tcPr>
            <w:tcW w:w="0" w:type="auto"/>
          </w:tcPr>
          <w:p>
            <w:pPr>
              <w:spacing w:line="240" w:lineRule="auto" w:before="0" w:after="0"/>
              <w:pStyle w:val="Compact"/>
            </w:pPr>
            <w:r>
              <w:rPr>
                <w:sz w:val="20"/>
                <w:szCs w:val="20"/>
              </w:rPr>
              <w:t xml:space="preserve">0.5628</w:t>
            </w:r>
          </w:p>
        </w:tc>
        <w:tc>
          <w:tcPr>
            <w:tcW w:w="0" w:type="auto"/>
          </w:tcPr>
          <w:p>
            <w:pPr>
              <w:spacing w:line="240" w:lineRule="auto" w:before="0" w:after="0"/>
              <w:pStyle w:val="Compact"/>
            </w:pPr>
            <w:r>
              <w:rPr>
                <w:sz w:val="20"/>
                <w:szCs w:val="20"/>
              </w:rPr>
              <w:t xml:space="preserve">2.2861</w:t>
            </w:r>
          </w:p>
        </w:tc>
        <w:tc>
          <w:tcPr>
            <w:tcW w:w="0" w:type="auto"/>
          </w:tcPr>
          <w:p>
            <w:pPr>
              <w:spacing w:line="240" w:lineRule="auto" w:before="0" w:after="0"/>
              <w:pStyle w:val="Compact"/>
            </w:pPr>
            <w:r>
              <w:rPr>
                <w:sz w:val="20"/>
                <w:szCs w:val="20"/>
              </w:rPr>
              <w:t xml:space="preserve">0.0222</w:t>
            </w:r>
          </w:p>
        </w:tc>
        <w:tc>
          <w:tcPr>
            <w:tcW w:w="0" w:type="auto"/>
          </w:tcPr>
          <w:p>
            <w:pPr>
              <w:spacing w:line="240" w:lineRule="auto" w:before="0" w:after="0"/>
              <w:pStyle w:val="Compact"/>
            </w:pPr>
            <w:r>
              <w:rPr>
                <w:sz w:val="20"/>
                <w:szCs w:val="20"/>
              </w:rPr>
              <w:t xml:space="preserve">[0.1836, 2.3898]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-0.3913</w:t>
            </w:r>
          </w:p>
        </w:tc>
        <w:tc>
          <w:tcPr>
            <w:tcW w:w="0" w:type="auto"/>
          </w:tcPr>
          <w:p>
            <w:pPr>
              <w:spacing w:line="240" w:lineRule="auto" w:before="0" w:after="0"/>
              <w:pStyle w:val="Compact"/>
            </w:pPr>
            <w:r>
              <w:rPr>
                <w:sz w:val="20"/>
                <w:szCs w:val="20"/>
              </w:rPr>
              <w:t xml:space="preserve">0.3919</w:t>
            </w:r>
          </w:p>
        </w:tc>
        <w:tc>
          <w:tcPr>
            <w:tcW w:w="0" w:type="auto"/>
          </w:tcPr>
          <w:p>
            <w:pPr>
              <w:spacing w:line="240" w:lineRule="auto" w:before="0" w:after="0"/>
              <w:pStyle w:val="Compact"/>
            </w:pPr>
            <w:r>
              <w:rPr>
                <w:sz w:val="20"/>
                <w:szCs w:val="20"/>
              </w:rPr>
              <w:t xml:space="preserve">-0.9983</w:t>
            </w:r>
          </w:p>
        </w:tc>
        <w:tc>
          <w:tcPr>
            <w:tcW w:w="0" w:type="auto"/>
          </w:tcPr>
          <w:p>
            <w:pPr>
              <w:spacing w:line="240" w:lineRule="auto" w:before="0" w:after="0"/>
              <w:pStyle w:val="Compact"/>
            </w:pPr>
            <w:r>
              <w:rPr>
                <w:sz w:val="20"/>
                <w:szCs w:val="20"/>
              </w:rPr>
              <w:t xml:space="preserve">0.3181</w:t>
            </w:r>
          </w:p>
        </w:tc>
        <w:tc>
          <w:tcPr>
            <w:tcW w:w="0" w:type="auto"/>
          </w:tcPr>
          <w:p>
            <w:pPr>
              <w:spacing w:line="240" w:lineRule="auto" w:before="0" w:after="0"/>
              <w:pStyle w:val="Compact"/>
            </w:pPr>
            <w:r>
              <w:rPr>
                <w:sz w:val="20"/>
                <w:szCs w:val="20"/>
              </w:rPr>
              <w:t xml:space="preserve">[-1.1594, 0.3769]</w:t>
            </w:r>
          </w:p>
        </w:tc>
      </w:tr>
    </w:tbl>
    <w:p>
      <w:pPr>
        <w:pStyle w:val="BodyText"/>
      </w:pPr>
      <w:r>
        <w:t xml:space="preserve">Fit: N = 30 R2 = 0.03 elasticity_b = -0.3913 progress_ratio_2^b = 0.7625</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0" Target="https://doi.org/10.64861/KUQJ3053" TargetMode="External" /><Relationship Type="http://schemas.openxmlformats.org/officeDocument/2006/relationships/hyperlink" Id="rId75" Target="https://doi.org/10.64861/UAMB9924"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64861/KUQJ3053" TargetMode="External" /><Relationship Type="http://schemas.openxmlformats.org/officeDocument/2006/relationships/hyperlink" Id="rId75" Target="https://doi.org/10.64861/UAMB992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2026-06-29T09:35:03Z</dcterms:created>
  <dcterms:modified xsi:type="dcterms:W3CDTF">2026-06-29T09:35:03Z</dcterms:modified>
</cp:coreProperties>
</file>

<file path=docProps/custom.xml><?xml version="1.0" encoding="utf-8"?>
<Properties xmlns="http://schemas.openxmlformats.org/officeDocument/2006/custom-properties" xmlns:vt="http://schemas.openxmlformats.org/officeDocument/2006/docPropsVTypes"/>
</file>