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2eda13ff52b7881a29534bde6bba07f13a92c25"/>
    <w:p>
      <w:pPr>
        <w:pStyle w:val="Heading1"/>
      </w:pPr>
      <w:r>
        <w:t xml:space="preserve">Signal Intensity in Polycentric Cislunar STM: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Soren Vance (1B-SDA-188) and the dissertation project</w:t>
      </w:r>
      <w:r>
        <w:t xml:space="preserve"> </w:t>
      </w:r>
      <w:r>
        <w:rPr>
          <w:i/>
          <w:iCs/>
        </w:rPr>
        <w:t xml:space="preserve">Polycentric Cislunar STM</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R2=0.08896222236733509, R2_adj=-0.016157521205664827, F=1.215066490034088, F_p=0.32399949748885254. The exact term summary is: const coef=6.253367983726188 p=3.052699023179101e-05; recency_index coef=0.1608092399092466 p=0.5087243451771725; cites_num coef=-0.03916645495907149 p=0.2432543509529712; venue_score coef=-0.6628555633639909 p=0.2244844912163073.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68" w:name="ref-2"/>
      <w:bookmarkEnd w:id="68"/>
      <w:r>
        <w:t xml:space="preserve">2. Phillip M. Cunio, ExoAnalytic Solutions, Inc.; Marcus Bever, ExoAnalytic Solutions, Inc.; Christopher Ingram, ExoAnalytic Solutions, Inc.; Brien R. Flewelling, ExoAnalytic Solutions, Inc.; Greg McNeill, ExoAnalytic Solutions, Inc.. Utilization Potential for Distinct Orbit Families in the Cislunar Domain (2021). [AMOS]</w:t>
      </w:r>
      <w:r>
        <w:t xml:space="preserve"> </w:t>
      </w:r>
      <w:bookmarkStart w:id="69" w:name="ref-3"/>
      <w:bookmarkEnd w:id="69"/>
      <w:r>
        <w:t xml:space="preserve">3. Joshua Wysack, Ball Aerospace; Kevin Ferrant, Ball Aerospace. Contrasting Architectures for Cislunar SDA and STM (2023). doi:</w:t>
      </w:r>
      <w:r>
        <w:t xml:space="preserve"> </w:t>
      </w:r>
      <w:hyperlink r:id="rId70">
        <w:r>
          <w:rPr>
            <w:rStyle w:val="Hyperlink"/>
          </w:rPr>
          <w:t xml:space="preserve">10.64861/KUQJ3053</w:t>
        </w:r>
      </w:hyperlink>
      <w:r>
        <w:t xml:space="preserve"> </w:t>
      </w:r>
      <w:bookmarkStart w:id="71" w:name="ref-4"/>
      <w:bookmarkEnd w:id="71"/>
      <w:r>
        <w:t xml:space="preserve">4. Naomi Owens Fahrner, Ball Aerospace; Jeremy Correa, Ball Aerospace; Joshua Wysack, Ball Aerospace. Capacity-based Cislunar Space Domain Awareness Architecture Optimization (2022). [AMOS]</w:t>
      </w:r>
      <w:r>
        <w:t xml:space="preserve"> </w:t>
      </w:r>
      <w:bookmarkStart w:id="72" w:name="ref-5"/>
      <w:bookmarkEnd w:id="72"/>
      <w:r>
        <w:t xml:space="preserve">5. Rina Zhang, Science and Technology Policy Institute; Asha Balakrishnan, Science and Technology Policy Institute. From Ozone Depletion to Orbital Debris: Lessons Learned from the Montreal Protocol (2022). [AMOS]</w:t>
      </w:r>
      <w:r>
        <w:t xml:space="preserve"> </w:t>
      </w:r>
      <w:bookmarkStart w:id="73" w:name="ref-6"/>
      <w:bookmarkEnd w:id="73"/>
      <w:r>
        <w:t xml:space="preserve">6.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 [AMOS]</w:t>
      </w:r>
      <w:r>
        <w:t xml:space="preserve"> </w:t>
      </w:r>
      <w:bookmarkStart w:id="74" w:name="ref-7"/>
      <w:bookmarkEnd w:id="74"/>
      <w:r>
        <w:t xml:space="preserve">7. Raymond Wright, BAE Systems; Naomi Owens-Fahrner, BAE Systems; Luke Tafur, BAE Systems; Joshua Wysack, BAE Systems. Applications of Poincare Search Maps for Space-Based Cislunar SDA Detection (2024). doi:</w:t>
      </w:r>
      <w:r>
        <w:t xml:space="preserve"> </w:t>
      </w:r>
      <w:hyperlink r:id="rId75">
        <w:r>
          <w:rPr>
            <w:rStyle w:val="Hyperlink"/>
          </w:rPr>
          <w:t xml:space="preserve">10.64861/UAMB9924</w:t>
        </w:r>
      </w:hyperlink>
      <w:r>
        <w:t xml:space="preserve"> </w:t>
      </w:r>
      <w:bookmarkStart w:id="76" w:name="ref-8"/>
      <w:bookmarkEnd w:id="76"/>
      <w:r>
        <w:t xml:space="preserve">8. Alexander Koenig, Massachusetts Institute of Technology; Phillip Cunio, ExoAnalytic Solutions; Juliana Chew, Massachusetts Institute of Technology. Risk Maps for Conjunction Potential Throughout the Cislunar Domain (2021). [AMOS]</w:t>
      </w:r>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6.2534</w:t>
            </w:r>
          </w:p>
        </w:tc>
        <w:tc>
          <w:tcPr>
            <w:tcW w:w="0" w:type="auto"/>
          </w:tcPr>
          <w:p>
            <w:pPr>
              <w:spacing w:line="240" w:lineRule="auto" w:before="0" w:after="0"/>
              <w:pStyle w:val="Compact"/>
            </w:pPr>
            <w:r>
              <w:rPr>
                <w:sz w:val="20"/>
                <w:szCs w:val="20"/>
              </w:rPr>
              <w:t xml:space="preserve">1.4998</w:t>
            </w:r>
          </w:p>
        </w:tc>
        <w:tc>
          <w:tcPr>
            <w:tcW w:w="0" w:type="auto"/>
          </w:tcPr>
          <w:p>
            <w:pPr>
              <w:spacing w:line="240" w:lineRule="auto" w:before="0" w:after="0"/>
              <w:pStyle w:val="Compact"/>
            </w:pPr>
            <w:r>
              <w:rPr>
                <w:sz w:val="20"/>
                <w:szCs w:val="20"/>
              </w:rPr>
              <w:t xml:space="preserve">4.1695</w:t>
            </w:r>
          </w:p>
        </w:tc>
        <w:tc>
          <w:tcPr>
            <w:tcW w:w="0" w:type="auto"/>
          </w:tcPr>
          <w:p>
            <w:pPr>
              <w:spacing w:line="240" w:lineRule="auto" w:before="0" w:after="0"/>
              <w:pStyle w:val="Compact"/>
            </w:pPr>
            <w:r>
              <w:rPr>
                <w:sz w:val="20"/>
                <w:szCs w:val="20"/>
              </w:rPr>
              <w:t xml:space="preserve">3.053e-05</w:t>
            </w:r>
          </w:p>
        </w:tc>
        <w:tc>
          <w:tcPr>
            <w:tcW w:w="0" w:type="auto"/>
          </w:tcPr>
          <w:p>
            <w:pPr>
              <w:spacing w:line="240" w:lineRule="auto" w:before="0" w:after="0"/>
              <w:pStyle w:val="Compact"/>
            </w:pPr>
            <w:r>
              <w:rPr>
                <w:sz w:val="20"/>
                <w:szCs w:val="20"/>
              </w:rPr>
              <w:t xml:space="preserve">[3.3138, 9.1929]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0.1608</w:t>
            </w:r>
          </w:p>
        </w:tc>
        <w:tc>
          <w:tcPr>
            <w:tcW w:w="0" w:type="auto"/>
          </w:tcPr>
          <w:p>
            <w:pPr>
              <w:spacing w:line="240" w:lineRule="auto" w:before="0" w:after="0"/>
              <w:pStyle w:val="Compact"/>
            </w:pPr>
            <w:r>
              <w:rPr>
                <w:sz w:val="20"/>
                <w:szCs w:val="20"/>
              </w:rPr>
              <w:t xml:space="preserve">0.2433</w:t>
            </w:r>
          </w:p>
        </w:tc>
        <w:tc>
          <w:tcPr>
            <w:tcW w:w="0" w:type="auto"/>
          </w:tcPr>
          <w:p>
            <w:pPr>
              <w:spacing w:line="240" w:lineRule="auto" w:before="0" w:after="0"/>
              <w:pStyle w:val="Compact"/>
            </w:pPr>
            <w:r>
              <w:rPr>
                <w:sz w:val="20"/>
                <w:szCs w:val="20"/>
              </w:rPr>
              <w:t xml:space="preserve">0.6608</w:t>
            </w:r>
          </w:p>
        </w:tc>
        <w:tc>
          <w:tcPr>
            <w:tcW w:w="0" w:type="auto"/>
          </w:tcPr>
          <w:p>
            <w:pPr>
              <w:spacing w:line="240" w:lineRule="auto" w:before="0" w:after="0"/>
              <w:pStyle w:val="Compact"/>
            </w:pPr>
            <w:r>
              <w:rPr>
                <w:sz w:val="20"/>
                <w:szCs w:val="20"/>
              </w:rPr>
              <w:t xml:space="preserve">0.5087</w:t>
            </w:r>
          </w:p>
        </w:tc>
        <w:tc>
          <w:tcPr>
            <w:tcW w:w="0" w:type="auto"/>
          </w:tcPr>
          <w:p>
            <w:pPr>
              <w:spacing w:line="240" w:lineRule="auto" w:before="0" w:after="0"/>
              <w:pStyle w:val="Compact"/>
            </w:pPr>
            <w:r>
              <w:rPr>
                <w:sz w:val="20"/>
                <w:szCs w:val="20"/>
              </w:rPr>
              <w:t xml:space="preserve">[-0.3161, 0.6378]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-0.0392</w:t>
            </w:r>
          </w:p>
        </w:tc>
        <w:tc>
          <w:tcPr>
            <w:tcW w:w="0" w:type="auto"/>
          </w:tcPr>
          <w:p>
            <w:pPr>
              <w:spacing w:line="240" w:lineRule="auto" w:before="0" w:after="0"/>
              <w:pStyle w:val="Compact"/>
            </w:pPr>
            <w:r>
              <w:rPr>
                <w:sz w:val="20"/>
                <w:szCs w:val="20"/>
              </w:rPr>
              <w:t xml:space="preserve">0.0336</w:t>
            </w:r>
          </w:p>
        </w:tc>
        <w:tc>
          <w:tcPr>
            <w:tcW w:w="0" w:type="auto"/>
          </w:tcPr>
          <w:p>
            <w:pPr>
              <w:spacing w:line="240" w:lineRule="auto" w:before="0" w:after="0"/>
              <w:pStyle w:val="Compact"/>
            </w:pPr>
            <w:r>
              <w:rPr>
                <w:sz w:val="20"/>
                <w:szCs w:val="20"/>
              </w:rPr>
              <w:t xml:space="preserve">-1.1669</w:t>
            </w:r>
          </w:p>
        </w:tc>
        <w:tc>
          <w:tcPr>
            <w:tcW w:w="0" w:type="auto"/>
          </w:tcPr>
          <w:p>
            <w:pPr>
              <w:spacing w:line="240" w:lineRule="auto" w:before="0" w:after="0"/>
              <w:pStyle w:val="Compact"/>
            </w:pPr>
            <w:r>
              <w:rPr>
                <w:sz w:val="20"/>
                <w:szCs w:val="20"/>
              </w:rPr>
              <w:t xml:space="preserve">0.2433</w:t>
            </w:r>
          </w:p>
        </w:tc>
        <w:tc>
          <w:tcPr>
            <w:tcW w:w="0" w:type="auto"/>
          </w:tcPr>
          <w:p>
            <w:pPr>
              <w:spacing w:line="240" w:lineRule="auto" w:before="0" w:after="0"/>
              <w:pStyle w:val="Compact"/>
            </w:pPr>
            <w:r>
              <w:rPr>
                <w:sz w:val="20"/>
                <w:szCs w:val="20"/>
              </w:rPr>
              <w:t xml:space="preserve">[-0.105, 0.0266]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-0.6629</w:t>
            </w:r>
          </w:p>
        </w:tc>
        <w:tc>
          <w:tcPr>
            <w:tcW w:w="0" w:type="auto"/>
          </w:tcPr>
          <w:p>
            <w:pPr>
              <w:spacing w:line="240" w:lineRule="auto" w:before="0" w:after="0"/>
              <w:pStyle w:val="Compact"/>
            </w:pPr>
            <w:r>
              <w:rPr>
                <w:sz w:val="20"/>
                <w:szCs w:val="20"/>
              </w:rPr>
              <w:t xml:space="preserve">0.5457</w:t>
            </w:r>
          </w:p>
        </w:tc>
        <w:tc>
          <w:tcPr>
            <w:tcW w:w="0" w:type="auto"/>
          </w:tcPr>
          <w:p>
            <w:pPr>
              <w:spacing w:line="240" w:lineRule="auto" w:before="0" w:after="0"/>
              <w:pStyle w:val="Compact"/>
            </w:pPr>
            <w:r>
              <w:rPr>
                <w:sz w:val="20"/>
                <w:szCs w:val="20"/>
              </w:rPr>
              <w:t xml:space="preserve">-1.2147</w:t>
            </w:r>
          </w:p>
        </w:tc>
        <w:tc>
          <w:tcPr>
            <w:tcW w:w="0" w:type="auto"/>
          </w:tcPr>
          <w:p>
            <w:pPr>
              <w:spacing w:line="240" w:lineRule="auto" w:before="0" w:after="0"/>
              <w:pStyle w:val="Compact"/>
            </w:pPr>
            <w:r>
              <w:rPr>
                <w:sz w:val="20"/>
                <w:szCs w:val="20"/>
              </w:rPr>
              <w:t xml:space="preserve">0.2245</w:t>
            </w:r>
          </w:p>
        </w:tc>
        <w:tc>
          <w:tcPr>
            <w:tcW w:w="0" w:type="auto"/>
          </w:tcPr>
          <w:p>
            <w:pPr>
              <w:spacing w:line="240" w:lineRule="auto" w:before="0" w:after="0"/>
              <w:pStyle w:val="Compact"/>
            </w:pPr>
            <w:r>
              <w:rPr>
                <w:sz w:val="20"/>
                <w:szCs w:val="20"/>
              </w:rPr>
              <w:t xml:space="preserve">[-1.7324, 0.4067]</w:t>
            </w:r>
          </w:p>
        </w:tc>
      </w:tr>
    </w:tbl>
    <w:p>
      <w:pPr>
        <w:pStyle w:val="BodyText"/>
      </w:pPr>
      <w:r>
        <w:t xml:space="preserve">Fit: N = 30 R2 = 0.089 R2_adj = -0.0162 F = 1.2151 F_p = 0.324</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PHD-03\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https://amostech.space/year/2021/utilization-potential-for-distinct-orbit-families-in-the-cislunar-domain/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10.64861/ACKU6440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https://amostech.space/year/2022/eclipse-free-three-body-periodic-orbits-in-cislunar-space/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10.1016/j.actaastro.2025.09.078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10.1111/1758-5899.12950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Astro-Environmentalism: Toward a Polycentric Governance of Space Debris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Four Alternative Scenarios of Commons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6.2534</w:t>
            </w:r>
          </w:p>
        </w:tc>
        <w:tc>
          <w:tcPr>
            <w:tcW w:w="0" w:type="auto"/>
          </w:tcPr>
          <w:p>
            <w:pPr>
              <w:spacing w:line="240" w:lineRule="auto" w:before="0" w:after="0"/>
              <w:pStyle w:val="Compact"/>
            </w:pPr>
            <w:r>
              <w:rPr>
                <w:sz w:val="20"/>
                <w:szCs w:val="20"/>
              </w:rPr>
              <w:t xml:space="preserve">1.4998</w:t>
            </w:r>
          </w:p>
        </w:tc>
        <w:tc>
          <w:tcPr>
            <w:tcW w:w="0" w:type="auto"/>
          </w:tcPr>
          <w:p>
            <w:pPr>
              <w:spacing w:line="240" w:lineRule="auto" w:before="0" w:after="0"/>
              <w:pStyle w:val="Compact"/>
            </w:pPr>
            <w:r>
              <w:rPr>
                <w:sz w:val="20"/>
                <w:szCs w:val="20"/>
              </w:rPr>
              <w:t xml:space="preserve">4.1695</w:t>
            </w:r>
          </w:p>
        </w:tc>
        <w:tc>
          <w:tcPr>
            <w:tcW w:w="0" w:type="auto"/>
          </w:tcPr>
          <w:p>
            <w:pPr>
              <w:spacing w:line="240" w:lineRule="auto" w:before="0" w:after="0"/>
              <w:pStyle w:val="Compact"/>
            </w:pPr>
            <w:r>
              <w:rPr>
                <w:sz w:val="20"/>
                <w:szCs w:val="20"/>
              </w:rPr>
              <w:t xml:space="preserve">3.053e-05</w:t>
            </w:r>
          </w:p>
        </w:tc>
        <w:tc>
          <w:tcPr>
            <w:tcW w:w="0" w:type="auto"/>
          </w:tcPr>
          <w:p>
            <w:pPr>
              <w:spacing w:line="240" w:lineRule="auto" w:before="0" w:after="0"/>
              <w:pStyle w:val="Compact"/>
            </w:pPr>
            <w:r>
              <w:rPr>
                <w:sz w:val="20"/>
                <w:szCs w:val="20"/>
              </w:rPr>
              <w:t xml:space="preserve">[3.3138, 9.1929]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0.1608</w:t>
            </w:r>
          </w:p>
        </w:tc>
        <w:tc>
          <w:tcPr>
            <w:tcW w:w="0" w:type="auto"/>
          </w:tcPr>
          <w:p>
            <w:pPr>
              <w:spacing w:line="240" w:lineRule="auto" w:before="0" w:after="0"/>
              <w:pStyle w:val="Compact"/>
            </w:pPr>
            <w:r>
              <w:rPr>
                <w:sz w:val="20"/>
                <w:szCs w:val="20"/>
              </w:rPr>
              <w:t xml:space="preserve">0.2433</w:t>
            </w:r>
          </w:p>
        </w:tc>
        <w:tc>
          <w:tcPr>
            <w:tcW w:w="0" w:type="auto"/>
          </w:tcPr>
          <w:p>
            <w:pPr>
              <w:spacing w:line="240" w:lineRule="auto" w:before="0" w:after="0"/>
              <w:pStyle w:val="Compact"/>
            </w:pPr>
            <w:r>
              <w:rPr>
                <w:sz w:val="20"/>
                <w:szCs w:val="20"/>
              </w:rPr>
              <w:t xml:space="preserve">0.6608</w:t>
            </w:r>
          </w:p>
        </w:tc>
        <w:tc>
          <w:tcPr>
            <w:tcW w:w="0" w:type="auto"/>
          </w:tcPr>
          <w:p>
            <w:pPr>
              <w:spacing w:line="240" w:lineRule="auto" w:before="0" w:after="0"/>
              <w:pStyle w:val="Compact"/>
            </w:pPr>
            <w:r>
              <w:rPr>
                <w:sz w:val="20"/>
                <w:szCs w:val="20"/>
              </w:rPr>
              <w:t xml:space="preserve">0.5087</w:t>
            </w:r>
          </w:p>
        </w:tc>
        <w:tc>
          <w:tcPr>
            <w:tcW w:w="0" w:type="auto"/>
          </w:tcPr>
          <w:p>
            <w:pPr>
              <w:spacing w:line="240" w:lineRule="auto" w:before="0" w:after="0"/>
              <w:pStyle w:val="Compact"/>
            </w:pPr>
            <w:r>
              <w:rPr>
                <w:sz w:val="20"/>
                <w:szCs w:val="20"/>
              </w:rPr>
              <w:t xml:space="preserve">[-0.3161, 0.6378]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-0.0392</w:t>
            </w:r>
          </w:p>
        </w:tc>
        <w:tc>
          <w:tcPr>
            <w:tcW w:w="0" w:type="auto"/>
          </w:tcPr>
          <w:p>
            <w:pPr>
              <w:spacing w:line="240" w:lineRule="auto" w:before="0" w:after="0"/>
              <w:pStyle w:val="Compact"/>
            </w:pPr>
            <w:r>
              <w:rPr>
                <w:sz w:val="20"/>
                <w:szCs w:val="20"/>
              </w:rPr>
              <w:t xml:space="preserve">0.0336</w:t>
            </w:r>
          </w:p>
        </w:tc>
        <w:tc>
          <w:tcPr>
            <w:tcW w:w="0" w:type="auto"/>
          </w:tcPr>
          <w:p>
            <w:pPr>
              <w:spacing w:line="240" w:lineRule="auto" w:before="0" w:after="0"/>
              <w:pStyle w:val="Compact"/>
            </w:pPr>
            <w:r>
              <w:rPr>
                <w:sz w:val="20"/>
                <w:szCs w:val="20"/>
              </w:rPr>
              <w:t xml:space="preserve">-1.1669</w:t>
            </w:r>
          </w:p>
        </w:tc>
        <w:tc>
          <w:tcPr>
            <w:tcW w:w="0" w:type="auto"/>
          </w:tcPr>
          <w:p>
            <w:pPr>
              <w:spacing w:line="240" w:lineRule="auto" w:before="0" w:after="0"/>
              <w:pStyle w:val="Compact"/>
            </w:pPr>
            <w:r>
              <w:rPr>
                <w:sz w:val="20"/>
                <w:szCs w:val="20"/>
              </w:rPr>
              <w:t xml:space="preserve">0.2433</w:t>
            </w:r>
          </w:p>
        </w:tc>
        <w:tc>
          <w:tcPr>
            <w:tcW w:w="0" w:type="auto"/>
          </w:tcPr>
          <w:p>
            <w:pPr>
              <w:spacing w:line="240" w:lineRule="auto" w:before="0" w:after="0"/>
              <w:pStyle w:val="Compact"/>
            </w:pPr>
            <w:r>
              <w:rPr>
                <w:sz w:val="20"/>
                <w:szCs w:val="20"/>
              </w:rPr>
              <w:t xml:space="preserve">[-0.105, 0.0266]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-0.6629</w:t>
            </w:r>
          </w:p>
        </w:tc>
        <w:tc>
          <w:tcPr>
            <w:tcW w:w="0" w:type="auto"/>
          </w:tcPr>
          <w:p>
            <w:pPr>
              <w:spacing w:line="240" w:lineRule="auto" w:before="0" w:after="0"/>
              <w:pStyle w:val="Compact"/>
            </w:pPr>
            <w:r>
              <w:rPr>
                <w:sz w:val="20"/>
                <w:szCs w:val="20"/>
              </w:rPr>
              <w:t xml:space="preserve">0.5457</w:t>
            </w:r>
          </w:p>
        </w:tc>
        <w:tc>
          <w:tcPr>
            <w:tcW w:w="0" w:type="auto"/>
          </w:tcPr>
          <w:p>
            <w:pPr>
              <w:spacing w:line="240" w:lineRule="auto" w:before="0" w:after="0"/>
              <w:pStyle w:val="Compact"/>
            </w:pPr>
            <w:r>
              <w:rPr>
                <w:sz w:val="20"/>
                <w:szCs w:val="20"/>
              </w:rPr>
              <w:t xml:space="preserve">-1.2147</w:t>
            </w:r>
          </w:p>
        </w:tc>
        <w:tc>
          <w:tcPr>
            <w:tcW w:w="0" w:type="auto"/>
          </w:tcPr>
          <w:p>
            <w:pPr>
              <w:spacing w:line="240" w:lineRule="auto" w:before="0" w:after="0"/>
              <w:pStyle w:val="Compact"/>
            </w:pPr>
            <w:r>
              <w:rPr>
                <w:sz w:val="20"/>
                <w:szCs w:val="20"/>
              </w:rPr>
              <w:t xml:space="preserve">0.2245</w:t>
            </w:r>
          </w:p>
        </w:tc>
        <w:tc>
          <w:tcPr>
            <w:tcW w:w="0" w:type="auto"/>
          </w:tcPr>
          <w:p>
            <w:pPr>
              <w:spacing w:line="240" w:lineRule="auto" w:before="0" w:after="0"/>
              <w:pStyle w:val="Compact"/>
            </w:pPr>
            <w:r>
              <w:rPr>
                <w:sz w:val="20"/>
                <w:szCs w:val="20"/>
              </w:rPr>
              <w:t xml:space="preserve">[-1.7324, 0.4067]</w:t>
            </w:r>
          </w:p>
        </w:tc>
      </w:tr>
    </w:tbl>
    <w:p>
      <w:pPr>
        <w:pStyle w:val="BodyText"/>
      </w:pPr>
      <w:r>
        <w:t xml:space="preserve">Fit: N = 30 R2 = 0.089 R2_adj = -0.0162 F = 1.2151 F_p = 0.324</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0" Target="https://doi.org/10.64861/KUQJ3053" TargetMode="External" /><Relationship Type="http://schemas.openxmlformats.org/officeDocument/2006/relationships/hyperlink" Id="rId75" Target="https://doi.org/10.64861/UAMB9924"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KUQJ3053" TargetMode="External" /><Relationship Type="http://schemas.openxmlformats.org/officeDocument/2006/relationships/hyperlink" Id="rId75" Target="https://doi.org/10.64861/UAMB99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2026-06-29T09:35:02Z</dcterms:created>
  <dcterms:modified xsi:type="dcterms:W3CDTF">2026-06-29T09:35:02Z</dcterms:modified>
</cp:coreProperties>
</file>

<file path=docProps/custom.xml><?xml version="1.0" encoding="utf-8"?>
<Properties xmlns="http://schemas.openxmlformats.org/officeDocument/2006/custom-properties" xmlns:vt="http://schemas.openxmlformats.org/officeDocument/2006/docPropsVTypes"/>
</file>