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POLYCENTRIC CISLUNAR STM</w:t>
      </w:r>
    </w:p>
    <w:p>
      <w:pPr>
        <w:jc w:val="center"/>
      </w:pPr>
    </w:p>
    <w:p>
      <w:pPr>
        <w:jc w:val="center"/>
      </w:pPr>
      <w:r>
        <w:rPr>
          <w:rFonts w:ascii="Times New Roman" w:hAnsi="Times New Roman"/>
          <w:sz w:val="24"/>
        </w:rPr>
        <w:t>by</w:t>
      </w:r>
    </w:p>
    <w:p>
      <w:pPr>
        <w:jc w:val="center"/>
      </w:pPr>
      <w:r>
        <w:rPr>
          <w:rFonts w:ascii="Times New Roman" w:hAnsi="Times New Roman"/>
          <w:b/>
          <w:sz w:val="28"/>
        </w:rPr>
        <w:t>Soren Vance</w:t>
      </w:r>
    </w:p>
    <w:p>
      <w:pPr>
        <w:jc w:val="center"/>
      </w:pPr>
      <w:r>
        <w:rPr>
          <w:rFonts w:ascii="Times New Roman" w:hAnsi="Times New Roman"/>
          <w:sz w:val="24"/>
        </w:rPr>
        <w:t>1B-SDA-188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introduction"/>
    <w:p>
      <w:pPr>
        <w:pStyle w:val="Heading1"/>
        <w:spacing w:line="480" w:lineRule="auto"/>
      </w:pPr>
      <w:r>
        <w:t xml:space="preserve">Introduction</w:t>
      </w:r>
    </w:p>
    <w:p>
      <w:pPr>
        <w:pStyle w:val="FirstParagraph"/>
        <w:spacing w:line="480" w:lineRule="auto"/>
      </w:pPr>
      <w:r>
        <w:t xml:space="preserve">Space governance tends to arrive late. A hazard becomes operationally real, operators feel it in their daily work, and only afterward do institutions begin to argue about the right rule. The cislunar domain now sits inside that lag. Traffic beyond geostationary orbit is no longer a thought experiment. Mission planners route spacecraft through libration point families, lunar relay concepts multiply, and the community that tracks resident space objects is being asked to extend its reach across a volume vastly larger than the near earth regime it was built for</w:t>
      </w:r>
      <w:r>
        <w:t xml:space="preserve"> </w:t>
      </w:r>
      <w:hyperlink w:anchor="ref-2">
        <w:r>
          <w:rPr>
            <w:rStyle w:val="Hyperlink"/>
          </w:rPr>
          <w:t xml:space="preserve">[2]</w:t>
        </w:r>
      </w:hyperlink>
      <w:r>
        <w:t xml:space="preserve"> </w:t>
      </w:r>
      <w:hyperlink w:anchor="ref-9">
        <w:r>
          <w:rPr>
            <w:rStyle w:val="Hyperlink"/>
          </w:rPr>
          <w:t xml:space="preserve">[9]</w:t>
        </w:r>
      </w:hyperlink>
      <w:r>
        <w:t xml:space="preserve">. The governance conversation trails the engineering. That lag is the subject here. This dissertation treats that trailing edge as something measurable rather than something to be asserted.</w:t>
      </w:r>
    </w:p>
    <w:p>
      <w:pPr>
        <w:pStyle w:val="BodyText"/>
        <w:spacing w:line="480" w:lineRule="auto"/>
        <w:ind w:firstLine="720"/>
      </w:pPr>
      <w:r>
        <w:t xml:space="preserve">The specific subject is polycentric cislunar space traffic management. Polycentric governance describes an arrangement in which many partially autonomous centers of decision making coordinate through shared information and overlapping rules rather than through a single central authority. In the cislunar context the idea is attractive because no single actor owns the domain, sensing is distributed across commercial, civil, and allied systems, and the physics of the region resists any one operator claiming a complete picture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attraction is intuitive. The evidence is thinner. Whether the idea is actually taking hold in the technical and policy record has been asserted more often than it has been shown, and that gap between intuition and evidence is the problem this project addresses.</w:t>
      </w:r>
    </w:p>
    <w:bookmarkStart w:id="61" w:name="the-problem-and-why-it-matters"/>
    <w:p>
      <w:pPr>
        <w:pStyle w:val="Heading2"/>
        <w:spacing w:line="480" w:lineRule="auto"/>
      </w:pPr>
      <w:r>
        <w:t xml:space="preserve">The problem and why it matters</w:t>
      </w:r>
    </w:p>
    <w:p>
      <w:pPr>
        <w:pStyle w:val="FirstParagraph"/>
        <w:spacing w:line="480" w:lineRule="auto"/>
      </w:pPr>
      <w:r>
        <w:t xml:space="preserve">A doctoral argument about cislunar governance can go one of two ways. It can assemble a persuasive narrative from expert commentary and declare that a polycentric future is emerging, or it can ask a narrower, harder question: is the topic visible in the documentary record, visible enough to be tested and falsified? The first path produces confident prose that no one can check. The second path produces modest claims that anyone can audit. This dissertation takes the second path deliberately, and the choice is the central methodological commitment of the whole project.</w:t>
      </w:r>
    </w:p>
    <w:p>
      <w:pPr>
        <w:pStyle w:val="BodyText"/>
        <w:spacing w:line="480" w:lineRule="auto"/>
        <w:ind w:firstLine="720"/>
      </w:pPr>
      <w:r>
        <w:t xml:space="preserve">The stakes are practical, not merely academic. Decisions about where to place sensors, how to share operational risk data, and which venue should host emerging norms are being made now, often on the strength of documents whose collective structure no one has examined</w:t>
      </w:r>
      <w:r>
        <w:t xml:space="preserve"> </w:t>
      </w:r>
      <w:hyperlink w:anchor="ref-4">
        <w:r>
          <w:rPr>
            <w:rStyle w:val="Hyperlink"/>
          </w:rPr>
          <w:t xml:space="preserve">[4]</w:t>
        </w:r>
      </w:hyperlink>
      <w:r>
        <w:t xml:space="preserve"> </w:t>
      </w:r>
      <w:hyperlink w:anchor="ref-6">
        <w:r>
          <w:rPr>
            <w:rStyle w:val="Hyperlink"/>
          </w:rPr>
          <w:t xml:space="preserve">[6]</w:t>
        </w:r>
      </w:hyperlink>
      <w:r>
        <w:t xml:space="preserve">. If the retrieved literature on the topic is clustered in particular venues, skewed toward recent years, or concentrated in a handful of heavily cited papers, that structure shapes what decision makers read and therefore what they come to believe. Measuring the structure of the corpus is a first step toward understanding how a governance idea propagates before it hardens into rule. Prior work on the socio technical regime around space debris has shown that discourse itself carries measurable structure and that the shape of that discourse conditions which policies become thinkable</w:t>
      </w:r>
      <w:r>
        <w:t xml:space="preserve"> </w:t>
      </w:r>
      <w:hyperlink w:anchor="ref-15">
        <w:r>
          <w:rPr>
            <w:rStyle w:val="Hyperlink"/>
          </w:rPr>
          <w:t xml:space="preserve">[15]</w:t>
        </w:r>
      </w:hyperlink>
      <w:r>
        <w:t xml:space="preserve">. The same logic should apply to cislunar traffic management, but no one has tested it at the document level for this topic.</w:t>
      </w:r>
    </w:p>
    <w:p>
      <w:pPr>
        <w:pStyle w:val="BodyText"/>
        <w:spacing w:line="480" w:lineRule="auto"/>
        <w:ind w:firstLine="720"/>
      </w:pPr>
      <w:r>
        <w:t xml:space="preserve">There is a second reason the problem matters. Governance scholarship on the space sector has documented a transition from legacy institutional models toward newer, more distributed arrangements</w:t>
      </w:r>
      <w:r>
        <w:t xml:space="preserve"> </w:t>
      </w:r>
      <w:hyperlink w:anchor="ref-11">
        <w:r>
          <w:rPr>
            <w:rStyle w:val="Hyperlink"/>
          </w:rPr>
          <w:t xml:space="preserve">[11]</w:t>
        </w:r>
      </w:hyperlink>
      <w:r>
        <w:t xml:space="preserve">. Polycentricity is one candidate name for the distributed end of that transition. If the label is going to do analytical work, it needs to be anchored to observable evidence rather than floated as a rhetorical flourish. A dissertation that ties the concept to a reproducible reading of the source record does more for the field than one more essay asserting that the future will be decentralized.</w:t>
      </w:r>
    </w:p>
    <w:bookmarkEnd w:id="61"/>
    <w:bookmarkStart w:id="62" w:name="the-single-falsifiable-contribution"/>
    <w:p>
      <w:pPr>
        <w:pStyle w:val="Heading2"/>
        <w:spacing w:line="480" w:lineRule="auto"/>
      </w:pPr>
      <w:r>
        <w:t xml:space="preserve">The single falsifiable contribution</w:t>
      </w:r>
    </w:p>
    <w:p>
      <w:pPr>
        <w:pStyle w:val="FirstParagraph"/>
        <w:spacing w:line="480" w:lineRule="auto"/>
      </w:pPr>
      <w:r>
        <w:t xml:space="preserve">This dissertation makes one claim that can be proven wrong.</w:t>
      </w:r>
    </w:p>
    <w:p>
      <w:pPr>
        <w:pStyle w:val="BodyText"/>
        <w:spacing w:line="480" w:lineRule="auto"/>
        <w:ind w:firstLine="720"/>
      </w:pPr>
      <w:r>
        <w:t xml:space="preserve">Stated as a null hypothesis, the claim is that the candidate topic signal is unrelated to publication recency, citation attention, and venue family in the retrieved source corpus. The alternative is that the topic signal is systematically related to at least one of those three. Everything in the empirical spine of this project is built to give that null a fair chance to survive or fail.</w:t>
      </w:r>
    </w:p>
    <w:p>
      <w:pPr>
        <w:pStyle w:val="BodyText"/>
        <w:spacing w:line="480" w:lineRule="auto"/>
        <w:ind w:firstLine="720"/>
      </w:pPr>
      <w:r>
        <w:t xml:space="preserve">The contribution is deliberately bounded, and the boundary is a feature. Rather than promising to settle whether cislunar governance will in fact become polycentric, the project promises something smaller and more defensible: a document level test of whether the topic is structured in the corpus of sources that governance actors actually read. Two estimators carry the weight. The first is an ordinary least squares model that regresses a composite topic signal score on a recency index, a citation count, and an ordinal venue score. The second is a log log learning curve model that relates citation accumulation to article age. Neither estimator claims causal identification of a policy outcome. Both are corpus screens, instruments for showing how the evidence is distributed before any interpretation is layered on top</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Honesty about scope requires saying what the test cannot do. It cannot tell us whether a polycentric architecture will outperform a centralized one operationally. It cannot forecast which venue will win the norm setting contest. It cannot substitute for the direct document coding that a later, fuller study would require. What it can do is discipline the evidentiary chain so that a reader moves from source selection to variable construction to estimator output to interpretation without ever being asked to trust an unsupported leap. That discipline is the contribution, and it is worth more to a field this young than a louder claim resting on softer ground.</w:t>
      </w:r>
    </w:p>
    <w:bookmarkEnd w:id="62"/>
    <w:bookmarkStart w:id="63" w:name="why-a-design-stage-corpus-first-approach"/>
    <w:p>
      <w:pPr>
        <w:pStyle w:val="Heading2"/>
        <w:spacing w:line="480" w:lineRule="auto"/>
      </w:pPr>
      <w:r>
        <w:t xml:space="preserve">Why a design stage, corpus first approach</w:t>
      </w:r>
    </w:p>
    <w:p>
      <w:pPr>
        <w:pStyle w:val="FirstParagraph"/>
        <w:spacing w:line="480" w:lineRule="auto"/>
      </w:pPr>
      <w:r>
        <w:t xml:space="preserve">Readers accustomed to dissertations that model physical systems or run field experiments may find a document level design unfamiliar. The rationale is that the object of study here is not a spacecraft trajectory but a governance idea, and governance ideas leave their earliest traces in text: in the titles, abstracts, keywords, and citation patterns of the technical and policy literature. Capacity based approaches to cislunar domain awareness have already been framed as optimization problems over sensing architectures</w:t>
      </w:r>
      <w:r>
        <w:t xml:space="preserve"> </w:t>
      </w:r>
      <w:hyperlink w:anchor="ref-4">
        <w:r>
          <w:rPr>
            <w:rStyle w:val="Hyperlink"/>
          </w:rPr>
          <w:t xml:space="preserve">[4]</w:t>
        </w:r>
      </w:hyperlink>
      <w:r>
        <w:t xml:space="preserve">, and architectural contrasts between competing sensing and traffic management designs have been laid out explicitly</w:t>
      </w:r>
      <w:r>
        <w:t xml:space="preserve"> </w:t>
      </w:r>
      <w:hyperlink w:anchor="ref-3">
        <w:r>
          <w:rPr>
            <w:rStyle w:val="Hyperlink"/>
          </w:rPr>
          <w:t xml:space="preserve">[3]</w:t>
        </w:r>
      </w:hyperlink>
      <w:r>
        <w:t xml:space="preserve">. Those are engineering documents. The governance question asks whether the collective shape of such documents reveals a topic on the rise, and that question is answerable only by treating the corpus itself as data.</w:t>
      </w:r>
    </w:p>
    <w:p>
      <w:pPr>
        <w:pStyle w:val="BodyText"/>
        <w:spacing w:line="480" w:lineRule="auto"/>
        <w:ind w:firstLine="720"/>
      </w:pPr>
      <w:r>
        <w:t xml:space="preserve">The design stage framing is equally deliberate. A design stage dissertation establishes that a question is testable with obtainable evidence and demonstrates the test on a real, if modest, dataset. It does not pretend to a scale of data collection that the pipeline cannot yet support. The thirty source records that anchor the two empirical papers are not a census of the field. They are a transparent, auditable sample that lets the machinery run end to end and lets a reader see exactly what the estimators do with real numbers. A design that overpromised on data would be less honest, not more impressive.</w:t>
      </w:r>
    </w:p>
    <w:p>
      <w:pPr>
        <w:pStyle w:val="BodyText"/>
        <w:spacing w:line="480" w:lineRule="auto"/>
        <w:ind w:firstLine="720"/>
      </w:pPr>
      <w:r>
        <w:t xml:space="preserve">The Montreal Protocol analogy that recurs in the space sustainability literature is instructive here</w:t>
      </w:r>
      <w:r>
        <w:t xml:space="preserve"> </w:t>
      </w:r>
      <w:hyperlink w:anchor="ref-5">
        <w:r>
          <w:rPr>
            <w:rStyle w:val="Hyperlink"/>
          </w:rPr>
          <w:t xml:space="preserve">[5]</w:t>
        </w:r>
      </w:hyperlink>
      <w:r>
        <w:t xml:space="preserve">. Ozone governance became effective once the underlying science produced measurements that were hard to dispute. Orbital and cislunar governance are earlier in that arc. Before anyone can point to the decisive measurement, someone has to build the measurement discipline. This project is an exercise in building that discipline for one governance concept, at small scale, with every step exposed. The distributed information sharing arrangements that trust research has proposed for the space domain make the same wager in a different register: coordination follows from shared, inspectable evidence rather than from a single authoritative voice</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63"/>
    <w:bookmarkStart w:id="64" w:name="what-the-results-will-and-will-not-show"/>
    <w:p>
      <w:pPr>
        <w:pStyle w:val="Heading2"/>
        <w:spacing w:line="480" w:lineRule="auto"/>
      </w:pPr>
      <w:r>
        <w:t xml:space="preserve">What the results will and will not show</w:t>
      </w:r>
    </w:p>
    <w:p>
      <w:pPr>
        <w:pStyle w:val="FirstParagraph"/>
        <w:spacing w:line="480" w:lineRule="auto"/>
      </w:pPr>
      <w:r>
        <w:t xml:space="preserve">It is worth previewing the character of the findings so that the reader knows what kind of conclusion to expect. The two estimators return mostly imprecise coefficients on a thirty record sample. That is not a disappointment to be hidden; it is a result to be interpreted. A model that returns weak associations on a small, honestly assembled corpus is telling us that the topic signal is not yet strongly patterned in the retrieved metadata, or that the sample is too small to detect the pattern, or both. Either reading is informative for a design stage project whose purpose is to establish testability, not to claim a large effect. Chapter six reports the exact estimator output, and chapter seven reads the signs and the imprecision together rather than cherry picking whichever coefficient looks most flattering</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alternative outcome, had the estimators returned sharp and stable coefficients, would have been a stronger positive signal that the topic is already structured in the corpus. The design is built to accept either verdict. A test that can only confirm its hypothesis is not a test at all, and a central aim of this dissertation is to demonstrate a screen that could have failed and to report what it actually found.</w:t>
      </w:r>
    </w:p>
    <w:bookmarkEnd w:id="64"/>
    <w:bookmarkStart w:id="65" w:name="roadmap"/>
    <w:p>
      <w:pPr>
        <w:pStyle w:val="Heading2"/>
        <w:spacing w:line="480" w:lineRule="auto"/>
      </w:pPr>
      <w:r>
        <w:t xml:space="preserve">Roadmap</w:t>
      </w:r>
    </w:p>
    <w:p>
      <w:pPr>
        <w:pStyle w:val="FirstParagraph"/>
        <w:spacing w:line="480" w:lineRule="auto"/>
      </w:pPr>
      <w:r>
        <w:t xml:space="preserve">The remainder of the dissertation proceeds in seven chapters. Chapter two situates the project against prior work, drawing on the cislunar sensing and architecture literature, the space governance transition literature, and the discourse and sustainability studies that treat the documentary record as evidence</w:t>
      </w:r>
      <w:r>
        <w:t xml:space="preserve"> </w:t>
      </w:r>
      <w:hyperlink w:anchor="ref-3">
        <w:r>
          <w:rPr>
            <w:rStyle w:val="Hyperlink"/>
          </w:rPr>
          <w:t xml:space="preserve">[3]</w:t>
        </w:r>
      </w:hyperlink>
      <w:r>
        <w:t xml:space="preserve"> </w:t>
      </w:r>
      <w:hyperlink w:anchor="ref-11">
        <w:r>
          <w:rPr>
            <w:rStyle w:val="Hyperlink"/>
          </w:rPr>
          <w:t xml:space="preserve">[11]</w:t>
        </w:r>
      </w:hyperlink>
      <w:r>
        <w:t xml:space="preserve"> </w:t>
      </w:r>
      <w:hyperlink w:anchor="ref-15">
        <w:r>
          <w:rPr>
            <w:rStyle w:val="Hyperlink"/>
          </w:rPr>
          <w:t xml:space="preserve">[15]</w:t>
        </w:r>
      </w:hyperlink>
      <w:r>
        <w:t xml:space="preserve">. Chapter three develops the theory: what a polycentric arrangement is, why its earliest signatures should appear in corpus structure, and what testable predictions follow. Chapter four sets out the two estimators and explains why each identifies structure in the corpus rather than merely describing it, along with the standard error treatment and the limits of identification at this scale.</w:t>
      </w:r>
    </w:p>
    <w:p>
      <w:pPr>
        <w:pStyle w:val="BodyText"/>
        <w:spacing w:line="480" w:lineRule="auto"/>
        <w:ind w:firstLine="720"/>
      </w:pPr>
      <w:r>
        <w:t xml:space="preserve">Chapter five documents the data: the local source corpus, how each variable is constructed from real metadata, the provenance preserved in every row, and the sample size. Chapter six reports the results of both papers exactly as the estimators produced them, including coefficients, standard error based significance, model fit, and the number of observations, and it interprets the signs and magnitudes without inflating them. Chapter seven turns to discussion and limitations, naming the threats to validity that a document level, small sample design carries and stating plainly what the data cannot show. Chapter eight draws the conclusions, connects the bounded finding to governance and program relevance in the cislunar domain, and lays out the direct document coding study that a fuller test would require</w:t>
      </w:r>
      <w:r>
        <w:t xml:space="preserve"> </w:t>
      </w:r>
      <w:hyperlink w:anchor="ref-6">
        <w:r>
          <w:rPr>
            <w:rStyle w:val="Hyperlink"/>
          </w:rPr>
          <w:t xml:space="preserve">[6]</w:t>
        </w:r>
      </w:hyperlink>
      <w:r>
        <w:t xml:space="preserve"> </w:t>
      </w:r>
      <w:hyperlink w:anchor="ref-9">
        <w:r>
          <w:rPr>
            <w:rStyle w:val="Hyperlink"/>
          </w:rPr>
          <w:t xml:space="preserve">[9]</w:t>
        </w:r>
      </w:hyperlink>
      <w:r>
        <w:t xml:space="preserve">. The thread that runs through all of it is a single commitment: claim only what the evidence supports, and make every step of that support inspectable.</w:t>
      </w:r>
    </w:p>
    <w:bookmarkEnd w:id="65"/>
    <w:bookmarkStart w:id="66" w:name="why-cislunar-and-why-now"/>
    <w:p>
      <w:pPr>
        <w:pStyle w:val="Heading2"/>
        <w:spacing w:line="480" w:lineRule="auto"/>
      </w:pPr>
      <w:r>
        <w:t xml:space="preserve">Why cislunar, and why now</w:t>
      </w:r>
    </w:p>
    <w:p>
      <w:pPr>
        <w:pStyle w:val="FirstParagraph"/>
        <w:spacing w:line="480" w:lineRule="auto"/>
      </w:pPr>
      <w:r>
        <w:t xml:space="preserve">A reader might reasonably ask why this measurement discipline is being applied to cislunar governance rather than to some better established regime. The answer is timing. The near earth orbital environment already has decades of catalog data, a mature conjunction warning apparatus, and a governance conversation that, while contentious, is at least well populated. Cislunar space is at the beginning of that curve. The volume between geostationary orbit and the lunar surface is roughly a thousand times larger than the near earth regime, sensing coverage across it is sparse, and the catalog of resident objects is thin</w:t>
      </w:r>
      <w:r>
        <w:t xml:space="preserve"> </w:t>
      </w:r>
      <w:hyperlink w:anchor="ref-2">
        <w:r>
          <w:rPr>
            <w:rStyle w:val="Hyperlink"/>
          </w:rPr>
          <w:t xml:space="preserve">[2]</w:t>
        </w:r>
      </w:hyperlink>
      <w:r>
        <w:t xml:space="preserve"> </w:t>
      </w:r>
      <w:hyperlink w:anchor="ref-8">
        <w:r>
          <w:rPr>
            <w:rStyle w:val="Hyperlink"/>
          </w:rPr>
          <w:t xml:space="preserve">[8]</w:t>
        </w:r>
      </w:hyperlink>
      <w:r>
        <w:t xml:space="preserve">. That immaturity is the opportunity. Studying how a governance idea propagates is easiest when the idea is young enough that its documentary footprint is still forming, and cislunar traffic management is at exactly that stage.</w:t>
      </w:r>
    </w:p>
    <w:p>
      <w:pPr>
        <w:pStyle w:val="BodyText"/>
        <w:spacing w:line="480" w:lineRule="auto"/>
        <w:ind w:firstLine="720"/>
      </w:pPr>
      <w:r>
        <w:t xml:space="preserve">The pace of activity sharpens the case. Lunar mission concepts have multiplied across civil, commercial, and allied programs, and the strategic framing of traffic management now reaches explicitly toward cislunar and even cismartian environments</w:t>
      </w:r>
      <w:r>
        <w:t xml:space="preserve"> </w:t>
      </w:r>
      <w:hyperlink w:anchor="ref-9">
        <w:r>
          <w:rPr>
            <w:rStyle w:val="Hyperlink"/>
          </w:rPr>
          <w:t xml:space="preserve">[9]</w:t>
        </w:r>
      </w:hyperlink>
      <w:r>
        <w:t xml:space="preserve">. Concepts for monitoring cislunar fragmentation events with constellations of space based observers are already on the drawing board, which means the community is designing for the debris generating incidents that governance will eventually have to confront</w:t>
      </w:r>
      <w:r>
        <w:t xml:space="preserve"> </w:t>
      </w:r>
      <w:hyperlink w:anchor="ref-10">
        <w:r>
          <w:rPr>
            <w:rStyle w:val="Hyperlink"/>
          </w:rPr>
          <w:t xml:space="preserve">[10]</w:t>
        </w:r>
      </w:hyperlink>
      <w:r>
        <w:t xml:space="preserve">. When the engineering is racing ahead of the institutions, the lag between hazard and rule is not academic. It is the window in which a measurable governance signal either forms or fails to, and this dissertation aims to catch that signal at its formation.</w:t>
      </w:r>
    </w:p>
    <w:bookmarkEnd w:id="66"/>
    <w:bookmarkStart w:id="67" w:name="the-cost-of-getting-the-epistemics-wrong"/>
    <w:p>
      <w:pPr>
        <w:pStyle w:val="Heading2"/>
        <w:spacing w:line="480" w:lineRule="auto"/>
      </w:pPr>
      <w:r>
        <w:t xml:space="preserve">The cost of getting the epistemics wrong</w:t>
      </w:r>
    </w:p>
    <w:p>
      <w:pPr>
        <w:pStyle w:val="FirstParagraph"/>
        <w:spacing w:line="480" w:lineRule="auto"/>
      </w:pPr>
      <w:r>
        <w:t xml:space="preserve">There is a temptation, in a field this young and this consequential, to substitute confidence for evidence. Expert commentary is abundant, the physical case for distributed coordination is compelling, and the pull toward declaring a polycentric future inevitable is strong</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cost of yielding to that pull is real. Governance architectures, once adopted, are sticky. Sensor networks are placed, data sharing agreements are signed, and norm setting venues are chosen, and each of those choices is expensive to reverse. If the choices rest on a claimed consensus that the documentary record does not actually support, the field risks locking in an arrangement on the strength of a story rather than a measurement.</w:t>
      </w:r>
    </w:p>
    <w:p>
      <w:pPr>
        <w:pStyle w:val="BodyText"/>
        <w:spacing w:line="480" w:lineRule="auto"/>
        <w:ind w:firstLine="720"/>
      </w:pPr>
      <w:r>
        <w:t xml:space="preserve">This dissertation treats that risk as the reason for its epistemic caution. By asking whether the polycentric idea is visible in the corpus before asserting that it has arrived, the project models the discipline that a maturing governance conversation needs. A negative or weak result is not a defeat under this framing; it is a warning that the evidence base is not yet where the rhetoric assumes it to be, and that warning is exactly what a decision maker should want before committing to a costly architecture</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single falsifiable test is therefore not merely a methodological nicety. It is a small instrument for keeping a high stakes governance conversation honest about its own evidence.</w:t>
      </w:r>
    </w:p>
    <w:bookmarkEnd w:id="67"/>
    <w:bookmarkStart w:id="68" w:name="the-shape-of-the-argument"/>
    <w:p>
      <w:pPr>
        <w:pStyle w:val="Heading2"/>
        <w:spacing w:line="480" w:lineRule="auto"/>
      </w:pPr>
      <w:r>
        <w:t xml:space="preserve">The shape of the argument</w:t>
      </w:r>
    </w:p>
    <w:p>
      <w:pPr>
        <w:pStyle w:val="FirstParagraph"/>
        <w:spacing w:line="480" w:lineRule="auto"/>
      </w:pPr>
      <w:r>
        <w:t xml:space="preserve">The argument of the whole dissertation can be stated in one line and then unpacked. The line is: a governance idea leaves measurable traces in the literature before it hardens into rule, so the earliest test of whether polycentric cislunar traffic management is emerging is whether its topic signal is structured in the retrieved corpus. Each subsequent chapter supplies one piece of that argument. The literature review establishes that the three relevant bodies of work, cislunar engineering, space governance, and the record as data tradition, have never been joined for this topic</w:t>
      </w:r>
      <w:r>
        <w:t xml:space="preserve"> </w:t>
      </w:r>
      <w:hyperlink w:anchor="ref-3">
        <w:r>
          <w:rPr>
            <w:rStyle w:val="Hyperlink"/>
          </w:rPr>
          <w:t xml:space="preserve">[3]</w:t>
        </w:r>
      </w:hyperlink>
      <w:r>
        <w:t xml:space="preserve"> </w:t>
      </w:r>
      <w:hyperlink w:anchor="ref-11">
        <w:r>
          <w:rPr>
            <w:rStyle w:val="Hyperlink"/>
          </w:rPr>
          <w:t xml:space="preserve">[11]</w:t>
        </w:r>
      </w:hyperlink>
      <w:r>
        <w:t xml:space="preserve"> </w:t>
      </w:r>
      <w:hyperlink w:anchor="ref-15">
        <w:r>
          <w:rPr>
            <w:rStyle w:val="Hyperlink"/>
          </w:rPr>
          <w:t xml:space="preserve">[15]</w:t>
        </w:r>
      </w:hyperlink>
      <w:r>
        <w:t xml:space="preserve">. The theory chapter explains why corpus structure is the right early signal and derives the specific signatures to test. The methodology chapter builds the estimators that isolate those signatures. The data chapter documents the record they run on. The results chapter reports what they found. The discussion and conclusion chapters read that finding for what it means and what it demands next.</w:t>
      </w:r>
    </w:p>
    <w:p>
      <w:pPr>
        <w:pStyle w:val="BodyText"/>
        <w:spacing w:line="480" w:lineRule="auto"/>
        <w:ind w:firstLine="720"/>
      </w:pPr>
      <w:r>
        <w:t xml:space="preserve">Nothing in that chain asks the reader to accept a claim larger than its evidence. The topic signal is a proxy, the sample is small, and the estimators are screens rather than causal engines, and each of those limits is stated where it arises rather than buried. The ambition of the dissertation is not to settle the future of cislunar governance. It is to demonstrate, on real data and with every step exposed, that the future of cislunar governance can be studied as an empirical question rather than merely debated as a rhetorical one</w:t>
      </w:r>
      <w:r>
        <w:t xml:space="preserve"> </w:t>
      </w:r>
      <w:hyperlink w:anchor="ref-5">
        <w:r>
          <w:rPr>
            <w:rStyle w:val="Hyperlink"/>
          </w:rPr>
          <w:t xml:space="preserve">[5]</w:t>
        </w:r>
      </w:hyperlink>
      <w:r>
        <w:t xml:space="preserve"> </w:t>
      </w:r>
      <w:hyperlink w:anchor="ref-9">
        <w:r>
          <w:rPr>
            <w:rStyle w:val="Hyperlink"/>
          </w:rPr>
          <w:t xml:space="preserve">[9]</w:t>
        </w:r>
      </w:hyperlink>
      <w:r>
        <w:t xml:space="preserve">. That demonstration, bounded as it is, is the contribution the following chapters build toward.</w:t>
      </w:r>
    </w:p>
    <w:bookmarkEnd w:id="68"/>
    <w:bookmarkStart w:id="69" w:name="Xc4fd47adf8cdf9ab1e87a350efd56f301ad284d"/>
    <w:p>
      <w:pPr>
        <w:pStyle w:val="Heading2"/>
        <w:spacing w:line="480" w:lineRule="auto"/>
      </w:pPr>
      <w:r>
        <w:t xml:space="preserve">Situating the candidate within a research tradition</w:t>
      </w:r>
    </w:p>
    <w:p>
      <w:pPr>
        <w:pStyle w:val="FirstParagraph"/>
        <w:spacing w:line="480" w:lineRule="auto"/>
      </w:pPr>
      <w:r>
        <w:t xml:space="preserve">The design choices in this dissertation are not idiosyncratic. They place the candidate within a small but growing tradition that treats the space governance literature as an object of measurement rather than only a source of argument. Discourse network analysis of the space debris regime showed that a governance conversation has measurable structure and that the structure conditions which policies become thinkable</w:t>
      </w:r>
      <w:r>
        <w:t xml:space="preserve"> </w:t>
      </w:r>
      <w:hyperlink w:anchor="ref-15">
        <w:r>
          <w:rPr>
            <w:rStyle w:val="Hyperlink"/>
          </w:rPr>
          <w:t xml:space="preserve">[15]</w:t>
        </w:r>
      </w:hyperlink>
      <w:r>
        <w:t xml:space="preserve">. The present study extends that logic from an established regime, debris, to an emerging one, cislunar traffic management, and from actor and statement coding to metadata coding. The lineage matters because it means the approach has already proven itself on a harder, more mature case, and applying it to a younger topic is a natural next application rather than a leap into the untested.</w:t>
      </w:r>
    </w:p>
    <w:p>
      <w:pPr>
        <w:pStyle w:val="BodyText"/>
        <w:spacing w:line="480" w:lineRule="auto"/>
        <w:ind w:firstLine="720"/>
      </w:pPr>
      <w:r>
        <w:t xml:space="preserve">The candidate’s positioning also reflects a deliberate choice about where a doctoral contribution is most useful. The engineering side of cislunar traffic management is crowded with capable work on sensing, architecture, and conjunction risk</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8">
        <w:r>
          <w:rPr>
            <w:rStyle w:val="Hyperlink"/>
          </w:rPr>
          <w:t xml:space="preserve">[8]</w:t>
        </w:r>
      </w:hyperlink>
      <w:r>
        <w:t xml:space="preserve">. The governance side has strong conceptual and normative arguments about trust, information sharing, and the transition away from legacy models</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11">
        <w:r>
          <w:rPr>
            <w:rStyle w:val="Hyperlink"/>
          </w:rPr>
          <w:t xml:space="preserve">[11]</w:t>
        </w:r>
      </w:hyperlink>
      <w:r>
        <w:t xml:space="preserve">. What is comparatively empty is the space between them, where someone asks whether the governance idea is yet visible in the field’s own documentary output. Choosing to work in that gap is how the dissertation earns its distinctiveness, and it is why the contribution can be stated so precisely as a single falsifiable test rather than as a broad survey of an already surveyed domain.</w:t>
      </w:r>
    </w:p>
    <w:bookmarkEnd w:id="69"/>
    <w:bookmarkStart w:id="70" w:name="the-readers-contract"/>
    <w:p>
      <w:pPr>
        <w:pStyle w:val="Heading2"/>
        <w:spacing w:line="480" w:lineRule="auto"/>
      </w:pPr>
      <w:r>
        <w:t xml:space="preserve">The reader’s contract</w:t>
      </w:r>
    </w:p>
    <w:p>
      <w:pPr>
        <w:pStyle w:val="FirstParagraph"/>
        <w:spacing w:line="480" w:lineRule="auto"/>
      </w:pPr>
      <w:r>
        <w:t xml:space="preserve">It is fair, at the outset, to tell the reader exactly what kind of document this is and what it asks of them. This is a design stage empirical dissertation, which means it prizes reproducibility and honesty of scope over breadth of claim. The reader is asked to follow a chain of reasoning from a governance question to two transparent estimators and to judge the work by whether that chain holds, not by whether it delivers a sweeping verdict on the future of the domain. Where the estimators return weak or imprecise results, the reader is asked to read those results as informative about the state of the evidence rather than as a disappointment to be explained away</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In return, the dissertation commits to never asking for trust it has not earned. Every number reported in the results chapter comes from a workbook a reader could rebuild. Every variable is defined by a mechanical rule. Every source is preserved in the data. Every limitation is named where it bears on the interpretation rather than confined to a defensive footnote. That is the contract: modest claims, fully supported, fully inspectable. The chapters that follow honor it, and the value of the whole depends on that honoring being visible at every step</w:t>
      </w:r>
      <w:r>
        <w:t xml:space="preserve"> </w:t>
      </w:r>
      <w:hyperlink w:anchor="ref-6">
        <w:r>
          <w:rPr>
            <w:rStyle w:val="Hyperlink"/>
          </w:rPr>
          <w:t xml:space="preserve">[6]</w:t>
        </w:r>
      </w:hyperlink>
      <w:r>
        <w:t xml:space="preserve"> </w:t>
      </w:r>
      <w:hyperlink w:anchor="ref-15">
        <w:r>
          <w:rPr>
            <w:rStyle w:val="Hyperlink"/>
          </w:rPr>
          <w:t xml:space="preserve">[15]</w:t>
        </w:r>
      </w:hyperlink>
      <w:r>
        <w:t xml:space="preserve">.</w:t>
      </w:r>
    </w:p>
    <w:bookmarkEnd w:id="70"/>
    <w:bookmarkEnd w:id="71"/>
    <w:bookmarkStart w:id="82" w:name="literature-review"/>
    <w:p>
      <w:pPr>
        <w:pStyle w:val="Heading1"/>
        <w:spacing w:line="480" w:lineRule="auto"/>
      </w:pPr>
      <w:r>
        <w:t xml:space="preserve">Literature Review</w:t>
      </w:r>
    </w:p>
    <w:p>
      <w:pPr>
        <w:pStyle w:val="FirstParagraph"/>
        <w:spacing w:line="480" w:lineRule="auto"/>
      </w:pPr>
      <w:r>
        <w:t xml:space="preserve">Two bodies of writing bear on this dissertation. They rarely talk to each other. One is the engineering and policy literature on cislunar space, which establishes that traffic management beyond geostationary orbit is a genuine and hardening problem. The other is the smaller literature that treats the documentary record itself as evidence, coding discourse, citation, and venue structure to learn how a governance idea moves before it becomes rule. This chapter reads both, shows where each stops, and locates the contribution of the present study in the seam between them.</w:t>
      </w:r>
    </w:p>
    <w:bookmarkStart w:id="72" w:name="Xa5a7ee6b914d9f747504ad1698c326b1ce7ceee"/>
    <w:p>
      <w:pPr>
        <w:pStyle w:val="Heading2"/>
        <w:spacing w:line="480" w:lineRule="auto"/>
      </w:pPr>
      <w:r>
        <w:t xml:space="preserve">The cislunar domain as an engineering problem</w:t>
      </w:r>
    </w:p>
    <w:p>
      <w:pPr>
        <w:pStyle w:val="FirstParagraph"/>
        <w:spacing w:line="480" w:lineRule="auto"/>
      </w:pPr>
      <w:r>
        <w:t xml:space="preserve">Cislunar space is not near earth space. The starting point is that it is operationally distinct from the regime that space situational awareness was designed to serve. Dynamics in the region are governed by the gravity of both the Earth and the Moon, which produces orbit families, libration points, and transfer geometries with no near earth analogue. Work on the utilization potential of distinct orbit families in the cislunar domain sets out why particular regions of the volume are attractive for particular missions, and therefore why traffic will concentrate rather than spread uniformly</w:t>
      </w:r>
      <w:r>
        <w:t xml:space="preserve"> </w:t>
      </w:r>
      <w:hyperlink w:anchor="ref-2">
        <w:r>
          <w:rPr>
            <w:rStyle w:val="Hyperlink"/>
          </w:rPr>
          <w:t xml:space="preserve">[2]</w:t>
        </w:r>
      </w:hyperlink>
      <w:r>
        <w:t xml:space="preserve">. Concentration matters for governance because it localizes both value and risk.</w:t>
      </w:r>
    </w:p>
    <w:p>
      <w:pPr>
        <w:pStyle w:val="BodyText"/>
        <w:spacing w:line="480" w:lineRule="auto"/>
        <w:ind w:firstLine="720"/>
      </w:pPr>
      <w:r>
        <w:t xml:space="preserve">Sensing that concentrated traffic is hard. No single vantage sees the whole domain. Conjunction potential across the cislunar domain has been mapped as a spatially varying risk surface rather than a uniform hazard, which means detection and warning cannot rely on a single vantage or a single sensor type</w:t>
      </w:r>
      <w:r>
        <w:t xml:space="preserve"> </w:t>
      </w:r>
      <w:hyperlink w:anchor="ref-8">
        <w:r>
          <w:rPr>
            <w:rStyle w:val="Hyperlink"/>
          </w:rPr>
          <w:t xml:space="preserve">[8]</w:t>
        </w:r>
      </w:hyperlink>
      <w:r>
        <w:t xml:space="preserve">. Space based observation concepts have been proposed to fill the gaps that ground based sensors cannot reach, including approaches that exploit the structure of the dynamics themselves, such as Poincare search maps for cislunar detection</w:t>
      </w:r>
      <w:r>
        <w:t xml:space="preserve"> </w:t>
      </w:r>
      <w:hyperlink w:anchor="ref-7">
        <w:r>
          <w:rPr>
            <w:rStyle w:val="Hyperlink"/>
          </w:rPr>
          <w:t xml:space="preserve">[7]</w:t>
        </w:r>
      </w:hyperlink>
      <w:r>
        <w:t xml:space="preserve">. The common thread across this work is that no one instrument or operator sees the whole domain. That physical fact is the root of the governance question this dissertation studies: distributed sensing invites distributed, or polycentric, coordination.</w:t>
      </w:r>
    </w:p>
    <w:p>
      <w:pPr>
        <w:pStyle w:val="BodyText"/>
        <w:spacing w:line="480" w:lineRule="auto"/>
        <w:ind w:firstLine="720"/>
      </w:pPr>
      <w:r>
        <w:t xml:space="preserve">Architecture studies make the coordination question explicit. Contrasting architectures for cislunar situational awareness and traffic management have been laid out as design alternatives, each with different implications for who holds data and who acts on it</w:t>
      </w:r>
      <w:r>
        <w:t xml:space="preserve"> </w:t>
      </w:r>
      <w:hyperlink w:anchor="ref-3">
        <w:r>
          <w:rPr>
            <w:rStyle w:val="Hyperlink"/>
          </w:rPr>
          <w:t xml:space="preserve">[3]</w:t>
        </w:r>
      </w:hyperlink>
      <w:r>
        <w:t xml:space="preserve">. Capacity based optimization of a cislunar awareness architecture treats sensor placement and coverage as a formal problem to be solved under constraints</w:t>
      </w:r>
      <w:r>
        <w:t xml:space="preserve"> </w:t>
      </w:r>
      <w:hyperlink w:anchor="ref-4">
        <w:r>
          <w:rPr>
            <w:rStyle w:val="Hyperlink"/>
          </w:rPr>
          <w:t xml:space="preserve">[4]</w:t>
        </w:r>
      </w:hyperlink>
      <w:r>
        <w:t xml:space="preserve">. These are not governance papers in the political science sense, but they encode governance choices. A capacity optimized, multi operator sensing network presupposes an arrangement for sharing what it detects. The engineering literature, in other words, keeps arriving at the doorstep of institutional design without walking through it.</w:t>
      </w:r>
    </w:p>
    <w:p>
      <w:pPr>
        <w:pStyle w:val="BodyText"/>
        <w:spacing w:line="480" w:lineRule="auto"/>
        <w:ind w:firstLine="720"/>
      </w:pPr>
      <w:r>
        <w:t xml:space="preserve">Newer contributions push the domain framing outward in scope. Strategic frameworks for space traffic management now extend the analysis to cislunar and even cismartian environments, treating the near term lunar problem as one stage of a longer arc of expansion</w:t>
      </w:r>
      <w:r>
        <w:t xml:space="preserve"> </w:t>
      </w:r>
      <w:hyperlink w:anchor="ref-9">
        <w:r>
          <w:rPr>
            <w:rStyle w:val="Hyperlink"/>
          </w:rPr>
          <w:t xml:space="preserve">[9]</w:t>
        </w:r>
      </w:hyperlink>
      <w:r>
        <w:t xml:space="preserve">. Monitoring concepts for cislunar fragmentation events, using constellations of space based observers, show that the community is already designing for the debris generating incidents that governance will eventually have to address</w:t>
      </w:r>
      <w:r>
        <w:t xml:space="preserve"> </w:t>
      </w:r>
      <w:hyperlink w:anchor="ref-10">
        <w:r>
          <w:rPr>
            <w:rStyle w:val="Hyperlink"/>
          </w:rPr>
          <w:t xml:space="preserve">[10]</w:t>
        </w:r>
      </w:hyperlink>
      <w:r>
        <w:t xml:space="preserve">. The engineering record is rich, current, and converging on the recognition that coordination across many actors is unavoidable.</w:t>
      </w:r>
    </w:p>
    <w:bookmarkEnd w:id="72"/>
    <w:bookmarkStart w:id="73" w:name="X40d5045893593c8bea445998bc1056634e61f03"/>
    <w:p>
      <w:pPr>
        <w:pStyle w:val="Heading2"/>
        <w:spacing w:line="480" w:lineRule="auto"/>
      </w:pPr>
      <w:r>
        <w:t xml:space="preserve">Governance, norms, and the shape of the transition</w:t>
      </w:r>
    </w:p>
    <w:p>
      <w:pPr>
        <w:pStyle w:val="FirstParagraph"/>
        <w:spacing w:line="480" w:lineRule="auto"/>
      </w:pPr>
      <w:r>
        <w:t xml:space="preserve">A parallel literature studies how the space sector governs itself and how that governance is changing. The transition from legacy institutional models toward newer, more distributed arrangements has been documented directly, and the vocabulary of that transition maps closely onto the polycentric framing this dissertation uses</w:t>
      </w:r>
      <w:r>
        <w:t xml:space="preserve"> </w:t>
      </w:r>
      <w:hyperlink w:anchor="ref-11">
        <w:r>
          <w:rPr>
            <w:rStyle w:val="Hyperlink"/>
          </w:rPr>
          <w:t xml:space="preserve">[11]</w:t>
        </w:r>
      </w:hyperlink>
      <w:r>
        <w:t xml:space="preserve">. Legacy space governance concentrated authority in a small number of state actors and treaties. Newer models distribute it across commercial operators, industry consortia, and overlapping regional and functional bodies. Whether that distribution amounts to genuine polycentric coordination or merely to fragmentation is an open empirical question, and it is precisely the question a document level test can begin to inform.</w:t>
      </w:r>
    </w:p>
    <w:p>
      <w:pPr>
        <w:pStyle w:val="BodyText"/>
        <w:spacing w:line="480" w:lineRule="auto"/>
        <w:ind w:firstLine="720"/>
      </w:pPr>
      <w:r>
        <w:t xml:space="preserve">Trust and information sharing sit at the center of the distributed model. Research on decentralized space information sharing argues that trust is the key enabler for preserving safe operations when no single authority commands the domain</w:t>
      </w:r>
      <w:r>
        <w:t xml:space="preserve"> </w:t>
      </w:r>
      <w:hyperlink w:anchor="ref-1">
        <w:r>
          <w:rPr>
            <w:rStyle w:val="Hyperlink"/>
          </w:rPr>
          <w:t xml:space="preserve">[1]</w:t>
        </w:r>
      </w:hyperlink>
      <w:r>
        <w:t xml:space="preserve">. A companion strand develops the mechanics of sharing operational risk information to facilitate the development of norms and the monitoring of compliance</w:t>
      </w:r>
      <w:r>
        <w:t xml:space="preserve"> </w:t>
      </w:r>
      <w:hyperlink w:anchor="ref-6">
        <w:r>
          <w:rPr>
            <w:rStyle w:val="Hyperlink"/>
          </w:rPr>
          <w:t xml:space="preserve">[6]</w:t>
        </w:r>
      </w:hyperlink>
      <w:r>
        <w:t xml:space="preserve">. These works are important for this dissertation because they supply the causal intuition behind the polycentric claim: if actors share inspectable risk information, coordination can emerge without central command. The intuition is plausible and well argued. It is not, in that literature, tested against the structure of the documentary record, which is the gap this project targets.</w:t>
      </w:r>
    </w:p>
    <w:p>
      <w:pPr>
        <w:pStyle w:val="BodyText"/>
        <w:spacing w:line="480" w:lineRule="auto"/>
        <w:ind w:firstLine="720"/>
      </w:pPr>
      <w:r>
        <w:t xml:space="preserve">Comparative and historical governance work supplies discipline. The recurring analogy to the Montreal Protocol, drawn explicitly in space sustainability scholarship, reminds the field that effective governance of a commons often waited on measurements that were hard to dispute</w:t>
      </w:r>
      <w:r>
        <w:t xml:space="preserve"> </w:t>
      </w:r>
      <w:hyperlink w:anchor="ref-5">
        <w:r>
          <w:rPr>
            <w:rStyle w:val="Hyperlink"/>
          </w:rPr>
          <w:t xml:space="preserve">[5]</w:t>
        </w:r>
      </w:hyperlink>
      <w:r>
        <w:t xml:space="preserve">. Ozone depletion moved from contested to governed when the science produced numbers institutions could not ignore. Reasoning about planetary boundaries has been imported into space through frameworks that integrate ecological limits into an Earth and outer space system design</w:t>
      </w:r>
      <w:r>
        <w:t xml:space="preserve"> </w:t>
      </w:r>
      <w:hyperlink w:anchor="ref-12">
        <w:r>
          <w:rPr>
            <w:rStyle w:val="Hyperlink"/>
          </w:rPr>
          <w:t xml:space="preserve">[12]</w:t>
        </w:r>
      </w:hyperlink>
      <w:r>
        <w:t xml:space="preserve">. These works matter methodologically as much as substantively. They model the move from narrative concern to measured evidence, which is the move this dissertation attempts, at small scale, for a single governance concept.</w:t>
      </w:r>
    </w:p>
    <w:bookmarkEnd w:id="73"/>
    <w:bookmarkStart w:id="74" w:name="treating-the-record-as-data"/>
    <w:p>
      <w:pPr>
        <w:pStyle w:val="Heading2"/>
        <w:spacing w:line="480" w:lineRule="auto"/>
      </w:pPr>
      <w:r>
        <w:t xml:space="preserve">Treating the record as data</w:t>
      </w:r>
    </w:p>
    <w:p>
      <w:pPr>
        <w:pStyle w:val="FirstParagraph"/>
        <w:spacing w:line="480" w:lineRule="auto"/>
      </w:pPr>
      <w:r>
        <w:t xml:space="preserve">The third body of work reads documents as evidence about how a field thinks. A discourse network analysis of the socio technical regime around space debris demonstrates that the discussion itself has measurable structure, that actors cluster, and that the shape of the discourse conditions which policies become thinkable</w:t>
      </w:r>
      <w:r>
        <w:t xml:space="preserve"> </w:t>
      </w:r>
      <w:hyperlink w:anchor="ref-15">
        <w:r>
          <w:rPr>
            <w:rStyle w:val="Hyperlink"/>
          </w:rPr>
          <w:t xml:space="preserve">[15]</w:t>
        </w:r>
      </w:hyperlink>
      <w:r>
        <w:t xml:space="preserve">. This is the closest methodological cousin to the present study. Where that analysis codes actors and statements in a debris discourse, this dissertation codes retrieved sources by recency, citation attention, and venue family to ask whether a cislunar governance topic is structured in the corpus. The unit of analysis differs, but the wager is the same: structure in the record is informative about the state of a governance idea.</w:t>
      </w:r>
    </w:p>
    <w:p>
      <w:pPr>
        <w:pStyle w:val="BodyText"/>
        <w:spacing w:line="480" w:lineRule="auto"/>
        <w:ind w:firstLine="720"/>
      </w:pPr>
      <w:r>
        <w:t xml:space="preserve">Related work treats operational and traffic problems in ways that generate the metadata such a reading depends on. Prototyping operational autonomy for space traffic management shows the field building the automated decision systems whose documentation becomes part of the corpus</w:t>
      </w:r>
      <w:r>
        <w:t xml:space="preserve"> </w:t>
      </w:r>
      <w:hyperlink w:anchor="ref-16">
        <w:r>
          <w:rPr>
            <w:rStyle w:val="Hyperlink"/>
          </w:rPr>
          <w:t xml:space="preserve">[16]</w:t>
        </w:r>
      </w:hyperlink>
      <w:r>
        <w:t xml:space="preserve">. Reviews of collision avoidance manoeuvre design methods aggregate a technical literature into a structured survey, which is itself a signal of a maturing evidence base</w:t>
      </w:r>
      <w:r>
        <w:t xml:space="preserve"> </w:t>
      </w:r>
      <w:hyperlink w:anchor="ref-13">
        <w:r>
          <w:rPr>
            <w:rStyle w:val="Hyperlink"/>
          </w:rPr>
          <w:t xml:space="preserve">[13]</w:t>
        </w:r>
      </w:hyperlink>
      <w:r>
        <w:t xml:space="preserve">. Assessments of future activity in near earth space under ever increasing traffic frame the pressure that pushes governance forward and leave a documentary trail of rising concern</w:t>
      </w:r>
      <w:r>
        <w:t xml:space="preserve"> </w:t>
      </w:r>
      <w:hyperlink w:anchor="ref-14">
        <w:r>
          <w:rPr>
            <w:rStyle w:val="Hyperlink"/>
          </w:rPr>
          <w:t xml:space="preserve">[14]</w:t>
        </w:r>
      </w:hyperlink>
      <w:r>
        <w:t xml:space="preserve">. Each of these is a source that a corpus reading would count, weigh, and locate by venue and year.</w:t>
      </w:r>
    </w:p>
    <w:bookmarkEnd w:id="74"/>
    <w:bookmarkStart w:id="75" w:name="the-gap-and-the-seam"/>
    <w:p>
      <w:pPr>
        <w:pStyle w:val="Heading2"/>
        <w:spacing w:line="480" w:lineRule="auto"/>
      </w:pPr>
      <w:r>
        <w:t xml:space="preserve">The gap and the seam</w:t>
      </w:r>
    </w:p>
    <w:p>
      <w:pPr>
        <w:pStyle w:val="FirstParagraph"/>
        <w:spacing w:line="480" w:lineRule="auto"/>
      </w:pPr>
      <w:r>
        <w:t xml:space="preserve">Set side by side, the three literatures leave a specific gap. The engineering literature establishes that cislunar traffic management is real and that distributed sensing makes distributed coordination likely</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8">
        <w:r>
          <w:rPr>
            <w:rStyle w:val="Hyperlink"/>
          </w:rPr>
          <w:t xml:space="preserve">[8]</w:t>
        </w:r>
      </w:hyperlink>
      <w:r>
        <w:t xml:space="preserve">. The governance literature names the transition toward distributed arrangements and supplies the trust and information sharing mechanism that would make polycentric coordination work</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11">
        <w:r>
          <w:rPr>
            <w:rStyle w:val="Hyperlink"/>
          </w:rPr>
          <w:t xml:space="preserve">[11]</w:t>
        </w:r>
      </w:hyperlink>
      <w:r>
        <w:t xml:space="preserve">. The record as data literature shows that discourse and citation structure can be measured and that the measurement is informative</w:t>
      </w:r>
      <w:r>
        <w:t xml:space="preserve"> </w:t>
      </w:r>
      <w:hyperlink w:anchor="ref-15">
        <w:r>
          <w:rPr>
            <w:rStyle w:val="Hyperlink"/>
          </w:rPr>
          <w:t xml:space="preserve">[15]</w:t>
        </w:r>
      </w:hyperlink>
      <w:r>
        <w:t xml:space="preserve">. What no one has done is join them for this topic: no study asks whether the polycentric cislunar traffic management idea is already structured in the corpus of sources that governance actors read, using recency, citation attention, and venue family as the observable signals.</w:t>
      </w:r>
    </w:p>
    <w:p>
      <w:pPr>
        <w:pStyle w:val="BodyText"/>
        <w:spacing w:line="480" w:lineRule="auto"/>
        <w:ind w:firstLine="720"/>
      </w:pPr>
      <w:r>
        <w:t xml:space="preserve">That seam is where this dissertation sits. It does not attempt to adjudicate the operational superiority of a polycentric architecture, a question the engineering literature owns. It does not resolve the normative debate about who should govern the domain, a question the governance literature owns. It asks the narrower, testable question the record as data tradition makes possible, and it reports only what the estimators find</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15">
        <w:r>
          <w:rPr>
            <w:rStyle w:val="Hyperlink"/>
          </w:rPr>
          <w:t xml:space="preserve">[15]</w:t>
        </w:r>
      </w:hyperlink>
      <w:r>
        <w:t xml:space="preserve">. The remaining chapters build the theory, the method, the data, and the results that carry that question from a claim about a gap to a bounded, falsifiable finding</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75"/>
    <w:bookmarkStart w:id="76" w:name="polycentricity-as-an-analytical-concept"/>
    <w:p>
      <w:pPr>
        <w:pStyle w:val="Heading2"/>
        <w:spacing w:line="480" w:lineRule="auto"/>
      </w:pPr>
      <w:r>
        <w:t xml:space="preserve">Polycentricity as an analytical concept</w:t>
      </w:r>
    </w:p>
    <w:p>
      <w:pPr>
        <w:pStyle w:val="FirstParagraph"/>
        <w:spacing w:line="480" w:lineRule="auto"/>
      </w:pPr>
      <w:r>
        <w:t xml:space="preserve">The term polycentric deserves closer handling than the enthusiasm around it usually gives it. In its original governance sense, polycentric describes a system of many decision centers that are formally independent yet functionally interdependent, coordinating through mutual adjustment, shared information, and overlapping rules rather than through a hierarchy. Applied to the space domain, the concept has intuitive appeal precisely because the physical facts resist central control: no single operator senses the whole cislunar volume, and no single authority commands the commercial, civil, and allied systems that do the sensing</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 transition literature lends the concept empirical grounding by documenting a move away from the state centered legacy model toward a landscape of many actors</w:t>
      </w:r>
      <w:r>
        <w:t xml:space="preserve"> </w:t>
      </w:r>
      <w:hyperlink w:anchor="ref-11">
        <w:r>
          <w:rPr>
            <w:rStyle w:val="Hyperlink"/>
          </w:rPr>
          <w:t xml:space="preserve">[11]</w:t>
        </w:r>
      </w:hyperlink>
      <w:r>
        <w:t xml:space="preserve">.</w:t>
      </w:r>
    </w:p>
    <w:p>
      <w:pPr>
        <w:pStyle w:val="BodyText"/>
        <w:spacing w:line="480" w:lineRule="auto"/>
        <w:ind w:firstLine="720"/>
      </w:pPr>
      <w:r>
        <w:t xml:space="preserve">The appeal is genuine, but the concept carries a risk that the record as data approach is well suited to check. Polycentricity can be invoked as a description of any arrangement with more than one actor, which drains it of analytical content, or it can name a specific claim: that the many centers actually coordinate through shared information rather than merely coexisting in fragmentation. Those are different states of the world, and the difference matters. Fragmentation without coordination is not polycentric governance; it is the absence of governance. The trust and information sharing literature supplies the mechanism that would distinguish the two, arguing that inspectable operational risk information is what turns a set of independent operators into a coordinating system</w:t>
      </w:r>
      <w:r>
        <w:t xml:space="preserve"> </w:t>
      </w:r>
      <w:hyperlink w:anchor="ref-1">
        <w:r>
          <w:rPr>
            <w:rStyle w:val="Hyperlink"/>
          </w:rPr>
          <w:t xml:space="preserve">[1]</w:t>
        </w:r>
      </w:hyperlink>
      <w:r>
        <w:t xml:space="preserve"> </w:t>
      </w:r>
      <w:hyperlink w:anchor="ref-6">
        <w:r>
          <w:rPr>
            <w:rStyle w:val="Hyperlink"/>
          </w:rPr>
          <w:t xml:space="preserve">[6]</w:t>
        </w:r>
      </w:hyperlink>
      <w:r>
        <w:t xml:space="preserve">. A corpus reading cannot observe coordination directly, but it can observe whether the topic that would carry that coordination is structured in the literature, which is a first, indirect check on whether the concept has substance here.</w:t>
      </w:r>
    </w:p>
    <w:bookmarkEnd w:id="76"/>
    <w:bookmarkStart w:id="77" w:name="Xc263659ed19265b3e426aac0cde66af26ee5110"/>
    <w:p>
      <w:pPr>
        <w:pStyle w:val="Heading2"/>
        <w:spacing w:line="480" w:lineRule="auto"/>
      </w:pPr>
      <w:r>
        <w:t xml:space="preserve">What the sensing literature implies for governance</w:t>
      </w:r>
    </w:p>
    <w:p>
      <w:pPr>
        <w:pStyle w:val="FirstParagraph"/>
        <w:spacing w:line="480" w:lineRule="auto"/>
      </w:pPr>
      <w:r>
        <w:t xml:space="preserve">The engineering work on cislunar sensing is not neutral about governance, even where it never uses the word. A capacity based optimization of a cislunar awareness architecture treats coverage as a resource to be allocated across sensors under constraints, and any such allocation presupposes a scheme for who contributes sensing and who receives the resulting picture</w:t>
      </w:r>
      <w:r>
        <w:t xml:space="preserve"> </w:t>
      </w:r>
      <w:hyperlink w:anchor="ref-4">
        <w:r>
          <w:rPr>
            <w:rStyle w:val="Hyperlink"/>
          </w:rPr>
          <w:t xml:space="preserve">[4]</w:t>
        </w:r>
      </w:hyperlink>
      <w:r>
        <w:t xml:space="preserve">. Contrasting architectures for cislunar situational awareness and traffic management are, at bottom, contrasting answers to the question of where authority and data reside</w:t>
      </w:r>
      <w:r>
        <w:t xml:space="preserve"> </w:t>
      </w:r>
      <w:hyperlink w:anchor="ref-3">
        <w:r>
          <w:rPr>
            <w:rStyle w:val="Hyperlink"/>
          </w:rPr>
          <w:t xml:space="preserve">[3]</w:t>
        </w:r>
      </w:hyperlink>
      <w:r>
        <w:t xml:space="preserve">. Risk maps for conjunction potential across the domain imply a distribution of warning responsibility, since the map shows that no single vantage covers the high risk regions</w:t>
      </w:r>
      <w:r>
        <w:t xml:space="preserve"> </w:t>
      </w:r>
      <w:hyperlink w:anchor="ref-8">
        <w:r>
          <w:rPr>
            <w:rStyle w:val="Hyperlink"/>
          </w:rPr>
          <w:t xml:space="preserve">[8]</w:t>
        </w:r>
      </w:hyperlink>
      <w:r>
        <w:t xml:space="preserve">. Space based detection concepts, including those built on the dynamical structure of the region, extend the sensing network into orbits that no ground station can serve, which multiplies the number of actors who must coordinate</w:t>
      </w:r>
      <w:r>
        <w:t xml:space="preserve"> </w:t>
      </w:r>
      <w:hyperlink w:anchor="ref-7">
        <w:r>
          <w:rPr>
            <w:rStyle w:val="Hyperlink"/>
          </w:rPr>
          <w:t xml:space="preserve">[7]</w:t>
        </w:r>
      </w:hyperlink>
      <w:r>
        <w:t xml:space="preserve">.</w:t>
      </w:r>
    </w:p>
    <w:p>
      <w:pPr>
        <w:pStyle w:val="BodyText"/>
        <w:spacing w:line="480" w:lineRule="auto"/>
        <w:ind w:firstLine="720"/>
      </w:pPr>
      <w:r>
        <w:t xml:space="preserve">Read as governance documents, these papers converge on a single implication: the physics of cislunar space pushes toward a many actor sensing arrangement, and a many actor sensing arrangement demands a many actor coordination arrangement. That is the engineering case for polycentricity, and it is strong. What the engineering literature cannot supply is evidence that the governance idea has actually taken hold in the field’s own discourse, because that is a question about the literature rather than about the physics. Answering it requires stepping back from any single paper to ask how the topic is distributed across the whole retrieved record, which is the move the record as data tradition makes and the engineering tradition does not</w:t>
      </w:r>
      <w:r>
        <w:t xml:space="preserve"> </w:t>
      </w:r>
      <w:hyperlink w:anchor="ref-15">
        <w:r>
          <w:rPr>
            <w:rStyle w:val="Hyperlink"/>
          </w:rPr>
          <w:t xml:space="preserve">[15]</w:t>
        </w:r>
      </w:hyperlink>
      <w:r>
        <w:t xml:space="preserve">.</w:t>
      </w:r>
    </w:p>
    <w:bookmarkEnd w:id="77"/>
    <w:bookmarkStart w:id="78" w:name="X5dd6cb1811be3781671e3ee826849e2feb40630"/>
    <w:p>
      <w:pPr>
        <w:pStyle w:val="Heading2"/>
        <w:spacing w:line="480" w:lineRule="auto"/>
      </w:pPr>
      <w:r>
        <w:t xml:space="preserve">The methodological lineage of a corpus reading</w:t>
      </w:r>
    </w:p>
    <w:p>
      <w:pPr>
        <w:pStyle w:val="FirstParagraph"/>
        <w:spacing w:line="480" w:lineRule="auto"/>
      </w:pPr>
      <w:r>
        <w:t xml:space="preserve">Treating a body of documents as data has a lineage worth naming, because it establishes that the present design is not improvised. Discourse network analysis of the space debris regime coded actors and their statements to reveal the structure of a governance conversation, showing that the debris discourse clusters and that the clustering conditions which policies become thinkable</w:t>
      </w:r>
      <w:r>
        <w:t xml:space="preserve"> </w:t>
      </w:r>
      <w:hyperlink w:anchor="ref-15">
        <w:r>
          <w:rPr>
            <w:rStyle w:val="Hyperlink"/>
          </w:rPr>
          <w:t xml:space="preserve">[15]</w:t>
        </w:r>
      </w:hyperlink>
      <w:r>
        <w:t xml:space="preserve">. Systematic reviews perform a related move at the level of technical content, aggregating a scattered literature into a structured, analyzable whole; the review of collision avoidance manoeuvre design methods is one such consolidation, and the existence of a review is itself a marker that an evidence base has matured enough to warrant one</w:t>
      </w:r>
      <w:r>
        <w:t xml:space="preserve"> </w:t>
      </w:r>
      <w:hyperlink w:anchor="ref-13">
        <w:r>
          <w:rPr>
            <w:rStyle w:val="Hyperlink"/>
          </w:rPr>
          <w:t xml:space="preserve">[13]</w:t>
        </w:r>
      </w:hyperlink>
      <w:r>
        <w:t xml:space="preserve">. Prototyping efforts for operational autonomy in traffic management generate the documentation that populates the corpus and signal the field building the systems whose governance is at stake</w:t>
      </w:r>
      <w:r>
        <w:t xml:space="preserve"> </w:t>
      </w:r>
      <w:hyperlink w:anchor="ref-16">
        <w:r>
          <w:rPr>
            <w:rStyle w:val="Hyperlink"/>
          </w:rPr>
          <w:t xml:space="preserve">[16]</w:t>
        </w:r>
      </w:hyperlink>
      <w:r>
        <w:t xml:space="preserve">.</w:t>
      </w:r>
    </w:p>
    <w:p>
      <w:pPr>
        <w:pStyle w:val="BodyText"/>
        <w:spacing w:line="480" w:lineRule="auto"/>
        <w:ind w:firstLine="720"/>
      </w:pPr>
      <w:r>
        <w:t xml:space="preserve">The present study borrows the spirit of this lineage and adapts it to metadata. Where discourse network analysis codes claims and systematic reviews code methods, this design codes retrieved sources by recency, citation attention, and venue family, and asks whether those coarse signals reveal structure in the topic. The coarseness is a deliberate trade. Metadata is cheaper to code deterministically and easier to audit than full content coding, which suits a design stage study whose first task is to prove the approach can run end to end on real records. The cost is sensitivity: coarse signals may miss structure that finer content coding would catch, a limit the later chapters name explicitly and hand to future work</w:t>
      </w:r>
      <w:r>
        <w:t xml:space="preserve"> </w:t>
      </w:r>
      <w:hyperlink w:anchor="ref-5">
        <w:r>
          <w:rPr>
            <w:rStyle w:val="Hyperlink"/>
          </w:rPr>
          <w:t xml:space="preserve">[5]</w:t>
        </w:r>
      </w:hyperlink>
      <w:r>
        <w:t xml:space="preserve"> </w:t>
      </w:r>
      <w:hyperlink w:anchor="ref-15">
        <w:r>
          <w:rPr>
            <w:rStyle w:val="Hyperlink"/>
          </w:rPr>
          <w:t xml:space="preserve">[15]</w:t>
        </w:r>
      </w:hyperlink>
      <w:r>
        <w:t xml:space="preserve">.</w:t>
      </w:r>
    </w:p>
    <w:bookmarkEnd w:id="78"/>
    <w:bookmarkStart w:id="79" w:name="X22a07a8beb92761ebb4aa3afcc171c6cb0619d4"/>
    <w:p>
      <w:pPr>
        <w:pStyle w:val="Heading2"/>
        <w:spacing w:line="480" w:lineRule="auto"/>
      </w:pPr>
      <w:r>
        <w:t xml:space="preserve">Positioning against the strongest adjacent claims</w:t>
      </w:r>
    </w:p>
    <w:p>
      <w:pPr>
        <w:pStyle w:val="FirstParagraph"/>
        <w:spacing w:line="480" w:lineRule="auto"/>
      </w:pPr>
      <w:r>
        <w:t xml:space="preserve">It is worth stating plainly how this dissertation relates to the strongest claims in the adjacent literature, so that its modest scope is not mistaken for a rebuttal of them. The trust and information sharing work argues that decentralized coordination is achievable and desirable in the space domain</w:t>
      </w:r>
      <w:r>
        <w:t xml:space="preserve"> </w:t>
      </w:r>
      <w:hyperlink w:anchor="ref-1">
        <w:r>
          <w:rPr>
            <w:rStyle w:val="Hyperlink"/>
          </w:rPr>
          <w:t xml:space="preserve">[1]</w:t>
        </w:r>
      </w:hyperlink>
      <w:r>
        <w:t xml:space="preserve"> </w:t>
      </w:r>
      <w:hyperlink w:anchor="ref-6">
        <w:r>
          <w:rPr>
            <w:rStyle w:val="Hyperlink"/>
          </w:rPr>
          <w:t xml:space="preserve">[6]</w:t>
        </w:r>
      </w:hyperlink>
      <w:r>
        <w:t xml:space="preserve">. This dissertation does not dispute that argument; it asks a prior and narrower question about whether the topic carrying that argument is yet structured in the record. The transition literature argues that governance is moving toward distributed models</w:t>
      </w:r>
      <w:r>
        <w:t xml:space="preserve"> </w:t>
      </w:r>
      <w:hyperlink w:anchor="ref-11">
        <w:r>
          <w:rPr>
            <w:rStyle w:val="Hyperlink"/>
          </w:rPr>
          <w:t xml:space="preserve">[11]</w:t>
        </w:r>
      </w:hyperlink>
      <w:r>
        <w:t xml:space="preserve">. This dissertation does not contest the direction of travel; it asks how far along the documentary evidence for one specific distributed model has come. The strategic frameworks extending traffic management toward cislunar and cismartian environments argue that the problem is real and growing</w:t>
      </w:r>
      <w:r>
        <w:t xml:space="preserve"> </w:t>
      </w:r>
      <w:hyperlink w:anchor="ref-9">
        <w:r>
          <w:rPr>
            <w:rStyle w:val="Hyperlink"/>
          </w:rPr>
          <w:t xml:space="preserve">[9]</w:t>
        </w:r>
      </w:hyperlink>
      <w:r>
        <w:t xml:space="preserve">. This dissertation agrees and adds only that the empirical claims within such frameworks deserve the same source traced testing it applies to its own.</w:t>
      </w:r>
    </w:p>
    <w:p>
      <w:pPr>
        <w:pStyle w:val="BodyText"/>
        <w:spacing w:line="480" w:lineRule="auto"/>
        <w:ind w:firstLine="720"/>
      </w:pPr>
      <w:r>
        <w:t xml:space="preserve">The relationship, in short, is complementary rather than adversarial. The adjacent literature makes substantive and normative claims that a corpus reading cannot settle. The corpus reading offers a discipline that those claims can adopt: state the empirical portion of the argument as a falsifiable test, run it on real records, and report what it returns. By occupying the seam between the engineering, governance, and record as data literatures rather than competing with any of them, the dissertation aims to strengthen the field’s collective epistemics rather than to win a particular argument</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15">
        <w:r>
          <w:rPr>
            <w:rStyle w:val="Hyperlink"/>
          </w:rPr>
          <w:t xml:space="preserve">[15]</w:t>
        </w:r>
      </w:hyperlink>
      <w:r>
        <w:t xml:space="preserve">.</w:t>
      </w:r>
    </w:p>
    <w:bookmarkEnd w:id="79"/>
    <w:bookmarkStart w:id="80" w:name="X7819e2648630e11378c9dec965b79e6153e1ce1"/>
    <w:p>
      <w:pPr>
        <w:pStyle w:val="Heading2"/>
        <w:spacing w:line="480" w:lineRule="auto"/>
      </w:pPr>
      <w:r>
        <w:t xml:space="preserve">The debris regime as a governed precedent</w:t>
      </w:r>
    </w:p>
    <w:p>
      <w:pPr>
        <w:pStyle w:val="FirstParagraph"/>
        <w:spacing w:line="480" w:lineRule="auto"/>
      </w:pPr>
      <w:r>
        <w:t xml:space="preserve">The space debris regime is worth treating at greater length, because it is the closest thing the field has to a fully governed commons problem and therefore the most instructive precedent for cislunar traffic management. Debris governance did not arrive all at once. It formed as the technical community documented the growth of the orbital population, as the discourse around it clustered into recognizable positions, and as measurement of the hazard became hard enough to dispute that institutions had to respond</w:t>
      </w:r>
      <w:r>
        <w:t xml:space="preserve"> </w:t>
      </w:r>
      <w:hyperlink w:anchor="ref-15">
        <w:r>
          <w:rPr>
            <w:rStyle w:val="Hyperlink"/>
          </w:rPr>
          <w:t xml:space="preserve">[15]</w:t>
        </w:r>
      </w:hyperlink>
      <w:r>
        <w:t xml:space="preserve">. Assessments of future near earth activity under ever increasing traffic show the pressure that pushed that regime forward, and reviews of collision avoidance methods show the technical apparatus maturing alongside the governance</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pattern is a governance idea consolidating in the literature before it consolidates in institutions.</w:t>
      </w:r>
    </w:p>
    <w:p>
      <w:pPr>
        <w:pStyle w:val="BodyText"/>
        <w:spacing w:line="480" w:lineRule="auto"/>
        <w:ind w:firstLine="720"/>
      </w:pPr>
      <w:r>
        <w:t xml:space="preserve">Cislunar traffic management is at an earlier point on that same path, which is exactly why measuring its documentary structure is worthwhile. If the debris regime is a case where the literature eventually showed strong structure as governance consolidated, then the question for cislunar is whether that structure has yet begun to form. The sustainability literature’s Montreal Protocol analogy makes the same point from the ozone case: governance became effective once the measurements were decisive, and the field is now being asked whether cislunar has reached its decisive measurement moment</w:t>
      </w:r>
      <w:r>
        <w:t xml:space="preserve"> </w:t>
      </w:r>
      <w:hyperlink w:anchor="ref-5">
        <w:r>
          <w:rPr>
            <w:rStyle w:val="Hyperlink"/>
          </w:rPr>
          <w:t xml:space="preserve">[5]</w:t>
        </w:r>
      </w:hyperlink>
      <w:r>
        <w:t xml:space="preserve">. The debris and ozone precedents together frame the present study’s question as a well posed one: not whether cislunar governance will consolidate, but whether the documentary signature of consolidation is yet visible.</w:t>
      </w:r>
    </w:p>
    <w:bookmarkEnd w:id="80"/>
    <w:bookmarkStart w:id="81" w:name="what-planetary-boundary-thinking-adds"/>
    <w:p>
      <w:pPr>
        <w:pStyle w:val="Heading2"/>
        <w:spacing w:line="480" w:lineRule="auto"/>
      </w:pPr>
      <w:r>
        <w:t xml:space="preserve">What planetary boundary thinking adds</w:t>
      </w:r>
    </w:p>
    <w:p>
      <w:pPr>
        <w:pStyle w:val="FirstParagraph"/>
        <w:spacing w:line="480" w:lineRule="auto"/>
      </w:pPr>
      <w:r>
        <w:t xml:space="preserve">A newer strand imports ecological limit thinking into space, integrating planetary boundaries into a framework for sustainable exploration across the Earth and outer space system</w:t>
      </w:r>
      <w:r>
        <w:t xml:space="preserve"> </w:t>
      </w:r>
      <w:hyperlink w:anchor="ref-12">
        <w:r>
          <w:rPr>
            <w:rStyle w:val="Hyperlink"/>
          </w:rPr>
          <w:t xml:space="preserve">[12]</w:t>
        </w:r>
      </w:hyperlink>
      <w:r>
        <w:t xml:space="preserve">. This work matters for the literature review in a specific way. It expands the conceptual vocabulary available for framing cislunar governance beyond traffic and debris toward a systems view in which the domain has carrying capacity and limits that governance must respect</w:t>
      </w:r>
      <w:r>
        <w:t xml:space="preserve"> </w:t>
      </w:r>
      <w:hyperlink w:anchor="ref-4">
        <w:r>
          <w:rPr>
            <w:rStyle w:val="Hyperlink"/>
          </w:rPr>
          <w:t xml:space="preserve">[4]</w:t>
        </w:r>
      </w:hyperlink>
      <w:r>
        <w:t xml:space="preserve">. A topic embedded in that richer conceptual frame might carry different documentary signatures than one framed narrowly as traffic deconfliction, and a corpus reading sensitive to topic vocabulary would in principle detect the difference.</w:t>
      </w:r>
    </w:p>
    <w:p>
      <w:pPr>
        <w:pStyle w:val="BodyText"/>
        <w:spacing w:line="480" w:lineRule="auto"/>
        <w:ind w:firstLine="720"/>
      </w:pPr>
      <w:r>
        <w:t xml:space="preserve">For the present design, planetary boundary thinking is context rather than a variable, because the metadata signals used here, recency, citation, and venue, do not directly code conceptual frame. Naming it in the review matters because it marks a direction a richer future design should reach, coding not just whether the topic appears but under which conceptual framing it appears</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The literature is beginning to offer the categories that deeper content coding would need, and acknowledging that keeps the modest metadata design of this dissertation honest about what a fuller successor could do.</w:t>
      </w:r>
    </w:p>
    <w:bookmarkEnd w:id="81"/>
    <w:bookmarkEnd w:id="82"/>
    <w:bookmarkStart w:id="94" w:name="theory-and-hypotheses"/>
    <w:p>
      <w:pPr>
        <w:pStyle w:val="Heading1"/>
        <w:spacing w:line="480" w:lineRule="auto"/>
      </w:pPr>
      <w:r>
        <w:t xml:space="preserve">Theory and Hypotheses</w:t>
      </w:r>
    </w:p>
    <w:p>
      <w:pPr>
        <w:pStyle w:val="FirstParagraph"/>
        <w:spacing w:line="480" w:lineRule="auto"/>
      </w:pPr>
      <w:r>
        <w:t xml:space="preserve">Theory here does modest work. Modest, but essential. It explains why a governance idea should leave observable traces in a documentary record, it specifies which traces to look for, and it states in advance what each possible pattern would mean. The aim is not a grand model of how space governance evolves. The aim is a mechanism precise enough to generate predictions that the data can confirm or refute. This chapter builds that mechanism from the polycentric premise, derives the observable signatures, and states the two hypotheses that structure the empirical work.</w:t>
      </w:r>
    </w:p>
    <w:bookmarkStart w:id="83" w:name="X1f93c4f4c0eb568cd8bd42409b65c97847841a8"/>
    <w:p>
      <w:pPr>
        <w:pStyle w:val="Heading2"/>
        <w:spacing w:line="480" w:lineRule="auto"/>
      </w:pPr>
      <w:r>
        <w:t xml:space="preserve">The mechanism: from distributed sensing to structured discourse</w:t>
      </w:r>
    </w:p>
    <w:p>
      <w:pPr>
        <w:pStyle w:val="FirstParagraph"/>
        <w:spacing w:line="480" w:lineRule="auto"/>
      </w:pPr>
      <w:r>
        <w:t xml:space="preserve">The premise is that cislunar space cannot be governed from a single center because it cannot be sensed from one. Physical facts about the domain, its multi body dynamics, its distributed orbit families, its conjunction risk surface that varies across the volume, mean that no single operator holds a complete picture</w:t>
      </w:r>
      <w:r>
        <w:t xml:space="preserve"> </w:t>
      </w:r>
      <w:hyperlink w:anchor="ref-2">
        <w:r>
          <w:rPr>
            <w:rStyle w:val="Hyperlink"/>
          </w:rPr>
          <w:t xml:space="preserve">[2]</w:t>
        </w:r>
      </w:hyperlink>
      <w:r>
        <w:t xml:space="preserve"> </w:t>
      </w:r>
      <w:hyperlink w:anchor="ref-8">
        <w:r>
          <w:rPr>
            <w:rStyle w:val="Hyperlink"/>
          </w:rPr>
          <w:t xml:space="preserve">[8]</w:t>
        </w:r>
      </w:hyperlink>
      <w:r>
        <w:t xml:space="preserve">. When sensing is distributed, so is the information that any governance arrangement must act on, and coordination has to run through the exchange of that information rather than through command from a central authority</w:t>
      </w:r>
      <w:r>
        <w:t xml:space="preserve"> </w:t>
      </w:r>
      <w:hyperlink w:anchor="ref-1">
        <w:r>
          <w:rPr>
            <w:rStyle w:val="Hyperlink"/>
          </w:rPr>
          <w:t xml:space="preserve">[1]</w:t>
        </w:r>
      </w:hyperlink>
      <w:r>
        <w:t xml:space="preserve"> </w:t>
      </w:r>
      <w:hyperlink w:anchor="ref-6">
        <w:r>
          <w:rPr>
            <w:rStyle w:val="Hyperlink"/>
          </w:rPr>
          <w:t xml:space="preserve">[6]</w:t>
        </w:r>
      </w:hyperlink>
      <w:r>
        <w:t xml:space="preserve">. This is the polycentric premise stated in operational terms.</w:t>
      </w:r>
    </w:p>
    <w:p>
      <w:pPr>
        <w:pStyle w:val="BodyText"/>
        <w:spacing w:line="480" w:lineRule="auto"/>
        <w:ind w:firstLine="720"/>
      </w:pPr>
      <w:r>
        <w:t xml:space="preserve">A governance idea that responds to this reality should propagate in a particular way. It begins in the technical community that first perceives the coordination problem, appears in engineering venues as architecture and sensing proposals, then migrates into policy and governance venues as the coordination question becomes explicit</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11">
        <w:r>
          <w:rPr>
            <w:rStyle w:val="Hyperlink"/>
          </w:rPr>
          <w:t xml:space="preserve">[11]</w:t>
        </w:r>
      </w:hyperlink>
      <w:r>
        <w:t xml:space="preserve">. Each stage of that migration deposits documents. The documents carry metadata: a year, a venue, a citation count, a set of topic terms. If the idea is genuinely rising, the deposit should not be random. It should show structure across time, across venues, or in the distribution of attention. If the idea is merely a rhetorical fashion with no accumulating substance, the deposit should look like noise.</w:t>
      </w:r>
    </w:p>
    <w:p>
      <w:pPr>
        <w:pStyle w:val="BodyText"/>
        <w:spacing w:line="480" w:lineRule="auto"/>
        <w:ind w:firstLine="720"/>
      </w:pPr>
      <w:r>
        <w:t xml:space="preserve">The mechanism, then, converts an abstract governance claim into a claim about corpus structure. A polycentric arrangement, if it is emerging, should be visible as a topic that is patterned in the retrieved record rather than scattered through it. This is the same logic that discourse network analysis applies to the debris regime, where the structure of who says what reveals the state of the governance conversation</w:t>
      </w:r>
      <w:r>
        <w:t xml:space="preserve"> </w:t>
      </w:r>
      <w:hyperlink w:anchor="ref-15">
        <w:r>
          <w:rPr>
            <w:rStyle w:val="Hyperlink"/>
          </w:rPr>
          <w:t xml:space="preserve">[15]</w:t>
        </w:r>
      </w:hyperlink>
      <w:r>
        <w:t xml:space="preserve">. Here the structure is coarser, recency and citation and venue rather than actor networks, but the wager is identical: a maturing governance idea leaves a non random footprint in text.</w:t>
      </w:r>
    </w:p>
    <w:bookmarkEnd w:id="83"/>
    <w:bookmarkStart w:id="84" w:name="observable-signatures"/>
    <w:p>
      <w:pPr>
        <w:pStyle w:val="Heading2"/>
        <w:spacing w:line="480" w:lineRule="auto"/>
      </w:pPr>
      <w:r>
        <w:t xml:space="preserve">Observable signatures</w:t>
      </w:r>
    </w:p>
    <w:p>
      <w:pPr>
        <w:pStyle w:val="FirstParagraph"/>
        <w:spacing w:line="480" w:lineRule="auto"/>
      </w:pPr>
      <w:r>
        <w:t xml:space="preserve">Three signatures follow from the mechanism, and each becomes a variable in the empirical work.</w:t>
      </w:r>
    </w:p>
    <w:p>
      <w:pPr>
        <w:pStyle w:val="BodyText"/>
        <w:spacing w:line="480" w:lineRule="auto"/>
        <w:ind w:firstLine="720"/>
      </w:pPr>
      <w:r>
        <w:t xml:space="preserve">The first is recency. An idea gaining institutional traction should appear more intensely in newer documents, because the coordination problem it responds to has itself intensified as cislunar traffic and lunar mission concepts have grown</w:t>
      </w:r>
      <w:r>
        <w:t xml:space="preserve"> </w:t>
      </w:r>
      <w:hyperlink w:anchor="ref-9">
        <w:r>
          <w:rPr>
            <w:rStyle w:val="Hyperlink"/>
          </w:rPr>
          <w:t xml:space="preserve">[9]</w:t>
        </w:r>
      </w:hyperlink>
      <w:r>
        <w:t xml:space="preserve"> </w:t>
      </w:r>
      <w:hyperlink w:anchor="ref-14">
        <w:r>
          <w:rPr>
            <w:rStyle w:val="Hyperlink"/>
          </w:rPr>
          <w:t xml:space="preserve">[14]</w:t>
        </w:r>
      </w:hyperlink>
      <w:r>
        <w:t xml:space="preserve">. A positive association between publication recency and topic signal intensity would be consistent with a rising idea. A flat or negative association would suggest the topic was as present in older records as in newer ones, which for a supposedly emerging concept is evidence against strong momentum.</w:t>
      </w:r>
    </w:p>
    <w:p>
      <w:pPr>
        <w:pStyle w:val="BodyText"/>
        <w:spacing w:line="480" w:lineRule="auto"/>
        <w:ind w:firstLine="720"/>
      </w:pPr>
      <w:r>
        <w:t xml:space="preserve">The second is citation attention. Ideas that are consequential attract citation, so heavily cited documents might be expected to carry stronger topic signal if attention and substance move together</w:t>
      </w:r>
      <w:r>
        <w:t xml:space="preserve"> </w:t>
      </w:r>
      <w:hyperlink w:anchor="ref-15">
        <w:r>
          <w:rPr>
            <w:rStyle w:val="Hyperlink"/>
          </w:rPr>
          <w:t xml:space="preserve">[15]</w:t>
        </w:r>
      </w:hyperlink>
      <w:r>
        <w:t xml:space="preserve">. The relationship is not guaranteed to be positive. Foundational engineering papers can accumulate citations for reasons unrelated to the governance framing, and a governance topic can be salient in recent, still lightly cited work. The theory therefore treats the sign of this association as genuinely uncertain, which is what makes it a real test rather than a foregone conclusion.</w:t>
      </w:r>
    </w:p>
    <w:p>
      <w:pPr>
        <w:pStyle w:val="BodyText"/>
        <w:spacing w:line="480" w:lineRule="auto"/>
        <w:ind w:firstLine="720"/>
      </w:pPr>
      <w:r>
        <w:t xml:space="preserve">The third is venue family. Where a topic concentrates says something about which community owns it. A topic confined to engineering conference venues sits at an earlier stage than one that has migrated into archival journals and policy oriented outlets</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ordinal venue coding used here, from conference proceedings through archival journal to policy and economics venue, lets the model detect whether topic signal rises or falls as the venue family shifts. A negative association would indicate the topic remains concentrated in the technical venues where it originated; a positive association would indicate migration toward governance oriented outlets.</w:t>
      </w:r>
    </w:p>
    <w:bookmarkEnd w:id="84"/>
    <w:bookmarkStart w:id="85" w:name="Xcd1fdcad435d31b5e1fd5ad4fe38adc46972061"/>
    <w:p>
      <w:pPr>
        <w:pStyle w:val="Heading2"/>
        <w:spacing w:line="480" w:lineRule="auto"/>
      </w:pPr>
      <w:r>
        <w:t xml:space="preserve">The temporal dimension: attention accumulation</w:t>
      </w:r>
    </w:p>
    <w:p>
      <w:pPr>
        <w:pStyle w:val="FirstParagraph"/>
        <w:spacing w:line="480" w:lineRule="auto"/>
      </w:pPr>
      <w:r>
        <w:t xml:space="preserve">A cross sectional reading of recency, citation, and venue captures the topic at a moment. It cannot distinguish a field whose visibility rests on a few influential documents from one whose evidence base is genuinely accumulating over time. That distinction matters for governance, because an idea supported by a broadening body of work is on firmer ground than one riding on a handful of papers</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The theory therefore adds a second, explicitly temporal claim.</w:t>
      </w:r>
    </w:p>
    <w:p>
      <w:pPr>
        <w:pStyle w:val="BodyText"/>
        <w:spacing w:line="480" w:lineRule="auto"/>
        <w:ind w:firstLine="720"/>
      </w:pPr>
      <w:r>
        <w:t xml:space="preserve">Citation dynamics have a characteristic shape. Older documents have had longer to accumulate citations, so in a healthy, accumulating field citation counts should rise with article age, at least up to the point where relevance begins to decay. Relating the log of citation count to the log of article age, a learning curve form, lets the model estimate the elasticity of attention with respect to age and summarize it as a progress ratio. A positive elasticity would indicate that older documents in the retrieved corpus have accumulated the attention one expects of a maturing field. A negative or near zero elasticity would indicate that age does not organize attention in this corpus, which for a design stage test is itself an informative, and reportable, result.</w:t>
      </w:r>
    </w:p>
    <w:bookmarkEnd w:id="85"/>
    <w:bookmarkStart w:id="86" w:name="the-hypotheses"/>
    <w:p>
      <w:pPr>
        <w:pStyle w:val="Heading2"/>
        <w:spacing w:line="480" w:lineRule="auto"/>
      </w:pPr>
      <w:r>
        <w:t xml:space="preserve">The hypotheses</w:t>
      </w:r>
    </w:p>
    <w:p>
      <w:pPr>
        <w:pStyle w:val="FirstParagraph"/>
        <w:spacing w:line="480" w:lineRule="auto"/>
      </w:pPr>
      <w:r>
        <w:t xml:space="preserve">The mechanism and its signatures yield two hypothesis pairs, one per estimator, each stated so that the null has a genuine chance to survive.</w:t>
      </w:r>
    </w:p>
    <w:p>
      <w:pPr>
        <w:pStyle w:val="BodyText"/>
        <w:spacing w:line="480" w:lineRule="auto"/>
        <w:ind w:firstLine="720"/>
      </w:pPr>
      <w:r>
        <w:t xml:space="preserve">For the cross sectional structure, the null holds that the composite topic signal score is unrelated to publication recency, citation attention, and venue family in the retrieved source corpus. The alternative holds that the topic signal is systematically related to at least one of those three, with the theory expecting recency to enter positively if the idea is rising, and treating the citation and venue signs as open questions to be settled by the data rather than assumed</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For the temporal structure, the null holds that citation accumulation is unrelated to article age in the retrieved topic literature. The alternative holds that citation accumulation follows a measurable age based curve, with a positive age elasticity indicating an accumulating evidence base. The theory does not insist the alternative must win. It insists only that the estimator be capable of distinguishing the two, and that whatever it returns be read as evidence about the corpus rather than as proof about the field at large</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86"/>
    <w:bookmarkStart w:id="87" w:name="Xcd39d7cdd629648935904b6139cedb21ae06c08"/>
    <w:p>
      <w:pPr>
        <w:pStyle w:val="Heading2"/>
        <w:spacing w:line="480" w:lineRule="auto"/>
      </w:pPr>
      <w:r>
        <w:t xml:space="preserve">Rival explanations and the evidence ladder</w:t>
      </w:r>
    </w:p>
    <w:p>
      <w:pPr>
        <w:pStyle w:val="FirstParagraph"/>
        <w:spacing w:line="480" w:lineRule="auto"/>
      </w:pPr>
      <w:r>
        <w:t xml:space="preserve">A responsible theory names the ways its predictions could be satisfied for the wrong reasons. A recency association could reflect nothing more than a general growth in cislunar publishing rather than the specific rise of the polycentric idea. A citation pattern could reflect the ordinary aging of documents rather than substantive attention to the topic. A venue association could reflect which outlets happen to index the retrieved sources rather than genuine migration of the idea across communities. Metadata availability, not underlying activity, could drive any of the three</w:t>
      </w:r>
      <w:r>
        <w:t xml:space="preserve"> </w:t>
      </w:r>
      <w:hyperlink w:anchor="ref-4">
        <w:r>
          <w:rPr>
            <w:rStyle w:val="Hyperlink"/>
          </w:rPr>
          <w:t xml:space="preserve">[4]</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These rivals are not obstacles to be waved away. They set the interpretive ceiling. The theory therefore commits to an evidence ladder read against the source trail. A precise, correctly signed coefficient supports an association claim inside the retained corpus and nothing broader. A stable model fit supports the use of the corpus as a measurement base. A weak or imprecise coefficient is not a failure; it is evidence that the available record cannot yet sustain the stronger claim, which is exactly the kind of finding a design stage study exists to produce. Each rung of that ladder is legitimate, provided the interpretation never climbs higher than the estimator output permits</w:t>
      </w:r>
      <w:r>
        <w:t xml:space="preserve"> </w:t>
      </w:r>
      <w:hyperlink w:anchor="ref-6">
        <w:r>
          <w:rPr>
            <w:rStyle w:val="Hyperlink"/>
          </w:rPr>
          <w:t xml:space="preserve">[6]</w:t>
        </w:r>
      </w:hyperlink>
      <w:r>
        <w:t xml:space="preserve"> </w:t>
      </w:r>
      <w:hyperlink w:anchor="ref-8">
        <w:r>
          <w:rPr>
            <w:rStyle w:val="Hyperlink"/>
          </w:rPr>
          <w:t xml:space="preserve">[8]</w:t>
        </w:r>
      </w:hyperlink>
      <w:r>
        <w:t xml:space="preserve"> </w:t>
      </w:r>
      <w:hyperlink w:anchor="ref-15">
        <w:r>
          <w:rPr>
            <w:rStyle w:val="Hyperlink"/>
          </w:rPr>
          <w:t xml:space="preserve">[15]</w:t>
        </w:r>
      </w:hyperlink>
      <w:r>
        <w:t xml:space="preserve">. The chapters that follow build the identification, the data, and the results that put this theory to the test.</w:t>
      </w:r>
    </w:p>
    <w:bookmarkEnd w:id="87"/>
    <w:bookmarkStart w:id="88" w:name="the-propagation-model-in-more-detail"/>
    <w:p>
      <w:pPr>
        <w:pStyle w:val="Heading2"/>
        <w:spacing w:line="480" w:lineRule="auto"/>
      </w:pPr>
      <w:r>
        <w:t xml:space="preserve">The propagation model in more detail</w:t>
      </w:r>
    </w:p>
    <w:p>
      <w:pPr>
        <w:pStyle w:val="FirstParagraph"/>
        <w:spacing w:line="480" w:lineRule="auto"/>
      </w:pPr>
      <w:r>
        <w:t xml:space="preserve">The mechanism deserves a fuller statement, because its plausibility is what makes the corpus signal meaningful rather than arbitrary. Consider how a governance idea enters a technical field. First, an operational problem becomes acute enough that engineers write about it; in the cislunar case this is the recognition that distributed sensing is unavoidable given the domain’s dynamics</w:t>
      </w:r>
      <w:r>
        <w:t xml:space="preserve"> </w:t>
      </w:r>
      <w:hyperlink w:anchor="ref-4">
        <w:r>
          <w:rPr>
            <w:rStyle w:val="Hyperlink"/>
          </w:rPr>
          <w:t xml:space="preserve">[4]</w:t>
        </w:r>
      </w:hyperlink>
      <w:r>
        <w:t xml:space="preserve"> </w:t>
      </w:r>
      <w:hyperlink w:anchor="ref-8">
        <w:r>
          <w:rPr>
            <w:rStyle w:val="Hyperlink"/>
          </w:rPr>
          <w:t xml:space="preserve">[8]</w:t>
        </w:r>
      </w:hyperlink>
      <w:r>
        <w:t xml:space="preserve">. Second, competing solutions appear, and with them the implicit governance questions embedded in each architecture, since every sensing design encodes an answer to who holds data and who acts on it</w:t>
      </w:r>
      <w:r>
        <w:t xml:space="preserve"> </w:t>
      </w:r>
      <w:hyperlink w:anchor="ref-3">
        <w:r>
          <w:rPr>
            <w:rStyle w:val="Hyperlink"/>
          </w:rPr>
          <w:t xml:space="preserve">[3]</w:t>
        </w:r>
      </w:hyperlink>
      <w:r>
        <w:t xml:space="preserve">. Third, as the solutions proliferate, the coordination problem becomes explicit, and authors begin to name it directly, drawing on the trust and information sharing vocabulary that the governance literature supplies</w:t>
      </w:r>
      <w:r>
        <w:t xml:space="preserve"> </w:t>
      </w:r>
      <w:hyperlink w:anchor="ref-1">
        <w:r>
          <w:rPr>
            <w:rStyle w:val="Hyperlink"/>
          </w:rPr>
          <w:t xml:space="preserve">[1]</w:t>
        </w:r>
      </w:hyperlink>
      <w:r>
        <w:t xml:space="preserve"> </w:t>
      </w:r>
      <w:hyperlink w:anchor="ref-6">
        <w:r>
          <w:rPr>
            <w:rStyle w:val="Hyperlink"/>
          </w:rPr>
          <w:t xml:space="preserve">[6]</w:t>
        </w:r>
      </w:hyperlink>
      <w:r>
        <w:t xml:space="preserve">. Fourth, the idea migrates from conference proceedings into archival journals and policy venues as the field’s understanding consolidates</w:t>
      </w:r>
      <w:r>
        <w:t xml:space="preserve"> </w:t>
      </w:r>
      <w:hyperlink w:anchor="ref-11">
        <w:r>
          <w:rPr>
            <w:rStyle w:val="Hyperlink"/>
          </w:rPr>
          <w:t xml:space="preserve">[11]</w:t>
        </w:r>
      </w:hyperlink>
      <w:r>
        <w:t xml:space="preserve">.</w:t>
      </w:r>
    </w:p>
    <w:p>
      <w:pPr>
        <w:pStyle w:val="BodyText"/>
        <w:spacing w:line="480" w:lineRule="auto"/>
        <w:ind w:firstLine="720"/>
      </w:pPr>
      <w:r>
        <w:t xml:space="preserve">Each of those four stages leaves a different metadata signature. The first and second stages concentrate the topic in engineering conference venues, in recent years, and in a growing but still lightly cited body of work. The third stage begins to lift citation attention as foundational framings accumulate references. The fourth stage shifts the venue distribution upward as the topic reaches journals and policy outlets. The value of measuring recency, citation, and venue jointly is that the three signals together locate the topic on this propagation path. A topic still in the first two stages should show high recency concentration, low and unstructured citation, and low venue coding, which is a specific and falsifiable prediction rather than a vague expectation</w:t>
      </w:r>
      <w:r>
        <w:t xml:space="preserve"> </w:t>
      </w:r>
      <w:hyperlink w:anchor="ref-9">
        <w:r>
          <w:rPr>
            <w:rStyle w:val="Hyperlink"/>
          </w:rPr>
          <w:t xml:space="preserve">[9]</w:t>
        </w:r>
      </w:hyperlink>
      <w:r>
        <w:t xml:space="preserve"> </w:t>
      </w:r>
      <w:hyperlink w:anchor="ref-15">
        <w:r>
          <w:rPr>
            <w:rStyle w:val="Hyperlink"/>
          </w:rPr>
          <w:t xml:space="preserve">[15]</w:t>
        </w:r>
      </w:hyperlink>
      <w:r>
        <w:t xml:space="preserve">.</w:t>
      </w:r>
    </w:p>
    <w:bookmarkEnd w:id="88"/>
    <w:bookmarkStart w:id="89" w:name="X1c7236bed4dc6df0004417bd34d54a8e249ec84"/>
    <w:p>
      <w:pPr>
        <w:pStyle w:val="Heading2"/>
        <w:spacing w:line="480" w:lineRule="auto"/>
      </w:pPr>
      <w:r>
        <w:t xml:space="preserve">Why the predictions are genuinely two sided</w:t>
      </w:r>
    </w:p>
    <w:p>
      <w:pPr>
        <w:pStyle w:val="FirstParagraph"/>
        <w:spacing w:line="480" w:lineRule="auto"/>
      </w:pPr>
      <w:r>
        <w:t xml:space="preserve">A test earns its credibility by being able to fail, and the predictions here are deliberately two sided rather than rigged toward confirmation. For recency, the theory expects a positive association if the idea is rising, but a flat or negative association is entirely possible and would carry meaning: it would indicate that the topic was as present in older records as in newer ones, which for a supposedly emerging concept is evidence against momentum. For citation, the theory declines to predict a sign at all, because foundational engineering papers accumulate citations for reasons unrelated to the governance framing, and a governance topic can be salient in recent, still uncited work</w:t>
      </w:r>
      <w:r>
        <w:t xml:space="preserve"> </w:t>
      </w:r>
      <w:hyperlink w:anchor="ref-15">
        <w:r>
          <w:rPr>
            <w:rStyle w:val="Hyperlink"/>
          </w:rPr>
          <w:t xml:space="preserve">[15]</w:t>
        </w:r>
      </w:hyperlink>
      <w:r>
        <w:t xml:space="preserve">. For venue, the theory expects a positive association if the idea has migrated toward governance oriented outlets, but a negative association would indicate a topic still confined to its technical origin, which is equally informative</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learning curve prediction is two sided in the same way. A positive age elasticity would indicate an accumulating evidence base, the ordinary signature of a maturing field. A negative or near zero elasticity would indicate that age does not organize attention in the corpus, which for a young, conference weighted literature is a plausible and reportable outcome rather than a modeling error</w:t>
      </w:r>
      <w:r>
        <w:t xml:space="preserve"> </w:t>
      </w:r>
      <w:hyperlink w:anchor="ref-13">
        <w:r>
          <w:rPr>
            <w:rStyle w:val="Hyperlink"/>
          </w:rPr>
          <w:t xml:space="preserve">[13]</w:t>
        </w:r>
      </w:hyperlink>
      <w:r>
        <w:t xml:space="preserve">. Building the predictions so that either outcome is interpretable is what separates a real test from an exercise in confirmation, and it is why the theory can accept a null result without embarrassment.</w:t>
      </w:r>
    </w:p>
    <w:bookmarkEnd w:id="89"/>
    <w:bookmarkStart w:id="90" w:name="from-mechanism-to-measurement"/>
    <w:p>
      <w:pPr>
        <w:pStyle w:val="Heading2"/>
        <w:spacing w:line="480" w:lineRule="auto"/>
      </w:pPr>
      <w:r>
        <w:t xml:space="preserve">From mechanism to measurement</w:t>
      </w:r>
    </w:p>
    <w:p>
      <w:pPr>
        <w:pStyle w:val="FirstParagraph"/>
        <w:spacing w:line="480" w:lineRule="auto"/>
      </w:pPr>
      <w:r>
        <w:t xml:space="preserve">The bridge from this mechanism to the estimators is short and worth making explicit. The propagation model says the topic should be structured across recency, citation, and venue if it is rising, and structured across age if its evidence base is accumulating. The cross sectional estimator operationalizes the first claim by regressing the composite topic signal on the three signals jointly, so that each partial association is estimated holding the others fixed</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learning curve estimator operationalizes the second claim by relating logged citation accumulation to logged age, yielding an elasticity that summarizes the temporal shape</w:t>
      </w:r>
      <w:r>
        <w:t xml:space="preserve"> </w:t>
      </w:r>
      <w:hyperlink w:anchor="ref-13">
        <w:r>
          <w:rPr>
            <w:rStyle w:val="Hyperlink"/>
          </w:rPr>
          <w:t xml:space="preserve">[13]</w:t>
        </w:r>
      </w:hyperlink>
      <w:r>
        <w:t xml:space="preserve">. The theory thus does not float free of the data; it dictates the exact specifications the methodology chapter builds, and it fixes in advance what each coefficient will mean.</w:t>
      </w:r>
    </w:p>
    <w:p>
      <w:pPr>
        <w:pStyle w:val="BodyText"/>
        <w:spacing w:line="480" w:lineRule="auto"/>
        <w:ind w:firstLine="720"/>
      </w:pPr>
      <w:r>
        <w:t xml:space="preserve">This tight coupling between mechanism and measurement is the theoretical contribution of the chapter. Many governance arguments assert that an idea is emerging without specifying what emergence would look like in observable terms. By committing to a propagation model that generates specific, signed, falsifiable predictions about corpus structure, and by tying those predictions to transparent estimators, the theory makes the polycentric claim testable rather than merely assertable. Whether the test confirms or refutes the claim is a matter for the results chapter; that the claim has been made testable at all is the work this chapter does</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15">
        <w:r>
          <w:rPr>
            <w:rStyle w:val="Hyperlink"/>
          </w:rPr>
          <w:t xml:space="preserve">[15]</w:t>
        </w:r>
      </w:hyperlink>
      <w:r>
        <w:t xml:space="preserve">.</w:t>
      </w:r>
    </w:p>
    <w:bookmarkEnd w:id="90"/>
    <w:bookmarkStart w:id="91" w:name="scope-conditions-of-the-mechanism"/>
    <w:p>
      <w:pPr>
        <w:pStyle w:val="Heading2"/>
        <w:spacing w:line="480" w:lineRule="auto"/>
      </w:pPr>
      <w:r>
        <w:t xml:space="preserve">Scope conditions of the mechanism</w:t>
      </w:r>
    </w:p>
    <w:p>
      <w:pPr>
        <w:pStyle w:val="FirstParagraph"/>
        <w:spacing w:line="480" w:lineRule="auto"/>
      </w:pPr>
      <w:r>
        <w:t xml:space="preserve">A mechanism is only as good as the conditions under which it is claimed to hold. Honesty requires stating them. The propagation model assumes that a governance idea, if it is genuinely rising, deposits documents at a rate and in venues that track its rise. That assumption holds best when the field publishes actively, when the topic has a stable enough vocabulary to be counted, and when the venues span the range from technical conference to policy outlet</w:t>
      </w:r>
      <w:r>
        <w:t xml:space="preserve"> </w:t>
      </w:r>
      <w:hyperlink w:anchor="ref-3">
        <w:r>
          <w:rPr>
            <w:rStyle w:val="Hyperlink"/>
          </w:rPr>
          <w:t xml:space="preserve">[3]</w:t>
        </w:r>
      </w:hyperlink>
      <w:r>
        <w:t xml:space="preserve"> </w:t>
      </w:r>
      <w:hyperlink w:anchor="ref-11">
        <w:r>
          <w:rPr>
            <w:rStyle w:val="Hyperlink"/>
          </w:rPr>
          <w:t xml:space="preserve">[11]</w:t>
        </w:r>
      </w:hyperlink>
      <w:r>
        <w:t xml:space="preserve">. Cislunar traffic management satisfies these conditions reasonably well: it is an active publishing area, its core terms are recognizable, and its venues do span the range, if unevenly</w:t>
      </w:r>
      <w:r>
        <w:t xml:space="preserve"> </w:t>
      </w:r>
      <w:hyperlink w:anchor="ref-9">
        <w:r>
          <w:rPr>
            <w:rStyle w:val="Hyperlink"/>
          </w:rPr>
          <w:t xml:space="preserve">[9]</w:t>
        </w:r>
      </w:hyperlink>
      <w:r>
        <w:t xml:space="preserve">. Where the conditions weaken, so does the mechanism’s predictive power, and the results must be read against that caveat.</w:t>
      </w:r>
    </w:p>
    <w:p>
      <w:pPr>
        <w:pStyle w:val="BodyText"/>
        <w:spacing w:line="480" w:lineRule="auto"/>
        <w:ind w:firstLine="720"/>
      </w:pPr>
      <w:r>
        <w:t xml:space="preserve">The mechanism also assumes that metadata signals are informative proxies for the underlying propagation, which is a strong assumption the design accepts openly. Recency proxies for the stage of the idea, citation proxies for accumulated attention, and venue proxies for community migration</w:t>
      </w:r>
      <w:r>
        <w:t xml:space="preserve"> </w:t>
      </w:r>
      <w:hyperlink w:anchor="ref-15">
        <w:r>
          <w:rPr>
            <w:rStyle w:val="Hyperlink"/>
          </w:rPr>
          <w:t xml:space="preserve">[15]</w:t>
        </w:r>
      </w:hyperlink>
      <w:r>
        <w:t xml:space="preserve">. Each proxy is imperfect, and the theory does not pretend otherwise. What it claims is only that the three proxies together, if the idea is strongly rising, should show joint structure, and that the absence of such structure is evidence, though not proof, that the idea has not yet reached the stage the proxies would detect</w:t>
      </w:r>
      <w:r>
        <w:t xml:space="preserve"> </w:t>
      </w:r>
      <w:hyperlink w:anchor="ref-4">
        <w:r>
          <w:rPr>
            <w:rStyle w:val="Hyperlink"/>
          </w:rPr>
          <w:t xml:space="preserve">[4]</w:t>
        </w:r>
      </w:hyperlink>
      <w:r>
        <w:t xml:space="preserve"> </w:t>
      </w:r>
      <w:hyperlink w:anchor="ref-13">
        <w:r>
          <w:rPr>
            <w:rStyle w:val="Hyperlink"/>
          </w:rPr>
          <w:t xml:space="preserve">[13]</w:t>
        </w:r>
      </w:hyperlink>
      <w:r>
        <w:t xml:space="preserve">. Stating the scope conditions this plainly is what keeps the mechanism a scientific claim rather than an untestable intuition.</w:t>
      </w:r>
    </w:p>
    <w:bookmarkEnd w:id="91"/>
    <w:bookmarkStart w:id="92" w:name="the-theorys-stance-toward-null-results"/>
    <w:p>
      <w:pPr>
        <w:pStyle w:val="Heading2"/>
        <w:spacing w:line="480" w:lineRule="auto"/>
      </w:pPr>
      <w:r>
        <w:t xml:space="preserve">The theory’s stance toward null results</w:t>
      </w:r>
    </w:p>
    <w:p>
      <w:pPr>
        <w:pStyle w:val="FirstParagraph"/>
        <w:spacing w:line="480" w:lineRule="auto"/>
      </w:pPr>
      <w:r>
        <w:t xml:space="preserve">Most theoretical frameworks are built to be confirmed, and quietly treat disconfirmation as failure. This framework is built to make disconfirmation meaningful. Because each prediction is two sided and each is tied to a specific estimator output, a null result, weak or imprecise coefficients across the board, is not a breakdown of the theory but a specific finding the theory anticipates and interprets: the idea has not yet reached the stage where its documentary signature is strong, or the corpus is too small to detect it</w:t>
      </w:r>
      <w:r>
        <w:t xml:space="preserve"> </w:t>
      </w:r>
      <w:hyperlink w:anchor="ref-5">
        <w:r>
          <w:rPr>
            <w:rStyle w:val="Hyperlink"/>
          </w:rPr>
          <w:t xml:space="preserve">[5]</w:t>
        </w:r>
      </w:hyperlink>
      <w:r>
        <w:t xml:space="preserve"> </w:t>
      </w:r>
      <w:hyperlink w:anchor="ref-15">
        <w:r>
          <w:rPr>
            <w:rStyle w:val="Hyperlink"/>
          </w:rPr>
          <w:t xml:space="preserve">[15]</w:t>
        </w:r>
      </w:hyperlink>
      <w:r>
        <w:t xml:space="preserve">. The evidence ladder makes this explicit, assigning meaning to precise coefficients, to stable fits, and to imprecise coefficients alike.</w:t>
      </w:r>
    </w:p>
    <w:p>
      <w:pPr>
        <w:pStyle w:val="BodyText"/>
        <w:spacing w:line="480" w:lineRule="auto"/>
        <w:ind w:firstLine="720"/>
      </w:pPr>
      <w:r>
        <w:t xml:space="preserve">This stance toward null results is itself a theoretical commitment worth naming. A framework that could only ever be confirmed would tell a decision maker nothing they did not already believe, because it would return a positive regardless of the state of the world. A framework that assigns clear meaning to a null is more useful precisely because its verdict depends on the evidence rather than on the framing</w:t>
      </w:r>
      <w:r>
        <w:t xml:space="preserve"> </w:t>
      </w:r>
      <w:hyperlink w:anchor="ref-6">
        <w:r>
          <w:rPr>
            <w:rStyle w:val="Hyperlink"/>
          </w:rPr>
          <w:t xml:space="preserve">[6]</w:t>
        </w:r>
      </w:hyperlink>
      <w:r>
        <w:t xml:space="preserve">. The theory developed in this chapter is of the second kind, and that property, as much as any particular prediction, is what it contributes to the study. The methodology, data, and results chapters now carry these predictions and this stance into contact with the actual record</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bookmarkEnd w:id="92"/>
    <w:bookmarkStart w:id="93" w:name="Xd107cc2922b48955442469b8d623a256fe37361"/>
    <w:p>
      <w:pPr>
        <w:pStyle w:val="Heading2"/>
        <w:spacing w:line="480" w:lineRule="auto"/>
      </w:pPr>
      <w:r>
        <w:t xml:space="preserve">Why cross section and accumulation are both required</w:t>
      </w:r>
    </w:p>
    <w:p>
      <w:pPr>
        <w:pStyle w:val="FirstParagraph"/>
        <w:spacing w:line="480" w:lineRule="auto"/>
      </w:pPr>
      <w:r>
        <w:t xml:space="preserve">A reasonable objection is that one estimator should suffice, and answering it clarifies the theory. The two predictions are logically independent, which is why both are needed. A topic could show strong cross sectional structure, concentrated in recent, high venue records, while showing no age based accumulation, if it burst onto the scene recently without a deep back catalog</w:t>
      </w:r>
      <w:r>
        <w:t xml:space="preserve"> </w:t>
      </w:r>
      <w:hyperlink w:anchor="ref-9">
        <w:r>
          <w:rPr>
            <w:rStyle w:val="Hyperlink"/>
          </w:rPr>
          <w:t xml:space="preserve">[9]</w:t>
        </w:r>
      </w:hyperlink>
      <w:r>
        <w:t xml:space="preserve">. Conversely, a topic could show age based accumulation, older records carrying more citations, while showing no cross sectional structure in the current metadata, if its growth was steady but diffuse across venues</w:t>
      </w:r>
      <w:r>
        <w:t xml:space="preserve"> </w:t>
      </w:r>
      <w:hyperlink w:anchor="ref-13">
        <w:r>
          <w:rPr>
            <w:rStyle w:val="Hyperlink"/>
          </w:rPr>
          <w:t xml:space="preserve">[13]</w:t>
        </w:r>
      </w:hyperlink>
      <w:r>
        <w:t xml:space="preserve">. Only by testing both can the theory distinguish these states, and only by distinguishing them can it locate the topic precisely on the propagation path. The two estimator design is therefore not redundancy; it is the minimal apparatus the propagation model requires to yield a specific reading of where the idea stands</w:t>
      </w:r>
      <w:r>
        <w:t xml:space="preserve"> </w:t>
      </w:r>
      <w:hyperlink w:anchor="ref-15">
        <w:r>
          <w:rPr>
            <w:rStyle w:val="Hyperlink"/>
          </w:rPr>
          <w:t xml:space="preserve">[15]</w:t>
        </w:r>
      </w:hyperlink>
      <w:r>
        <w:t xml:space="preserve">.</w:t>
      </w:r>
    </w:p>
    <w:bookmarkEnd w:id="93"/>
    <w:bookmarkEnd w:id="94"/>
    <w:bookmarkStart w:id="106" w:name="methodology-and-identification"/>
    <w:p>
      <w:pPr>
        <w:pStyle w:val="Heading1"/>
        <w:spacing w:line="480" w:lineRule="auto"/>
      </w:pPr>
      <w:r>
        <w:t xml:space="preserve">Methodology and Identification</w:t>
      </w:r>
    </w:p>
    <w:p>
      <w:pPr>
        <w:pStyle w:val="FirstParagraph"/>
        <w:spacing w:line="480" w:lineRule="auto"/>
      </w:pPr>
      <w:r>
        <w:t xml:space="preserve">This chapter sets out the two estimators that carry the empirical weight of the dissertation and explains what each is entitled to claim. One principle governs everything here. These are corpus screens, not causal machines. They identify structure in a retrieved documentary record. They do not identify the effect of a governance arrangement on a policy outcome, and the chapter is explicit about where identification stops.</w:t>
      </w:r>
    </w:p>
    <w:bookmarkStart w:id="95" w:name="two-estimators-two-questions"/>
    <w:p>
      <w:pPr>
        <w:pStyle w:val="Heading2"/>
        <w:spacing w:line="480" w:lineRule="auto"/>
      </w:pPr>
      <w:r>
        <w:t xml:space="preserve">Two estimators, two questions</w:t>
      </w:r>
    </w:p>
    <w:p>
      <w:pPr>
        <w:pStyle w:val="FirstParagraph"/>
        <w:spacing w:line="480" w:lineRule="auto"/>
      </w:pPr>
      <w:r>
        <w:t xml:space="preserve">The design uses two models because the theory poses two distinct questions. One question is cross sectional: at a given moment, is the topic signal in the corpus patterned by recency, citation attention, and venue family? The other is temporal: does attention accumulate with document age in a measurable way? A single specification cannot answer both, because the first treats each document as an independent observation of contemporaneous structure while the second treats age as the organizing axis of a dynamic process</w:t>
      </w:r>
      <w:r>
        <w:t xml:space="preserve"> </w:t>
      </w:r>
      <w:hyperlink w:anchor="ref-3">
        <w:r>
          <w:rPr>
            <w:rStyle w:val="Hyperlink"/>
          </w:rPr>
          <w:t xml:space="preserve">[3]</w:t>
        </w:r>
      </w:hyperlink>
      <w:r>
        <w:t xml:space="preserve"> </w:t>
      </w:r>
      <w:hyperlink w:anchor="ref-13">
        <w:r>
          <w:rPr>
            <w:rStyle w:val="Hyperlink"/>
          </w:rPr>
          <w:t xml:space="preserve">[13]</w:t>
        </w:r>
      </w:hyperlink>
      <w:r>
        <w:t xml:space="preserve">. Running them separately keeps each claim clean and lets a reader see exactly which pattern each estimator is testing.</w:t>
      </w:r>
    </w:p>
    <w:p>
      <w:pPr>
        <w:pStyle w:val="BodyText"/>
        <w:spacing w:line="480" w:lineRule="auto"/>
        <w:ind w:firstLine="720"/>
      </w:pPr>
      <w:r>
        <w:t xml:space="preserve">Paper 1 is an ordinary least squares regression. Paper 2 is a log log learning curve, itself an ordinary least squares fit on transformed variables. Both are deliberately simple. Simplicity is a virtue here for two reasons. It keeps the estimators fully auditable, so that anyone with the data and the configuration files can reproduce the numbers exactly. And it matches the estimators to the scale of the evidence: with thirty observations, an elaborate specification would invite overfitting and manufacture precision the data cannot support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95"/>
    <w:bookmarkStart w:id="96" w:name="the-cross-sectional-model"/>
    <w:p>
      <w:pPr>
        <w:pStyle w:val="Heading2"/>
        <w:spacing w:line="480" w:lineRule="auto"/>
      </w:pPr>
      <w:r>
        <w:t xml:space="preserve">The cross sectional model</w:t>
      </w:r>
    </w:p>
    <w:p>
      <w:pPr>
        <w:pStyle w:val="FirstParagraph"/>
        <w:spacing w:line="480" w:lineRule="auto"/>
      </w:pPr>
      <w:r>
        <w:t xml:space="preserve">The first estimator regresses a composite topic signal score on three predictors: a publication recency index, a reported citation count, and an ordinal venue score. In the notation of the paper, the signal score for source i is modeled as a constant plus a recency term, a citation term, and a venue term, plus an error. Each coefficient measures the partial association between one predictor and the topic signal, holding the other two fixed. That partialling is what lets the model separate, for example, a recency effect from a venue effect when newer documents also tend to appear in different venues.</w:t>
      </w:r>
    </w:p>
    <w:p>
      <w:pPr>
        <w:pStyle w:val="BodyText"/>
        <w:spacing w:line="480" w:lineRule="auto"/>
        <w:ind w:firstLine="720"/>
      </w:pPr>
      <w:r>
        <w:t xml:space="preserve">Estimation uses ordinary least squares with heteroskedasticity robust HC1 standard errors. The robust standard error choice matters because there is no reason to assume the error variance is constant across a corpus that mixes heavily cited foundational papers with lightly cited recent ones. HC1 corrects the inference for that heteroskedasticity without altering the coefficient estimates themselves, which keeps the point estimates interpretable while making the significance tests honest</w:t>
      </w:r>
      <w:r>
        <w:t xml:space="preserve"> </w:t>
      </w:r>
      <w:hyperlink w:anchor="ref-3">
        <w:r>
          <w:rPr>
            <w:rStyle w:val="Hyperlink"/>
          </w:rPr>
          <w:t xml:space="preserve">[3]</w:t>
        </w:r>
      </w:hyperlink>
      <w:r>
        <w:t xml:space="preserve"> </w:t>
      </w:r>
      <w:hyperlink w:anchor="ref-15">
        <w:r>
          <w:rPr>
            <w:rStyle w:val="Hyperlink"/>
          </w:rPr>
          <w:t xml:space="preserve">[15]</w:t>
        </w:r>
      </w:hyperlink>
      <w:r>
        <w:t xml:space="preserve">. The model reports a coefficient, a robust standard error, and a p value for each term, along with an overall R squared, an adjusted R squared, and an F test of joint significance.</w:t>
      </w:r>
    </w:p>
    <w:p>
      <w:pPr>
        <w:pStyle w:val="BodyText"/>
        <w:spacing w:line="480" w:lineRule="auto"/>
        <w:ind w:firstLine="720"/>
      </w:pPr>
      <w:r>
        <w:t xml:space="preserve">What does this specification identify? Within the retrieved corpus, it identifies the linear partial associations between the three metadata signals and the topic score. That is a real and reproducible quantity. It is not the causal effect of recency, citation, or venue on anything, because the sources were not assigned their years, citations, or venues by any experiment, and unobserved factors, such as the topical fashion of a given conference cycle, could drive both a predictor and the signal. The model is a screen for structure, and the identification claim is scoped to exactly that</w:t>
      </w:r>
      <w:r>
        <w:t xml:space="preserve"> </w:t>
      </w:r>
      <w:hyperlink w:anchor="ref-4">
        <w:r>
          <w:rPr>
            <w:rStyle w:val="Hyperlink"/>
          </w:rPr>
          <w:t xml:space="preserve">[4]</w:t>
        </w:r>
      </w:hyperlink>
      <w:r>
        <w:t xml:space="preserve"> </w:t>
      </w:r>
      <w:hyperlink w:anchor="ref-11">
        <w:r>
          <w:rPr>
            <w:rStyle w:val="Hyperlink"/>
          </w:rPr>
          <w:t xml:space="preserve">[11]</w:t>
        </w:r>
      </w:hyperlink>
      <w:r>
        <w:t xml:space="preserve">.</w:t>
      </w:r>
    </w:p>
    <w:bookmarkEnd w:id="96"/>
    <w:bookmarkStart w:id="97" w:name="the-learning-curve-model"/>
    <w:p>
      <w:pPr>
        <w:pStyle w:val="Heading2"/>
        <w:spacing w:line="480" w:lineRule="auto"/>
      </w:pPr>
      <w:r>
        <w:t xml:space="preserve">The learning curve model</w:t>
      </w:r>
    </w:p>
    <w:p>
      <w:pPr>
        <w:pStyle w:val="FirstParagraph"/>
        <w:spacing w:line="480" w:lineRule="auto"/>
      </w:pPr>
      <w:r>
        <w:t xml:space="preserve">The second estimator relates citation accumulation to article age in a log log form. Both the outcome, citation count plus one, and the regressor, an age index, are logged before fitting. The log transformation on the outcome is why the count has one added first: a document with zero reported citations must still have a defined log, and adding one before logging is the standard fix that keeps uncited records in the sample rather than dropping them and biasing the fit toward well cited work</w:t>
      </w:r>
      <w:r>
        <w:t xml:space="preserve"> </w:t>
      </w:r>
      <w:hyperlink w:anchor="ref-13">
        <w:r>
          <w:rPr>
            <w:rStyle w:val="Hyperlink"/>
          </w:rPr>
          <w:t xml:space="preserve">[13]</w:t>
        </w:r>
      </w:hyperlink>
      <w:r>
        <w:t xml:space="preserve">.</w:t>
      </w:r>
    </w:p>
    <w:p>
      <w:pPr>
        <w:pStyle w:val="BodyText"/>
        <w:spacing w:line="480" w:lineRule="auto"/>
        <w:ind w:firstLine="720"/>
      </w:pPr>
      <w:r>
        <w:t xml:space="preserve">The log log form is not cosmetic. In a log log regression the slope coefficient is an elasticity: it reports the percentage change in citations associated with a one percent change in age. That single number summarizes the shape of the age attention relationship, a summary a level on level regression could not deliver, and it maps directly onto the learning curve tradition, where the slope converts into a progress ratio that expresses how the quantity changes as age doubles. Reporting the elasticity and the implied progress ratio together lets a reader judge both the direction and the strength of any age based accumulation</w:t>
      </w:r>
      <w:r>
        <w:t xml:space="preserve"> </w:t>
      </w:r>
      <w:hyperlink w:anchor="ref-5">
        <w:r>
          <w:rPr>
            <w:rStyle w:val="Hyperlink"/>
          </w:rPr>
          <w:t xml:space="preserve">[5]</w:t>
        </w:r>
      </w:hyperlink>
      <w:r>
        <w:t xml:space="preserve"> </w:t>
      </w:r>
      <w:hyperlink w:anchor="ref-13">
        <w:r>
          <w:rPr>
            <w:rStyle w:val="Hyperlink"/>
          </w:rPr>
          <w:t xml:space="preserve">[13]</w:t>
        </w:r>
      </w:hyperlink>
      <w:r>
        <w:t xml:space="preserve">. Estimation again uses HC1 robust standard errors, for the same reason as in the cross sectional model.</w:t>
      </w:r>
    </w:p>
    <w:p>
      <w:pPr>
        <w:pStyle w:val="BodyText"/>
        <w:spacing w:line="480" w:lineRule="auto"/>
        <w:ind w:firstLine="720"/>
      </w:pPr>
      <w:r>
        <w:t xml:space="preserve">Identification here is likewise bounded. Within the corpus, the elasticity identifies how citation count co varies with document age. It does not identify the causal effect of aging on citation, because age is entangled with vintage: older documents come from earlier phases of the field, when both the topic and the citing population were different. A positive elasticity is consistent with an accumulating evidence base, but it is also consistent with a mechanical citation aging effect, and the discussion chapter keeps those readings separate rather than collapsing them</w:t>
      </w:r>
      <w:r>
        <w:t xml:space="preserve"> </w:t>
      </w:r>
      <w:hyperlink w:anchor="ref-14">
        <w:r>
          <w:rPr>
            <w:rStyle w:val="Hyperlink"/>
          </w:rPr>
          <w:t xml:space="preserve">[14]</w:t>
        </w:r>
      </w:hyperlink>
      <w:r>
        <w:t xml:space="preserve">.</w:t>
      </w:r>
    </w:p>
    <w:bookmarkEnd w:id="97"/>
    <w:bookmarkStart w:id="98" w:name="why-these-estimators-fit-the-evidence"/>
    <w:p>
      <w:pPr>
        <w:pStyle w:val="Heading2"/>
        <w:spacing w:line="480" w:lineRule="auto"/>
      </w:pPr>
      <w:r>
        <w:t xml:space="preserve">Why these estimators fit the evidence</w:t>
      </w:r>
    </w:p>
    <w:p>
      <w:pPr>
        <w:pStyle w:val="FirstParagraph"/>
        <w:spacing w:line="480" w:lineRule="auto"/>
      </w:pPr>
      <w:r>
        <w:t xml:space="preserve">A reader might ask why a document level design uses regression at all, rather than a purely descriptive tabulation. The answer is that the hypotheses are about partial associations and elasticities, quantities that only a model can isolate. A raw cross tabulation of signal by venue would confound venue with recency, since venues differ in their typical publication vintage. A raw plot of citations against age would not yield an elasticity or a progress ratio. The estimators exist to produce the specific, falsifiable quantities the theory named, and no more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choice also reflects the standard set by adjacent work. Discourse and regime studies in the space sustainability literature have shown that structured, reproducible coding of a documentary record yields defensible claims about the state of a governance conversation</w:t>
      </w:r>
      <w:r>
        <w:t xml:space="preserve"> </w:t>
      </w:r>
      <w:hyperlink w:anchor="ref-15">
        <w:r>
          <w:rPr>
            <w:rStyle w:val="Hyperlink"/>
          </w:rPr>
          <w:t xml:space="preserve">[15]</w:t>
        </w:r>
      </w:hyperlink>
      <w:r>
        <w:t xml:space="preserve">. Prototyping and review efforts in traffic management have demonstrated the value of aggregating a technical literature into structured, analyzable form</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The present design applies that spirit at the metadata level: convert the retrieved record into rows, define variables from observable fields, and let transparent estimators do the inference.</w:t>
      </w:r>
    </w:p>
    <w:bookmarkEnd w:id="98"/>
    <w:bookmarkStart w:id="99" w:name="Xe4513a04ad16e1805229401482ca00e4116d4a6"/>
    <w:p>
      <w:pPr>
        <w:pStyle w:val="Heading2"/>
        <w:spacing w:line="480" w:lineRule="auto"/>
      </w:pPr>
      <w:r>
        <w:t xml:space="preserve">The limits of identification at this scale</w:t>
      </w:r>
    </w:p>
    <w:p>
      <w:pPr>
        <w:pStyle w:val="FirstParagraph"/>
        <w:spacing w:line="480" w:lineRule="auto"/>
      </w:pPr>
      <w:r>
        <w:t xml:space="preserve">Honesty about scale is part of the method, not an afterthought. Thirty observations is a small sample, and small samples have two consequences the design accepts openly. First, statistical power is limited, so a true association of modest size may fail to reach conventional significance, and an imprecise coefficient must not be read as a demonstrated null. Second, the influence of individual observations is larger, so a handful of unusual records can move a coefficient more than they would in a large sample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design manages these limits rather than hiding them. Robust standard errors guard against the most obvious inferential distortion. The full model fit statistics, including the adjusted R squared and the joint F test, are reported so that a reader can see how much of the variation the model actually explains and whether the predictors are jointly informative. Every observation preserves a source field, so any influential record can be traced back to its origin. And the interpretation, developed in the results and discussion chapters, is disciplined to the corpus: the estimators speak about the structure of the retrieved record, and the leap to claims about the space sector as a whole is one the identification does not license and the dissertation does not make</w:t>
      </w:r>
      <w:r>
        <w:t xml:space="preserve"> </w:t>
      </w:r>
      <w:hyperlink w:anchor="ref-6">
        <w:r>
          <w:rPr>
            <w:rStyle w:val="Hyperlink"/>
          </w:rPr>
          <w:t xml:space="preserve">[6]</w:t>
        </w:r>
      </w:hyperlink>
      <w:r>
        <w:t xml:space="preserve"> </w:t>
      </w:r>
      <w:hyperlink w:anchor="ref-9">
        <w:r>
          <w:rPr>
            <w:rStyle w:val="Hyperlink"/>
          </w:rPr>
          <w:t xml:space="preserve">[9]</w:t>
        </w:r>
      </w:hyperlink>
      <w:r>
        <w:t xml:space="preserve"> </w:t>
      </w:r>
      <w:hyperlink w:anchor="ref-15">
        <w:r>
          <w:rPr>
            <w:rStyle w:val="Hyperlink"/>
          </w:rPr>
          <w:t xml:space="preserve">[15]</w:t>
        </w:r>
      </w:hyperlink>
      <w:r>
        <w:t xml:space="preserve">. With the estimators and their limits established, the next chapter documents the data they are applied to.</w:t>
      </w:r>
    </w:p>
    <w:bookmarkEnd w:id="99"/>
    <w:bookmarkStart w:id="100" w:name="Xfd3d52b26b7b3457b148f330840a50de8ab9c62"/>
    <w:p>
      <w:pPr>
        <w:pStyle w:val="Heading2"/>
        <w:spacing w:line="480" w:lineRule="auto"/>
      </w:pPr>
      <w:r>
        <w:t xml:space="preserve">The meaning of the robust standard error choice</w:t>
      </w:r>
    </w:p>
    <w:p>
      <w:pPr>
        <w:pStyle w:val="FirstParagraph"/>
        <w:spacing w:line="480" w:lineRule="auto"/>
      </w:pPr>
      <w:r>
        <w:t xml:space="preserve">The decision to use HC1 robust standard errors rather than the classical ordinary least squares errors deserves a fuller defense, because it shapes every significance claim in the results. Classical standard errors assume that the error variance is constant across observations, an assumption called homoskedasticity. That assumption is implausible for this corpus. The records mix foundational conference papers that have been available for years with recent work that has barely entered the citation stream, and there is no reason to expect the unexplained variation in topic signal to be equal across such heterogeneous documents</w:t>
      </w:r>
      <w:r>
        <w:t xml:space="preserve"> </w:t>
      </w:r>
      <w:hyperlink w:anchor="ref-3">
        <w:r>
          <w:rPr>
            <w:rStyle w:val="Hyperlink"/>
          </w:rPr>
          <w:t xml:space="preserve">[3]</w:t>
        </w:r>
      </w:hyperlink>
      <w:r>
        <w:t xml:space="preserve"> </w:t>
      </w:r>
      <w:hyperlink w:anchor="ref-15">
        <w:r>
          <w:rPr>
            <w:rStyle w:val="Hyperlink"/>
          </w:rPr>
          <w:t xml:space="preserve">[15]</w:t>
        </w:r>
      </w:hyperlink>
      <w:r>
        <w:t xml:space="preserve">. Under heteroskedasticity, classical standard errors are biased, usually downward, which would make coefficients look more significant than they are.</w:t>
      </w:r>
    </w:p>
    <w:p>
      <w:pPr>
        <w:pStyle w:val="BodyText"/>
        <w:spacing w:line="480" w:lineRule="auto"/>
        <w:ind w:firstLine="720"/>
      </w:pPr>
      <w:r>
        <w:t xml:space="preserve">HC1 corrects this by estimating the standard errors from the observed residuals directly, dropping the constant variance assumption, with a finite sample adjustment that is appropriate for a dataset this size. The correction changes only the standard errors and the resulting p values; it leaves the coefficient point estimates untouched. That separation is exactly what a cautious design wants. The point estimates report the partial associations in the corpus, and the robust standard errors report how much confidence those associations deserve given the heterogeneity of the records. Choosing HC1 is therefore not a technicality but a substantive commitment to honest inference on a heterogeneous, small sample</w:t>
      </w:r>
      <w:r>
        <w:t xml:space="preserve"> </w:t>
      </w:r>
      <w:hyperlink w:anchor="ref-4">
        <w:r>
          <w:rPr>
            <w:rStyle w:val="Hyperlink"/>
          </w:rPr>
          <w:t xml:space="preserve">[4]</w:t>
        </w:r>
      </w:hyperlink>
      <w:r>
        <w:t xml:space="preserve">.</w:t>
      </w:r>
    </w:p>
    <w:bookmarkEnd w:id="100"/>
    <w:bookmarkStart w:id="101" w:name="why-not-a-more-elaborate-specification"/>
    <w:p>
      <w:pPr>
        <w:pStyle w:val="Heading2"/>
        <w:spacing w:line="480" w:lineRule="auto"/>
      </w:pPr>
      <w:r>
        <w:t xml:space="preserve">Why not a more elaborate specification</w:t>
      </w:r>
    </w:p>
    <w:p>
      <w:pPr>
        <w:pStyle w:val="FirstParagraph"/>
        <w:spacing w:line="480" w:lineRule="auto"/>
      </w:pPr>
      <w:r>
        <w:t xml:space="preserve">A skeptical reader might ask why the design does not add interaction terms, polynomial recency, or fixed effects for venue, any of which could in principle capture richer structure. The answer is a disciplined refusal driven by the sample size. With thirty observations and three predictors, the cross sectional model already spends four degrees of freedom on the constant and the slopes. Adding interactions or higher order terms would consume the remaining degrees of freedom quickly, inflate the variance of every estimate, and invite the model to fit noise as though it were signal</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adjusted R squared, which penalizes added parameters, is the standing guard against this temptation, and the results chapter reports it precisely so that a reader can see whether the parsimonious specification earns its keep.</w:t>
      </w:r>
    </w:p>
    <w:p>
      <w:pPr>
        <w:pStyle w:val="BodyText"/>
        <w:spacing w:line="480" w:lineRule="auto"/>
        <w:ind w:firstLine="720"/>
      </w:pPr>
      <w:r>
        <w:t xml:space="preserve">The learning curve model is even leaner, with a single regressor, and for the same reason. A more flexible functional form, such as a quadratic in log age to capture citation decay after a peak, would be defensible in a large sample but reckless in this one. The log log form was chosen because it yields a single, interpretable elasticity that maps directly onto the theory’s temporal prediction and onto the learning curve tradition’s progress ratio</w:t>
      </w:r>
      <w:r>
        <w:t xml:space="preserve"> </w:t>
      </w:r>
      <w:hyperlink w:anchor="ref-13">
        <w:r>
          <w:rPr>
            <w:rStyle w:val="Hyperlink"/>
          </w:rPr>
          <w:t xml:space="preserve">[13]</w:t>
        </w:r>
      </w:hyperlink>
      <w:r>
        <w:t xml:space="preserve">. Parsimony here is not laziness; it is the correct response to the amount of information the data actually contain, and it keeps the estimators honest about how little they are asked to do.</w:t>
      </w:r>
    </w:p>
    <w:bookmarkEnd w:id="101"/>
    <w:bookmarkStart w:id="102" w:name="X3213bd98da84e0aac82bbec77270298b94f35d7"/>
    <w:p>
      <w:pPr>
        <w:pStyle w:val="Heading2"/>
        <w:spacing w:line="480" w:lineRule="auto"/>
      </w:pPr>
      <w:r>
        <w:t xml:space="preserve">What a corpus screen can and cannot identify</w:t>
      </w:r>
    </w:p>
    <w:p>
      <w:pPr>
        <w:pStyle w:val="FirstParagraph"/>
        <w:spacing w:line="480" w:lineRule="auto"/>
      </w:pPr>
      <w:r>
        <w:t xml:space="preserve">It helps to state the identification claim in its most careful form. The cross sectional estimator identifies the linear partial association between each metadata signal and the topic score, within the retrieved corpus, under the maintained assumption that the linear form is an adequate summary of that association. It does not identify a causal effect, because the predictors were not assigned experimentally and unobserved factors could drive both a predictor and the outcome</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The learning curve estimator identifies the elasticity of citation accumulation with respect to age, within the corpus, under the maintained assumption that the log log form is adequate. It does not identify the causal effect of aging, because age is confounded with vintage, the earlier phase of the field from which older documents come</w:t>
      </w:r>
      <w:r>
        <w:t xml:space="preserve"> </w:t>
      </w:r>
      <w:hyperlink w:anchor="ref-14">
        <w:r>
          <w:rPr>
            <w:rStyle w:val="Hyperlink"/>
          </w:rPr>
          <w:t xml:space="preserve">[14]</w:t>
        </w:r>
      </w:hyperlink>
      <w:r>
        <w:t xml:space="preserve">.</w:t>
      </w:r>
    </w:p>
    <w:p>
      <w:pPr>
        <w:pStyle w:val="BodyText"/>
        <w:spacing w:line="480" w:lineRule="auto"/>
        <w:ind w:firstLine="720"/>
      </w:pPr>
      <w:r>
        <w:t xml:space="preserve">These are not weaknesses to be apologized for; they are the honest scope of a corpus screen, and naming them precisely is what lets the results be trusted within that scope. A study that claimed causal identification from thirty observational records would be making a promise its design cannot keep. This design promises less and delivers what it promises: reproducible partial associations and a reproducible elasticity, each reported with robust inference and each interpreted as evidence about the structure of the retrieved record. The discussion chapter returns to these boundaries when it separates what the findings mean from what they cannot mean, and the tight scope established here is what makes that later separation clean rather than strained</w:t>
      </w:r>
      <w:r>
        <w:t xml:space="preserve"> </w:t>
      </w:r>
      <w:hyperlink w:anchor="ref-6">
        <w:r>
          <w:rPr>
            <w:rStyle w:val="Hyperlink"/>
          </w:rPr>
          <w:t xml:space="preserve">[6]</w:t>
        </w:r>
      </w:hyperlink>
      <w:r>
        <w:t xml:space="preserve"> </w:t>
      </w:r>
      <w:hyperlink w:anchor="ref-9">
        <w:r>
          <w:rPr>
            <w:rStyle w:val="Hyperlink"/>
          </w:rPr>
          <w:t xml:space="preserve">[9]</w:t>
        </w:r>
      </w:hyperlink>
      <w:r>
        <w:t xml:space="preserve"> </w:t>
      </w:r>
      <w:hyperlink w:anchor="ref-15">
        <w:r>
          <w:rPr>
            <w:rStyle w:val="Hyperlink"/>
          </w:rPr>
          <w:t xml:space="preserve">[15]</w:t>
        </w:r>
      </w:hyperlink>
      <w:r>
        <w:t xml:space="preserve">.</w:t>
      </w:r>
    </w:p>
    <w:bookmarkEnd w:id="102"/>
    <w:bookmarkStart w:id="103" w:name="reading-the-fit-statistics-correctly"/>
    <w:p>
      <w:pPr>
        <w:pStyle w:val="Heading2"/>
        <w:spacing w:line="480" w:lineRule="auto"/>
      </w:pPr>
      <w:r>
        <w:t xml:space="preserve">Reading the fit statistics correctly</w:t>
      </w:r>
    </w:p>
    <w:p>
      <w:pPr>
        <w:pStyle w:val="FirstParagraph"/>
        <w:spacing w:line="480" w:lineRule="auto"/>
      </w:pPr>
      <w:r>
        <w:t xml:space="preserve">The results chapter will report several fit statistics, and the methodology should establish in advance how each is to be read, so that the interpretation is a matter of applying agreed rules rather than of improvisation. The R squared reports the fraction of variance in the outcome that the predictors explain, and on a small sample it should be read as a description of in sample fit rather than as a promise about out of sample performance. The adjusted R squared is the more informative of the two, because it penalizes the model for each parameter it spends, and a negative adjusted R squared is the clearest possible signal that the predictors add nothing beyond chance</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joint F test asks whether the predictors, taken together, are distinguishable from no relationship, and its p value is the single best summary of whether the cross sectional model has found anything.</w:t>
      </w:r>
    </w:p>
    <w:p>
      <w:pPr>
        <w:pStyle w:val="BodyText"/>
        <w:spacing w:line="480" w:lineRule="auto"/>
        <w:ind w:firstLine="720"/>
      </w:pPr>
      <w:r>
        <w:t xml:space="preserve">At the term level, each coefficient carries a robust standard error and a p value, and the rule for reading them is fixed here: a coefficient is treated as a demonstrated association only when its p value clears a conventional threshold, and otherwise its sign is reported as directional information without inferential weight</w:t>
      </w:r>
      <w:r>
        <w:t xml:space="preserve"> </w:t>
      </w:r>
      <w:hyperlink w:anchor="ref-15">
        <w:r>
          <w:rPr>
            <w:rStyle w:val="Hyperlink"/>
          </w:rPr>
          <w:t xml:space="preserve">[15]</w:t>
        </w:r>
      </w:hyperlink>
      <w:r>
        <w:t xml:space="preserve">. This rule is what disciplines the temptation to narrate an interesting but insignificant sign as though it were a result. For the learning curve model, the elasticity and its implied progress ratio are read together, the elasticity giving the direction and strength of the age relationship and the progress ratio translating it into the learning curve idiom, with the same significance discipline applied</w:t>
      </w:r>
      <w:r>
        <w:t xml:space="preserve"> </w:t>
      </w:r>
      <w:hyperlink w:anchor="ref-13">
        <w:r>
          <w:rPr>
            <w:rStyle w:val="Hyperlink"/>
          </w:rPr>
          <w:t xml:space="preserve">[13]</w:t>
        </w:r>
      </w:hyperlink>
      <w:r>
        <w:t xml:space="preserve">.</w:t>
      </w:r>
    </w:p>
    <w:bookmarkEnd w:id="103"/>
    <w:bookmarkStart w:id="104" w:name="estimation-mechanics-and-reproducibility"/>
    <w:p>
      <w:pPr>
        <w:pStyle w:val="Heading2"/>
        <w:spacing w:line="480" w:lineRule="auto"/>
      </w:pPr>
      <w:r>
        <w:t xml:space="preserve">Estimation mechanics and reproducibility</w:t>
      </w:r>
    </w:p>
    <w:p>
      <w:pPr>
        <w:pStyle w:val="FirstParagraph"/>
        <w:spacing w:line="480" w:lineRule="auto"/>
      </w:pPr>
      <w:r>
        <w:t xml:space="preserve">The estimation itself is deliberately standard, which is a feature. Both models are fitted by ordinary least squares, the learning curve after logging both variables, using a standard statistical routine with HC1 robust covariance. There is nothing bespoke in the computation, which means any analyst with the data and the configuration files can reproduce the coefficients, standard errors, p values, and fit statistics exactly</w:t>
      </w:r>
      <w:r>
        <w:t xml:space="preserve"> </w:t>
      </w:r>
      <w:hyperlink w:anchor="ref-4">
        <w:r>
          <w:rPr>
            <w:rStyle w:val="Hyperlink"/>
          </w:rPr>
          <w:t xml:space="preserve">[4]</w:t>
        </w:r>
      </w:hyperlink>
      <w:r>
        <w:t xml:space="preserve">. The configuration files record the outcome variable, the predictor set, and the functional form for each model, so the specification is documented in machine readable form rather than only in prose.</w:t>
      </w:r>
    </w:p>
    <w:p>
      <w:pPr>
        <w:pStyle w:val="BodyText"/>
        <w:spacing w:line="480" w:lineRule="auto"/>
        <w:ind w:firstLine="720"/>
      </w:pPr>
      <w:r>
        <w:t xml:space="preserve">This reproducibility closes the methodological loop that the whole dissertation depends on. The theory generated predictions, the data chapter documented inputs a reader can rebuild, and the estimation is a standard routine applied to those inputs. A reader who doubts any reported number can regenerate it from the artifacts, and a reader who accepts the numbers can trust that they were produced by transparent means rather than by an opaque or tuned procedure</w:t>
      </w:r>
      <w:r>
        <w:t xml:space="preserve"> </w:t>
      </w:r>
      <w:hyperlink w:anchor="ref-6">
        <w:r>
          <w:rPr>
            <w:rStyle w:val="Hyperlink"/>
          </w:rPr>
          <w:t xml:space="preserve">[6]</w:t>
        </w:r>
      </w:hyperlink>
      <w:r>
        <w:t xml:space="preserve"> </w:t>
      </w:r>
      <w:hyperlink w:anchor="ref-15">
        <w:r>
          <w:rPr>
            <w:rStyle w:val="Hyperlink"/>
          </w:rPr>
          <w:t xml:space="preserve">[15]</w:t>
        </w:r>
      </w:hyperlink>
      <w:r>
        <w:t xml:space="preserve">. That closed loop, from documented inputs through a standard estimator to reported outputs, is the identification contribution stated in operational terms, and it is what earns the results the right to be believed within their stated scope.</w:t>
      </w:r>
    </w:p>
    <w:bookmarkEnd w:id="104"/>
    <w:bookmarkStart w:id="105" w:name="guarding-against-specification-search"/>
    <w:p>
      <w:pPr>
        <w:pStyle w:val="Heading2"/>
        <w:spacing w:line="480" w:lineRule="auto"/>
      </w:pPr>
      <w:r>
        <w:t xml:space="preserve">Guarding against specification search</w:t>
      </w:r>
    </w:p>
    <w:p>
      <w:pPr>
        <w:pStyle w:val="FirstParagraph"/>
        <w:spacing w:line="480" w:lineRule="auto"/>
      </w:pPr>
      <w:r>
        <w:t xml:space="preserve">One further methodological commitment protects the credibility of the results: the specifications were fixed by the theory in advance rather than chosen after inspecting the data. The cross sectional model regresses the topic signal on exactly the three predictors the propagation mechanism named, recency, citation, and venue, and the learning curve model relates logged citation to logged age, the single relationship the accumulation prediction implied</w:t>
      </w:r>
      <w:r>
        <w:t xml:space="preserve"> </w:t>
      </w:r>
      <w:hyperlink w:anchor="ref-13">
        <w:r>
          <w:rPr>
            <w:rStyle w:val="Hyperlink"/>
          </w:rPr>
          <w:t xml:space="preserve">[13]</w:t>
        </w:r>
      </w:hyperlink>
      <w:r>
        <w:t xml:space="preserve"> </w:t>
      </w:r>
      <w:hyperlink w:anchor="ref-15">
        <w:r>
          <w:rPr>
            <w:rStyle w:val="Hyperlink"/>
          </w:rPr>
          <w:t xml:space="preserve">[15]</w:t>
        </w:r>
      </w:hyperlink>
      <w:r>
        <w:t xml:space="preserve">. Neither specification was selected by trying many and keeping the one that looked best, a practice that manufactures significance and is especially dangerous on small samples. Because the specifications were pre committed by the theory, the reported p values mean what they claim to mean, rather than being contaminated by an unreported search over alternatives</w:t>
      </w:r>
      <w:r>
        <w:t xml:space="preserve"> </w:t>
      </w:r>
      <w:hyperlink w:anchor="ref-4">
        <w:r>
          <w:rPr>
            <w:rStyle w:val="Hyperlink"/>
          </w:rPr>
          <w:t xml:space="preserve">[4]</w:t>
        </w:r>
      </w:hyperlink>
      <w:r>
        <w:t xml:space="preserve">. This discipline is invisible in the output but essential to its honesty, and it is why the weak results reported later can be trusted as genuine findings rather than as the residue of a hunt for a positive</w:t>
      </w:r>
      <w:r>
        <w:t xml:space="preserve"> </w:t>
      </w:r>
      <w:hyperlink w:anchor="ref-3">
        <w:r>
          <w:rPr>
            <w:rStyle w:val="Hyperlink"/>
          </w:rPr>
          <w:t xml:space="preserve">[3]</w:t>
        </w:r>
      </w:hyperlink>
      <w:r>
        <w:t xml:space="preserve">.</w:t>
      </w:r>
    </w:p>
    <w:bookmarkEnd w:id="105"/>
    <w:bookmarkEnd w:id="106"/>
    <w:bookmarkStart w:id="117" w:name="data-and-measurement"/>
    <w:p>
      <w:pPr>
        <w:pStyle w:val="Heading1"/>
        <w:spacing w:line="480" w:lineRule="auto"/>
      </w:pPr>
      <w:r>
        <w:t xml:space="preserve">Data and Measurement</w:t>
      </w:r>
    </w:p>
    <w:p>
      <w:pPr>
        <w:pStyle w:val="FirstParagraph"/>
        <w:spacing w:line="480" w:lineRule="auto"/>
      </w:pPr>
      <w:r>
        <w:t xml:space="preserve">Data is where a corpus study earns trust. The credibility of the whole rests on the transparency of its inputs. This chapter documents exactly what the dataset is, where it comes from, how each variable is built from observable fields, and how large the sample is. Nothing here is proxied without saying so, and every row can be traced to a named source. The point is to let a reader reconstruct the estimation inputs from first principles rather than take the numbers on faith.</w:t>
      </w:r>
    </w:p>
    <w:bookmarkStart w:id="107" w:name="the-source-corpus"/>
    <w:p>
      <w:pPr>
        <w:pStyle w:val="Heading2"/>
        <w:spacing w:line="480" w:lineRule="auto"/>
      </w:pPr>
      <w:r>
        <w:t xml:space="preserve">The source corpus</w:t>
      </w:r>
    </w:p>
    <w:p>
      <w:pPr>
        <w:pStyle w:val="FirstParagraph"/>
        <w:spacing w:line="480" w:lineRule="auto"/>
      </w:pPr>
      <w:r>
        <w:t xml:space="preserve">The dataset is a local source corpus: a set of retrieved records on polycentric cislunar space traffic management, drawn from the technical, governance, and policy literature that frames the topic. The records span conference proceedings in space situational awareness and traffic management, archival journal articles, and policy oriented venues</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11">
        <w:r>
          <w:rPr>
            <w:rStyle w:val="Hyperlink"/>
          </w:rPr>
          <w:t xml:space="preserve">[11]</w:t>
        </w:r>
      </w:hyperlink>
      <w:r>
        <w:t xml:space="preserve">. Each record is a real document with a real provenance, and that provenance is retained through the entire feature construction process so that any observation can be opened and inspected.</w:t>
      </w:r>
    </w:p>
    <w:p>
      <w:pPr>
        <w:pStyle w:val="BodyText"/>
        <w:spacing w:line="480" w:lineRule="auto"/>
        <w:ind w:firstLine="720"/>
      </w:pPr>
      <w:r>
        <w:t xml:space="preserve">Provenance is preserved concretely. Every row in the estimation files carries a source field. For records with a digital object identifier the source field holds the DOI, and for records retrieved from conference archives it holds the resolving URL. The third row, for instance, resolves to a DOI, while the first two rows resolve to archived conference pages for work on decentralized information sharing and on orbit family utilization in the cislunar domain</w:t>
      </w:r>
      <w:r>
        <w:t xml:space="preserve"> </w:t>
      </w:r>
      <w:hyperlink w:anchor="ref-1">
        <w:r>
          <w:rPr>
            <w:rStyle w:val="Hyperlink"/>
          </w:rPr>
          <w:t xml:space="preserve">[1]</w:t>
        </w:r>
      </w:hyperlink>
      <w:r>
        <w:t xml:space="preserve"> </w:t>
      </w:r>
      <w:hyperlink w:anchor="ref-2">
        <w:r>
          <w:rPr>
            <w:rStyle w:val="Hyperlink"/>
          </w:rPr>
          <w:t xml:space="preserve">[2]</w:t>
        </w:r>
      </w:hyperlink>
      <w:r>
        <w:t xml:space="preserve">. This is not decorative metadata. It is the audit trail that makes the workbook checkable, and it is why the design can claim to move from source selection to estimator output without an unverifiable step.</w:t>
      </w:r>
    </w:p>
    <w:p>
      <w:pPr>
        <w:pStyle w:val="BodyText"/>
        <w:spacing w:line="480" w:lineRule="auto"/>
        <w:ind w:firstLine="720"/>
      </w:pPr>
      <w:r>
        <w:t xml:space="preserve">The sample is thirty source records. That number is stated plainly and defended honestly. Thirty is small, and the methodology chapter has already set out what small implies for power and for the influence of individual observations. Thirty is also enough to run the estimators end to end on real data and to demonstrate that the measurement discipline works, which is the purpose of a design stage study. A larger corpus would strengthen the inference; it would not change the design, and expanding it is the natural next step named in the conclusion</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107"/>
    <w:bookmarkStart w:id="108" w:name="X178fae89a8bf75f4304f2b682b98f3f65a2f977"/>
    <w:p>
      <w:pPr>
        <w:pStyle w:val="Heading2"/>
        <w:spacing w:line="480" w:lineRule="auto"/>
      </w:pPr>
      <w:r>
        <w:t xml:space="preserve">Constructing the cross sectional variables</w:t>
      </w:r>
    </w:p>
    <w:p>
      <w:pPr>
        <w:pStyle w:val="FirstParagraph"/>
        <w:spacing w:line="480" w:lineRule="auto"/>
      </w:pPr>
      <w:r>
        <w:t xml:space="preserve">Paper 1 draws four variables from each record, one outcome and three predictors, and each is built by a deterministic rule so that construction is reproducible rather than judgmental.</w:t>
      </w:r>
    </w:p>
    <w:p>
      <w:pPr>
        <w:pStyle w:val="BodyText"/>
        <w:spacing w:line="480" w:lineRule="auto"/>
        <w:ind w:firstLine="720"/>
      </w:pPr>
      <w:r>
        <w:t xml:space="preserve">The outcome is a composite topic signal score. It is a deterministic count of candidate theme term hits across the record: matches in the source title, in the retrieved snippet, in the keyword field, and in the author metadata are counted, and the counts combine into a single score for each source. Because the rule is mechanical, two analysts applying it to the same record obtain the same score. The raw data file exposes the intermediate fields, including title word count, snippet word count, keyword count, and theme hit count, so the composite can be checked against its components. Signal scores in the sample cluster in the high single digits for records dense in cislunar and governance terms, reaching a score of nine for a space based detection paper heavy in domain vocabulary</w:t>
      </w:r>
      <w:r>
        <w:t xml:space="preserve"> </w:t>
      </w:r>
      <w:hyperlink w:anchor="ref-7">
        <w:r>
          <w:rPr>
            <w:rStyle w:val="Hyperlink"/>
          </w:rPr>
          <w:t xml:space="preserve">[7]</w:t>
        </w:r>
      </w:hyperlink>
      <w:r>
        <w:t xml:space="preserve">, and fall to lower values, around three, for records where the topic appears only glancingly, such as the Montreal Protocol analogy paper whose framing is comparative rather than domain specific</w:t>
      </w:r>
      <w:r>
        <w:t xml:space="preserve"> </w:t>
      </w:r>
      <w:hyperlink w:anchor="ref-5">
        <w:r>
          <w:rPr>
            <w:rStyle w:val="Hyperlink"/>
          </w:rPr>
          <w:t xml:space="preserve">[5]</w:t>
        </w:r>
      </w:hyperlink>
      <w:r>
        <w:t xml:space="preserve">.</w:t>
      </w:r>
    </w:p>
    <w:p>
      <w:pPr>
        <w:pStyle w:val="BodyText"/>
        <w:spacing w:line="480" w:lineRule="auto"/>
        <w:ind w:firstLine="720"/>
      </w:pPr>
      <w:r>
        <w:t xml:space="preserve">The first predictor is a recency index, computed as the publication year minus the minimum publication year in the sample plus one. Anchoring to the sample minimum turns absolute years into a compact scale that begins at one for the oldest records and rises for newer ones. Records from the earliest sampled years take small recency values, and the most recent records take the largest, which lets the model test whether topic signal moves with document vintage</w:t>
      </w:r>
      <w:r>
        <w:t xml:space="preserve"> </w:t>
      </w:r>
      <w:hyperlink w:anchor="ref-9">
        <w:r>
          <w:rPr>
            <w:rStyle w:val="Hyperlink"/>
          </w:rPr>
          <w:t xml:space="preserve">[9]</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second predictor is a citation count, parsed from the citation field of the local index. Where the index reported no citation count, the value is zero, and this is recorded honestly rather than imputed. In this particular corpus the reported citation counts are sparse, which is itself a documented feature of the data and a real constraint on what the citation coefficient can reveal. The construction does not manufacture attention where the index reported none</w:t>
      </w:r>
      <w:r>
        <w:t xml:space="preserve"> </w:t>
      </w:r>
      <w:hyperlink w:anchor="ref-15">
        <w:r>
          <w:rPr>
            <w:rStyle w:val="Hyperlink"/>
          </w:rPr>
          <w:t xml:space="preserve">[15]</w:t>
        </w:r>
      </w:hyperlink>
      <w:r>
        <w:t xml:space="preserve">.</w:t>
      </w:r>
    </w:p>
    <w:p>
      <w:pPr>
        <w:pStyle w:val="BodyText"/>
        <w:spacing w:line="480" w:lineRule="auto"/>
        <w:ind w:firstLine="720"/>
      </w:pPr>
      <w:r>
        <w:t xml:space="preserve">The third predictor is an ordinal venue score that codes the venue family: a value of one for the space situational awareness and traffic management conference proceedings, two for archival journal articles in the aerospace science literature, and three for policy and space economy venues. The ordering is intentional and reflects the theorized migration of a governance idea from technical conference outlets toward archival and policy venues</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coding is ordinal and coarse by design, and the discussion chapter is careful not to over read a three level scale.</w:t>
      </w:r>
    </w:p>
    <w:bookmarkEnd w:id="108"/>
    <w:bookmarkStart w:id="109" w:name="constructing-the-temporal-variables"/>
    <w:p>
      <w:pPr>
        <w:pStyle w:val="Heading2"/>
        <w:spacing w:line="480" w:lineRule="auto"/>
      </w:pPr>
      <w:r>
        <w:t xml:space="preserve">Constructing the temporal variables</w:t>
      </w:r>
    </w:p>
    <w:p>
      <w:pPr>
        <w:pStyle w:val="FirstParagraph"/>
        <w:spacing w:line="480" w:lineRule="auto"/>
      </w:pPr>
      <w:r>
        <w:t xml:space="preserve">Paper 2 uses a leaner set of variables suited to its single question about accumulation.</w:t>
      </w:r>
    </w:p>
    <w:p>
      <w:pPr>
        <w:pStyle w:val="BodyText"/>
        <w:spacing w:line="480" w:lineRule="auto"/>
        <w:ind w:firstLine="720"/>
      </w:pPr>
      <w:r>
        <w:t xml:space="preserve">The outcome is citation count plus one. Adding one before the log transformation keeps records with zero reported citations in the analysis, so the temporal fit is not silently restricted to the better cited documents. Given the sparse citation reporting in this corpus, that adjustment is not a technicality; it is what allows the full thirty record sample to enter the learning curve rather than a truncated subset</w:t>
      </w:r>
      <w:r>
        <w:t xml:space="preserve"> </w:t>
      </w:r>
      <w:hyperlink w:anchor="ref-13">
        <w:r>
          <w:rPr>
            <w:rStyle w:val="Hyperlink"/>
          </w:rPr>
          <w:t xml:space="preserve">[13]</w:t>
        </w:r>
      </w:hyperlink>
      <w:r>
        <w:t xml:space="preserve">.</w:t>
      </w:r>
    </w:p>
    <w:p>
      <w:pPr>
        <w:pStyle w:val="BodyText"/>
        <w:spacing w:line="480" w:lineRule="auto"/>
        <w:ind w:firstLine="720"/>
      </w:pPr>
      <w:r>
        <w:t xml:space="preserve">The regressor is an age index, computed as 2026 minus the publication year plus one. Older documents take larger age indices and the most recent take smaller ones, so the elasticity estimated from the log log fit reports how citation accumulation co varies with how long a document has been available. The same records that anchor the cross sectional model anchor the temporal one, with age substituted for recency, which keeps the two analyses commensurable and lets a reader compare structure at a moment against structure over time</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109"/>
    <w:bookmarkStart w:id="110" w:name="the-measurement-hierarchy"/>
    <w:p>
      <w:pPr>
        <w:pStyle w:val="Heading2"/>
        <w:spacing w:line="480" w:lineRule="auto"/>
      </w:pPr>
      <w:r>
        <w:t xml:space="preserve">The measurement hierarchy</w:t>
      </w:r>
    </w:p>
    <w:p>
      <w:pPr>
        <w:pStyle w:val="FirstParagraph"/>
        <w:spacing w:line="480" w:lineRule="auto"/>
      </w:pPr>
      <w:r>
        <w:t xml:space="preserve">The data strategy is a reproducible hierarchy, and naming its levels makes the audit path explicit. At the top sit the bibliography and the source metadata, which define the universe of records. Below that sit the estimation files, which fix the rows, one per source, each with its provenance field intact. Below those sit the configuration files, which define every variable and every formula in machine readable form, so that the meaning of each column is documented alongside the data. At the bottom sit the workbooks, which reproduce the estimator output from the rows and the specifications. The dissertation narrative is downstream of all four levels. It reports what the artifacts contain; it does not assert numbers the artifacts do not produce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ordering is the practical expression of the whole project’s stance. A claim in the results chapter can be followed down through the configuration to the exact rows that produced it and up through the source field to the exact documents those rows describe. There is no point in the chain where a reader is asked to trust an unverifiable transformation.</w:t>
      </w:r>
    </w:p>
    <w:bookmarkEnd w:id="110"/>
    <w:bookmarkStart w:id="111" w:name="fit-between-question-and-data"/>
    <w:p>
      <w:pPr>
        <w:pStyle w:val="Heading2"/>
        <w:spacing w:line="480" w:lineRule="auto"/>
      </w:pPr>
      <w:r>
        <w:t xml:space="preserve">Fit between question and data</w:t>
      </w:r>
    </w:p>
    <w:p>
      <w:pPr>
        <w:pStyle w:val="FirstParagraph"/>
        <w:spacing w:line="480" w:lineRule="auto"/>
      </w:pPr>
      <w:r>
        <w:t xml:space="preserve">Measurement validity depends on the fit between the question asked and the data available, and this dataset fits a narrow question well and a broad one poorly. It is well suited to asking whether the retrieved records contain structure in recency, citation, and venue, because those fields are observable, deterministically coded, and fully preserved. It is poorly suited to proving a causal effect on the space sector as a whole, because the sample is small, the citation reporting is sparse, and the records are the ones the retrieval surfaced rather than a census of the field</w:t>
      </w:r>
      <w:r>
        <w:t xml:space="preserve"> </w:t>
      </w:r>
      <w:hyperlink w:anchor="ref-4">
        <w:r>
          <w:rPr>
            <w:rStyle w:val="Hyperlink"/>
          </w:rPr>
          <w:t xml:space="preserve">[4]</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design respects that boundary in advance so that the results chapter does not have to strain against it. Chapter six reports the exact model statistics, the coefficients, their robust standard errors, the p values, the fit measures, and the sample size, and interprets them as evidence about the measured record. The measurement chapter’s job is to guarantee that those statistics rest on inputs a reader can see and rebuild, and that guarantee is the foundation on which the reported results stand</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15">
        <w:r>
          <w:rPr>
            <w:rStyle w:val="Hyperlink"/>
          </w:rPr>
          <w:t xml:space="preserve">[15]</w:t>
        </w:r>
      </w:hyperlink>
      <w:r>
        <w:t xml:space="preserve">.</w:t>
      </w:r>
    </w:p>
    <w:bookmarkEnd w:id="111"/>
    <w:bookmarkStart w:id="112" w:name="X0a38ac37a0039ed1f3e853915280fb74858f2cb"/>
    <w:p>
      <w:pPr>
        <w:pStyle w:val="Heading2"/>
        <w:spacing w:line="480" w:lineRule="auto"/>
      </w:pPr>
      <w:r>
        <w:t xml:space="preserve">The distribution of the sample across venues and years</w:t>
      </w:r>
    </w:p>
    <w:p>
      <w:pPr>
        <w:pStyle w:val="FirstParagraph"/>
        <w:spacing w:line="480" w:lineRule="auto"/>
      </w:pPr>
      <w:r>
        <w:t xml:space="preserve">A sample is only as informative as its spread, and it is worth describing how the thirty records distribute across the dimensions the estimators exploit. The corpus leans heavily toward the space situational awareness and traffic management conference venue, which carries the venue score of one, with a smaller number of archival journal articles at score two and a still smaller set of policy and space economy venues at score three</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11">
        <w:r>
          <w:rPr>
            <w:rStyle w:val="Hyperlink"/>
          </w:rPr>
          <w:t xml:space="preserve">[11]</w:t>
        </w:r>
      </w:hyperlink>
      <w:r>
        <w:t xml:space="preserve">. That distribution is itself a finding in miniature. A topic whose documentary footprint is concentrated in conference proceedings is, by the propagation logic developed earlier, a topic still close to its technical origin rather than one that has migrated broadly into governance oriented outlets. The venue coefficient in the cross sectional model is estimated against this uneven spread, which the discussion chapter keeps in view when it reads that coefficient.</w:t>
      </w:r>
    </w:p>
    <w:p>
      <w:pPr>
        <w:pStyle w:val="BodyText"/>
        <w:spacing w:line="480" w:lineRule="auto"/>
        <w:ind w:firstLine="720"/>
      </w:pPr>
      <w:r>
        <w:t xml:space="preserve">The year distribution is similarly informative. The records cluster in the recent past, with the earliest sampled work a few years old and the newest from the current publishing frontier, which reflects that cislunar traffic management as a named topic is young</w:t>
      </w:r>
      <w:r>
        <w:t xml:space="preserve"> </w:t>
      </w:r>
      <w:hyperlink w:anchor="ref-9">
        <w:r>
          <w:rPr>
            <w:rStyle w:val="Hyperlink"/>
          </w:rPr>
          <w:t xml:space="preserve">[9]</w:t>
        </w:r>
      </w:hyperlink>
      <w:r>
        <w:t xml:space="preserve"> </w:t>
      </w:r>
      <w:hyperlink w:anchor="ref-14">
        <w:r>
          <w:rPr>
            <w:rStyle w:val="Hyperlink"/>
          </w:rPr>
          <w:t xml:space="preserve">[14]</w:t>
        </w:r>
      </w:hyperlink>
      <w:r>
        <w:t xml:space="preserve">. The recency index and the age index are two views of this same temporal spread, one anchored to the sample minimum year and one anchored to the reference year of 2026. Because the topic is young and the span is short, the temporal signals have limited range to work with, and that limited range is part of why the estimators, as the results chapter will show, struggle to detect strong temporal structure. The data chapter names this constraint here so that the later interpretation is not surprised by it.</w:t>
      </w:r>
    </w:p>
    <w:bookmarkEnd w:id="112"/>
    <w:bookmarkStart w:id="113" w:name="Xe74408842edfbca26f97ec88b515f127fdba96f"/>
    <w:p>
      <w:pPr>
        <w:pStyle w:val="Heading2"/>
        <w:spacing w:line="480" w:lineRule="auto"/>
      </w:pPr>
      <w:r>
        <w:t xml:space="preserve">Citation sparsity as a documented feature</w:t>
      </w:r>
    </w:p>
    <w:p>
      <w:pPr>
        <w:pStyle w:val="FirstParagraph"/>
        <w:spacing w:line="480" w:lineRule="auto"/>
      </w:pPr>
      <w:r>
        <w:t xml:space="preserve">The sparse citation reporting in this corpus is important enough to treat on its own, because it conditions the meaning of two coefficients. Many records in the source corpus report a citation count of zero in the local index, not because the underlying documents are genuinely uncited in the wider literature, but because the local index either did not capture a citation count or the documents are recent enough that citations have not accrued in the index</w:t>
      </w:r>
      <w:r>
        <w:t xml:space="preserve"> </w:t>
      </w:r>
      <w:hyperlink w:anchor="ref-15">
        <w:r>
          <w:rPr>
            <w:rStyle w:val="Hyperlink"/>
          </w:rPr>
          <w:t xml:space="preserve">[15]</w:t>
        </w:r>
      </w:hyperlink>
      <w:r>
        <w:t xml:space="preserve">. The construction records these zeros honestly rather than imputing values, which is the correct choice for an auditable design, but it has a consequence: the citation predictor in the cross sectional model and the citation outcome in the learning curve model both operate over a distribution that is heavily massed at zero and one.</w:t>
      </w:r>
    </w:p>
    <w:p>
      <w:pPr>
        <w:pStyle w:val="BodyText"/>
        <w:spacing w:line="480" w:lineRule="auto"/>
        <w:ind w:firstLine="720"/>
      </w:pPr>
      <w:r>
        <w:t xml:space="preserve">This sparsity is not a flaw to be concealed; it is a documented property of the data that shapes what the citation based results can mean. A citation coefficient estimated over a mostly zero distribution has limited information to draw on, and a learning curve fitted to citation counts that barely vary will have a low R squared almost by construction. The data chapter flags this so that the results chapter can interpret the weak citation findings as partly a reflection of the local index’s citation coverage rather than solely a statement about the topic. The plus one adjustment on the citation outcome, described above, is the direct response to this sparsity, keeping the many zero citation records inside the temporal analysis rather than discarding them</w:t>
      </w:r>
      <w:r>
        <w:t xml:space="preserve"> </w:t>
      </w:r>
      <w:hyperlink w:anchor="ref-13">
        <w:r>
          <w:rPr>
            <w:rStyle w:val="Hyperlink"/>
          </w:rPr>
          <w:t xml:space="preserve">[13]</w:t>
        </w:r>
      </w:hyperlink>
      <w:r>
        <w:t xml:space="preserve">.</w:t>
      </w:r>
    </w:p>
    <w:bookmarkEnd w:id="113"/>
    <w:bookmarkStart w:id="114" w:name="reproducibility-as-a-design-property"/>
    <w:p>
      <w:pPr>
        <w:pStyle w:val="Heading2"/>
        <w:spacing w:line="480" w:lineRule="auto"/>
      </w:pPr>
      <w:r>
        <w:t xml:space="preserve">Reproducibility as a design property</w:t>
      </w:r>
    </w:p>
    <w:p>
      <w:pPr>
        <w:pStyle w:val="FirstParagraph"/>
        <w:spacing w:line="480" w:lineRule="auto"/>
      </w:pPr>
      <w:r>
        <w:t xml:space="preserve">The final point about the data is that it is built to be rebuilt. Every step from raw document to estimation row is either a mechanical rule, such as the deterministic term count for the topic signal, or a documented arithmetic transformation, such as the recency and age indices</w:t>
      </w:r>
      <w:r>
        <w:t xml:space="preserve"> </w:t>
      </w:r>
      <w:hyperlink w:anchor="ref-3">
        <w:r>
          <w:rPr>
            <w:rStyle w:val="Hyperlink"/>
          </w:rPr>
          <w:t xml:space="preserve">[3]</w:t>
        </w:r>
      </w:hyperlink>
      <w:r>
        <w:t xml:space="preserve">. The configuration files record the variable definitions and the formulas in machine readable form, so there is no tacit knowledge required to understand what any column means. The estimation files preserve the source field on every row, so any observation can be opened to its origin. Nothing in the pipeline depends on a judgment call that a second analyst could not reproduce.</w:t>
      </w:r>
    </w:p>
    <w:p>
      <w:pPr>
        <w:pStyle w:val="BodyText"/>
        <w:spacing w:line="480" w:lineRule="auto"/>
        <w:ind w:firstLine="720"/>
      </w:pPr>
      <w:r>
        <w:t xml:space="preserve">That reproducibility is not merely good practice; it is the property that gives a small sample study its credibility. A reader who doubts a coefficient can rebuild the variable it rests on, trace the rows that drive it, and confirm that the number in the results chapter is the number the workbook produces. In a field where governance claims often rest on expert assertion, the ability to hand a skeptic a fully inspectable path from document to estimate is the strongest thing a design stage study can offer, and this data strategy is built to offer exactly that</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15">
        <w:r>
          <w:rPr>
            <w:rStyle w:val="Hyperlink"/>
          </w:rPr>
          <w:t xml:space="preserve">[15]</w:t>
        </w:r>
      </w:hyperlink>
      <w:r>
        <w:t xml:space="preserve">.</w:t>
      </w:r>
    </w:p>
    <w:bookmarkEnd w:id="114"/>
    <w:bookmarkStart w:id="115" w:name="the-topic-signal-score-examined"/>
    <w:p>
      <w:pPr>
        <w:pStyle w:val="Heading2"/>
        <w:spacing w:line="480" w:lineRule="auto"/>
      </w:pPr>
      <w:r>
        <w:t xml:space="preserve">The topic signal score examined</w:t>
      </w:r>
    </w:p>
    <w:p>
      <w:pPr>
        <w:pStyle w:val="FirstParagraph"/>
        <w:spacing w:line="480" w:lineRule="auto"/>
      </w:pPr>
      <w:r>
        <w:t xml:space="preserve">Because the topic signal score is the outcome of the central model, it deserves closer scrutiny than the predictors. The score is a composite of theme term hits across four fields of each record: the title, the retrieved snippet, the keyword field, and the author metadata. Counting across four fields rather than one is a deliberate design choice that guards against a record scoring high or low purely because of where its topical vocabulary happens to sit. A paper whose title is terse but whose keywords are dense in cislunar and governance terms should not be penalized for the terseness, and the multi field count prevents that</w:t>
      </w:r>
      <w:r>
        <w:t xml:space="preserve"> </w:t>
      </w:r>
      <w:hyperlink w:anchor="ref-3">
        <w:r>
          <w:rPr>
            <w:rStyle w:val="Hyperlink"/>
          </w:rPr>
          <w:t xml:space="preserve">[3]</w:t>
        </w:r>
      </w:hyperlink>
      <w:r>
        <w:t xml:space="preserve">. The raw data file exposes each field’s contribution, so the composite is not a black box: a reader can see that a record scored, say, eight because it accumulated hits across title, snippet, and keywords rather than through any single inflated field</w:t>
      </w:r>
      <w:r>
        <w:t xml:space="preserve"> </w:t>
      </w:r>
      <w:hyperlink w:anchor="ref-7">
        <w:r>
          <w:rPr>
            <w:rStyle w:val="Hyperlink"/>
          </w:rPr>
          <w:t xml:space="preserve">[7]</w:t>
        </w:r>
      </w:hyperlink>
      <w:r>
        <w:t xml:space="preserve">.</w:t>
      </w:r>
    </w:p>
    <w:p>
      <w:pPr>
        <w:pStyle w:val="BodyText"/>
        <w:spacing w:line="480" w:lineRule="auto"/>
        <w:ind w:firstLine="720"/>
      </w:pPr>
      <w:r>
        <w:t xml:space="preserve">The score also has a natural interpretation that anchors the model. A high topic signal record is one saturated in the vocabulary of the polycentric cislunar traffic management topic across its metadata, and a low signal record is one where that vocabulary appears only glancingly, as in the comparative Montreal Protocol paper whose framing is drawn from ozone governance rather than cislunar operations</w:t>
      </w:r>
      <w:r>
        <w:t xml:space="preserve"> </w:t>
      </w:r>
      <w:hyperlink w:anchor="ref-5">
        <w:r>
          <w:rPr>
            <w:rStyle w:val="Hyperlink"/>
          </w:rPr>
          <w:t xml:space="preserve">[5]</w:t>
        </w:r>
      </w:hyperlink>
      <w:r>
        <w:t xml:space="preserve">. The spread between these, roughly from the low single digits to the high single digits, is the variation the cross sectional model tries to explain with recency, citation, and venue. Understanding what the score measures, vocabulary saturation across metadata, is what lets the results chapter read the model’s weak fit correctly: the three signals do not explain much of why some records are more saturated in topic vocabulary than others.</w:t>
      </w:r>
    </w:p>
    <w:bookmarkEnd w:id="115"/>
    <w:bookmarkStart w:id="116" w:name="Xb78568911c88a6706abdd7cb4a5cc7779a403f9"/>
    <w:p>
      <w:pPr>
        <w:pStyle w:val="Heading2"/>
        <w:spacing w:line="480" w:lineRule="auto"/>
      </w:pPr>
      <w:r>
        <w:t xml:space="preserve">Limits of the measurement, stated at the source</w:t>
      </w:r>
    </w:p>
    <w:p>
      <w:pPr>
        <w:pStyle w:val="FirstParagraph"/>
        <w:spacing w:line="480" w:lineRule="auto"/>
      </w:pPr>
      <w:r>
        <w:t xml:space="preserve">Every measurement choice imposes a limit, and stating those limits at the point of construction is cleaner than deferring them all to the discussion chapter. The topic signal score measures vocabulary presence, not argumentative depth, so a record that discusses the governance idea profoundly in a few words could score lower than one that mentions it superficially many times</w:t>
      </w:r>
      <w:r>
        <w:t xml:space="preserve"> </w:t>
      </w:r>
      <w:hyperlink w:anchor="ref-15">
        <w:r>
          <w:rPr>
            <w:rStyle w:val="Hyperlink"/>
          </w:rPr>
          <w:t xml:space="preserve">[15]</w:t>
        </w:r>
      </w:hyperlink>
      <w:r>
        <w:t xml:space="preserve">. The recency and age indices measure calendar position, not intellectual maturity, so they cannot distinguish a recent paper that advances the field from a recent paper that merely restates it</w:t>
      </w:r>
      <w:r>
        <w:t xml:space="preserve"> </w:t>
      </w:r>
      <w:hyperlink w:anchor="ref-9">
        <w:r>
          <w:rPr>
            <w:rStyle w:val="Hyperlink"/>
          </w:rPr>
          <w:t xml:space="preserve">[9]</w:t>
        </w:r>
      </w:hyperlink>
      <w:r>
        <w:t xml:space="preserve">. The citation count measures local index coverage, not true scholarly attention, so its sparsity reflects the index as much as the documents</w:t>
      </w:r>
      <w:r>
        <w:t xml:space="preserve"> </w:t>
      </w:r>
      <w:hyperlink w:anchor="ref-13">
        <w:r>
          <w:rPr>
            <w:rStyle w:val="Hyperlink"/>
          </w:rPr>
          <w:t xml:space="preserve">[13]</w:t>
        </w:r>
      </w:hyperlink>
      <w:r>
        <w:t xml:space="preserve">. The venue score measures publishing outlet, not institutional influence, so a coarse three level rank cannot capture the real weight different venues carry in the governance conversation</w:t>
      </w:r>
      <w:r>
        <w:t xml:space="preserve"> </w:t>
      </w:r>
      <w:hyperlink w:anchor="ref-11">
        <w:r>
          <w:rPr>
            <w:rStyle w:val="Hyperlink"/>
          </w:rPr>
          <w:t xml:space="preserve">[11]</w:t>
        </w:r>
      </w:hyperlink>
      <w:r>
        <w:t xml:space="preserve">.</w:t>
      </w:r>
    </w:p>
    <w:p>
      <w:pPr>
        <w:pStyle w:val="BodyText"/>
        <w:spacing w:line="480" w:lineRule="auto"/>
        <w:ind w:firstLine="720"/>
      </w:pPr>
      <w:r>
        <w:t xml:space="preserve">None of these limits invalidates the measurement; each simply bounds what the corresponding coefficient can mean, and naming them at the source is what lets the results chapter interpret each coefficient within its proper bound rather than beyond it. The data strategy accepts these bounds as the honest price of a deterministic, auditable, small sample design, and it prefers a measurement whose limits are fully known to a richer measurement whose limits are hidden. The discussion chapter will draw on these source level statements when it assembles its threats to validity, and the fact that each limit was already visible here is what makes that later assembly a summary rather than a surprise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16"/>
    <w:bookmarkEnd w:id="117"/>
    <w:bookmarkStart w:id="126" w:name="results"/>
    <w:p>
      <w:pPr>
        <w:pStyle w:val="Heading1"/>
        <w:spacing w:line="480" w:lineRule="auto"/>
      </w:pPr>
      <w:r>
        <w:t xml:space="preserve">Results</w:t>
      </w:r>
    </w:p>
    <w:p>
      <w:pPr>
        <w:pStyle w:val="FirstParagraph"/>
        <w:spacing w:line="480" w:lineRule="auto"/>
      </w:pPr>
      <w:r>
        <w:t xml:space="preserve">This chapter reports the output of the two estimators exactly as the workbooks produced them, then interprets the signs, the magnitudes, and above all the precision. The reporting comes first. It comes unadorned. The whole design exists to let a reader see the numbers before any interpretation is placed on them. The interpretation that follows is disciplined to what the estimates can bear, and it treats an imprecise coefficient as a finding about the limits of the record rather than as a result to be quietly discarded</w:t>
      </w:r>
      <w:r>
        <w:t xml:space="preserve"> </w:t>
      </w:r>
      <w:hyperlink w:anchor="ref-3">
        <w:r>
          <w:rPr>
            <w:rStyle w:val="Hyperlink"/>
          </w:rPr>
          <w:t xml:space="preserve">[3]</w:t>
        </w:r>
      </w:hyperlink>
      <w:r>
        <w:t xml:space="preserve"> </w:t>
      </w:r>
      <w:hyperlink w:anchor="ref-15">
        <w:r>
          <w:rPr>
            <w:rStyle w:val="Hyperlink"/>
          </w:rPr>
          <w:t xml:space="preserve">[15]</w:t>
        </w:r>
      </w:hyperlink>
      <w:r>
        <w:t xml:space="preserve">.</w:t>
      </w:r>
    </w:p>
    <w:bookmarkStart w:id="118" w:name="paper-1-the-cross-sectional-model"/>
    <w:p>
      <w:pPr>
        <w:pStyle w:val="Heading2"/>
        <w:spacing w:line="480" w:lineRule="auto"/>
      </w:pPr>
      <w:r>
        <w:t xml:space="preserve">Paper 1: the cross sectional model</w:t>
      </w:r>
    </w:p>
    <w:p>
      <w:pPr>
        <w:pStyle w:val="FirstParagraph"/>
        <w:spacing w:line="480" w:lineRule="auto"/>
      </w:pPr>
      <w:r>
        <w:t xml:space="preserve">The first estimator is an ordinary least squares regression of the composite topic signal score on the recency index, the citation count, and the ordinal venue score, fitted with heteroskedasticity robust HC1 standard errors on the thirty record sample. The fit summary is: N equals 30, R squared equals 0.08896222236733509, adjusted R squared equals -0.016157521205664827, F equals 1.215066490034088, and the F test p value equals 0.32399949748885254.</w:t>
      </w:r>
    </w:p>
    <w:p>
      <w:pPr>
        <w:pStyle w:val="BodyText"/>
        <w:spacing w:line="480" w:lineRule="auto"/>
        <w:ind w:firstLine="720"/>
      </w:pPr>
      <w:r>
        <w:t xml:space="preserve">The term level estimates are as follows. The constant has a coefficient of 6.253367983726188 with a p value of 3.052699023179101e-05. The recency index has a coefficient of 0.1608092399092466 with a p value of 0.5087243451771725. The citation count has a coefficient of -0.03916645495907149 with a p value of 0.2432543509529712. The venue score has a coefficient of -0.6628555633639909 with a p value of 0.2244844912163073.</w:t>
      </w:r>
    </w:p>
    <w:p>
      <w:pPr>
        <w:pStyle w:val="BodyText"/>
        <w:spacing w:line="480" w:lineRule="auto"/>
        <w:ind w:firstLine="720"/>
      </w:pPr>
      <w:r>
        <w:t xml:space="preserve">Read the fit first. It is weak. An R squared near 0.089 means the three predictors together account for roughly nine percent of the variation in the topic signal score across the retrieved records. The adjusted R squared is slightly below zero, at about -0.016, which is the honest signal that once the model is penalized for its three parameters on thirty observations, the predictors explain no more of the variance than one would expect by chance. The joint F test, at 1.22 with a p value of 0.324, confirms this: the three predictors, taken together, are not jointly distinguishable from no relationship at conventional thresholds. These are the numbers, and they point in one direction before any single coefficient is examined.</w:t>
      </w:r>
    </w:p>
    <w:p>
      <w:pPr>
        <w:pStyle w:val="BodyText"/>
        <w:spacing w:line="480" w:lineRule="auto"/>
        <w:ind w:firstLine="720"/>
      </w:pPr>
      <w:r>
        <w:t xml:space="preserve">The constant is the only sharply estimated term, with a p value near 3.05e-05. That precision is expected and not substantively interesting: it says that the average topic signal score across the corpus is a well determined positive number, roughly 6.25 on the composite scale, which simply reflects that the retrieved records are, by construction, on topic. The constant anchors the fitted line; it does not speak to the hypotheses.</w:t>
      </w:r>
    </w:p>
    <w:p>
      <w:pPr>
        <w:pStyle w:val="BodyText"/>
        <w:spacing w:line="480" w:lineRule="auto"/>
        <w:ind w:firstLine="720"/>
      </w:pPr>
      <w:r>
        <w:t xml:space="preserve">The three predictors are where the hypotheses live. Each is imprecisely estimated. The recency index enters positively, with a coefficient of about 0.161, which is the direction the theory anticipated for a rising topic: newer records carry marginally higher signal. But the p value of 0.509 places that association well inside the range attributable to noise, so the positive sign cannot be treated as a demonstrated relationship. The theory predicted the sign and the data do not contradict it, yet the data also do not confirm it, and the honest reading holds both facts at once</w:t>
      </w:r>
      <w:r>
        <w:t xml:space="preserve"> </w:t>
      </w:r>
      <w:hyperlink w:anchor="ref-9">
        <w:r>
          <w:rPr>
            <w:rStyle w:val="Hyperlink"/>
          </w:rPr>
          <w:t xml:space="preserve">[9]</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citation count enters negatively, with a coefficient of about -0.039 and a p value of 0.243. The theory had flagged this sign as genuinely uncertain, and the negative point estimate, imprecise as it is, is consistent with the sparse citation reporting documented in the data chapter: in a corpus where many records report zero citations and the topic is carried by recent, still lightly cited work, higher citation counts do not track higher topic signal</w:t>
      </w:r>
      <w:r>
        <w:t xml:space="preserve"> </w:t>
      </w:r>
      <w:hyperlink w:anchor="ref-15">
        <w:r>
          <w:rPr>
            <w:rStyle w:val="Hyperlink"/>
          </w:rPr>
          <w:t xml:space="preserve">[15]</w:t>
        </w:r>
      </w:hyperlink>
      <w:r>
        <w:t xml:space="preserve">. The venue score also enters negatively, with a coefficient of about -0.663 and a p value of 0.224. A negative venue coefficient indicates that, if anything, topic signal is slightly higher in the lower coded conference venues than in the higher coded journal and policy venues, which is consistent with a topic still concentrated in its originating technical community rather than one that has migrated into governance oriented outlets</w:t>
      </w:r>
      <w:r>
        <w:t xml:space="preserve"> </w:t>
      </w:r>
      <w:hyperlink w:anchor="ref-3">
        <w:r>
          <w:rPr>
            <w:rStyle w:val="Hyperlink"/>
          </w:rPr>
          <w:t xml:space="preserve">[3]</w:t>
        </w:r>
      </w:hyperlink>
      <w:r>
        <w:t xml:space="preserve"> </w:t>
      </w:r>
      <w:hyperlink w:anchor="ref-11">
        <w:r>
          <w:rPr>
            <w:rStyle w:val="Hyperlink"/>
          </w:rPr>
          <w:t xml:space="preserve">[11]</w:t>
        </w:r>
      </w:hyperlink>
      <w:r>
        <w:t xml:space="preserve">. Neither negative coefficient clears a conventional significance bar, so both are read as suggestive of the corpus structure rather than as established effects.</w:t>
      </w:r>
    </w:p>
    <w:bookmarkEnd w:id="118"/>
    <w:bookmarkStart w:id="119" w:name="paper-2-the-learning-curve-model"/>
    <w:p>
      <w:pPr>
        <w:pStyle w:val="Heading2"/>
        <w:spacing w:line="480" w:lineRule="auto"/>
      </w:pPr>
      <w:r>
        <w:t xml:space="preserve">Paper 2: the learning curve model</w:t>
      </w:r>
    </w:p>
    <w:p>
      <w:pPr>
        <w:pStyle w:val="FirstParagraph"/>
        <w:spacing w:line="480" w:lineRule="auto"/>
      </w:pPr>
      <w:r>
        <w:t xml:space="preserve">The second estimator relates citation accumulation to article age in a log log form, again with HC1 robust standard errors on the thirty record sample. The fit summary is: N equals 30, R squared equals 0.02998034763839874, the elasticity coefficient equals -0.3912707240399367, and the implied progress ratio, two raised to the elasticity, equals 0.7624577367849963.</w:t>
      </w:r>
    </w:p>
    <w:p>
      <w:pPr>
        <w:pStyle w:val="BodyText"/>
        <w:spacing w:line="480" w:lineRule="auto"/>
        <w:ind w:firstLine="720"/>
      </w:pPr>
      <w:r>
        <w:t xml:space="preserve">The term level estimates are as follows. The constant has a coefficient of 1.2867010209607117 with a p value of 0.02224551516825301. The log age term has a coefficient of -0.3912707240399367 with a p value of 0.31811923231550265.</w:t>
      </w:r>
    </w:p>
    <w:p>
      <w:pPr>
        <w:pStyle w:val="BodyText"/>
        <w:spacing w:line="480" w:lineRule="auto"/>
        <w:ind w:firstLine="720"/>
      </w:pPr>
      <w:r>
        <w:t xml:space="preserve">The fit is weak by construction of the evidence, not by error. An R squared of about 0.030 means article age accounts for roughly three percent of the variation in logged citation accumulation across the corpus. The constant, at about 1.287 with a p value near 0.022, is the one term that clears conventional significance; like the constant in the first model it is an anchor rather than a test, fixing the level of the fitted curve at the reference age.</w:t>
      </w:r>
    </w:p>
    <w:p>
      <w:pPr>
        <w:pStyle w:val="BodyText"/>
        <w:spacing w:line="480" w:lineRule="auto"/>
        <w:ind w:firstLine="720"/>
      </w:pPr>
      <w:r>
        <w:t xml:space="preserve">The elasticity is the quantity the theory cared about, and it is both negative and imprecise. Its value is about -0.391, with a p value of 0.318. A negative elasticity says that, within this corpus, older documents do not carry more accumulated citations; if anything the point estimate leans the other way, with citation counts slightly lower among the older records. The implied progress ratio of about 0.762 restates the same fact in learning curve terms: as article age doubles, the fitted citation measure falls to roughly seventy six percent of its prior value rather than rising. Because the p value sits at 0.318, this negative relationship is not statistically distinguishable from no relationship, so the responsible conclusion is that age does not organize citation attention in the retrieved record in any direction the data can pin down</w:t>
      </w:r>
      <w:r>
        <w:t xml:space="preserve"> </w:t>
      </w:r>
      <w:hyperlink w:anchor="ref-13">
        <w:r>
          <w:rPr>
            <w:rStyle w:val="Hyperlink"/>
          </w:rPr>
          <w:t xml:space="preserve">[13]</w:t>
        </w:r>
      </w:hyperlink>
      <w:r>
        <w:t xml:space="preserve">.</w:t>
      </w:r>
    </w:p>
    <w:p>
      <w:pPr>
        <w:pStyle w:val="BodyText"/>
        <w:spacing w:line="480" w:lineRule="auto"/>
        <w:ind w:firstLine="720"/>
      </w:pPr>
      <w:r>
        <w:t xml:space="preserve">That result is informative rather than empty. The theory posed the possibility that an accumulating evidence base would show older documents carrying more attention, the ordinary signature of a maturing field. The corpus does not show that signature. Combined with the sparse citation reporting documented earlier, the most defensible reading is that this is a young, conference weighted literature in which citation counts have not yet sorted themselves by document age, which is exactly what one would expect of a topic still early in its arc</w:t>
      </w:r>
      <w:r>
        <w:t xml:space="preserve"> </w:t>
      </w:r>
      <w:hyperlink w:anchor="ref-5">
        <w:r>
          <w:rPr>
            <w:rStyle w:val="Hyperlink"/>
          </w:rPr>
          <w:t xml:space="preserve">[5]</w:t>
        </w:r>
      </w:hyperlink>
      <w:r>
        <w:t xml:space="preserve"> </w:t>
      </w:r>
      <w:hyperlink w:anchor="ref-14">
        <w:r>
          <w:rPr>
            <w:rStyle w:val="Hyperlink"/>
          </w:rPr>
          <w:t xml:space="preserve">[14]</w:t>
        </w:r>
      </w:hyperlink>
      <w:r>
        <w:t xml:space="preserve">.</w:t>
      </w:r>
    </w:p>
    <w:bookmarkEnd w:id="119"/>
    <w:bookmarkStart w:id="120" w:name="reading-the-two-results-together"/>
    <w:p>
      <w:pPr>
        <w:pStyle w:val="Heading2"/>
        <w:spacing w:line="480" w:lineRule="auto"/>
      </w:pPr>
      <w:r>
        <w:t xml:space="preserve">Reading the two results together</w:t>
      </w:r>
    </w:p>
    <w:p>
      <w:pPr>
        <w:pStyle w:val="FirstParagraph"/>
        <w:spacing w:line="480" w:lineRule="auto"/>
      </w:pPr>
      <w:r>
        <w:t xml:space="preserve">Taken together the two estimators tell a coherent and appropriately modest story. The cross sectional model finds the topic signal weakly and insignificantly related to recency, citation, and venue, with a joint F test that does not reject the null of no relationship. The temporal model finds citation accumulation weakly and insignificantly related to article age, with a negative elasticity that cannot be distinguished from zero. Neither model rejects its null at conventional levels on this sample</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null hypothesis of the dissertation, that the candidate topic signal is unrelated to publication recency, citation attention, and venue family in the retrieved corpus, therefore survives this test.</w:t>
      </w:r>
    </w:p>
    <w:p>
      <w:pPr>
        <w:pStyle w:val="BodyText"/>
        <w:spacing w:line="480" w:lineRule="auto"/>
        <w:ind w:firstLine="720"/>
      </w:pPr>
      <w:r>
        <w:t xml:space="preserve">That is a real result. It is the result the design was built to be able to return. A screen that could only confirm a rising topic would be no screen at all. What these estimators show is that, in a small, honestly assembled, conference weighted corpus, the polycentric cislunar traffic management topic is not yet strongly patterned by the observable metadata signals, and that either the pattern is genuinely faint at this stage of the field or the sample is too small to detect it, or both</w:t>
      </w:r>
      <w:r>
        <w:t xml:space="preserve"> </w:t>
      </w:r>
      <w:hyperlink w:anchor="ref-4">
        <w:r>
          <w:rPr>
            <w:rStyle w:val="Hyperlink"/>
          </w:rPr>
          <w:t xml:space="preserve">[4]</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What the results do not show is equally important to state. They do not show that the topic is unimportant, that a polycentric arrangement will not emerge, or that the governance transition documented elsewhere is illusory</w:t>
      </w:r>
      <w:r>
        <w:t xml:space="preserve"> </w:t>
      </w:r>
      <w:hyperlink w:anchor="ref-11">
        <w:r>
          <w:rPr>
            <w:rStyle w:val="Hyperlink"/>
          </w:rPr>
          <w:t xml:space="preserve">[11]</w:t>
        </w:r>
      </w:hyperlink>
      <w:r>
        <w:t xml:space="preserve">. They show only what the retrieved record contains when read through these three metadata signals and this age curve. The value of the exercise is that it tells a later, fuller study precisely where to push: toward a larger source universe, toward richer and more complete citation data, and toward direct document coding that can detect structure these coarse signals miss</w:t>
      </w:r>
      <w:r>
        <w:t xml:space="preserve"> </w:t>
      </w:r>
      <w:hyperlink w:anchor="ref-6">
        <w:r>
          <w:rPr>
            <w:rStyle w:val="Hyperlink"/>
          </w:rPr>
          <w:t xml:space="preserve">[6]</w:t>
        </w:r>
      </w:hyperlink>
      <w:r>
        <w:t xml:space="preserve"> </w:t>
      </w:r>
      <w:hyperlink w:anchor="ref-9">
        <w:r>
          <w:rPr>
            <w:rStyle w:val="Hyperlink"/>
          </w:rPr>
          <w:t xml:space="preserve">[9]</w:t>
        </w:r>
      </w:hyperlink>
      <w:r>
        <w:t xml:space="preserve">. The findings are not a verdict on the domain. They are an auditable measurement step, and they are reported here exactly as the workbooks produced them.</w:t>
      </w:r>
    </w:p>
    <w:bookmarkEnd w:id="120"/>
    <w:bookmarkStart w:id="121" w:name="magnitudes-in-context"/>
    <w:p>
      <w:pPr>
        <w:pStyle w:val="Heading2"/>
        <w:spacing w:line="480" w:lineRule="auto"/>
      </w:pPr>
      <w:r>
        <w:t xml:space="preserve">Magnitudes in context</w:t>
      </w:r>
    </w:p>
    <w:p>
      <w:pPr>
        <w:pStyle w:val="FirstParagraph"/>
        <w:spacing w:line="480" w:lineRule="auto"/>
      </w:pPr>
      <w:r>
        <w:t xml:space="preserve">Beyond significance, the magnitudes deserve a reading, because a coefficient can be substantively small even when it is precisely estimated, and here the point estimates are informative about scale. The recency coefficient of about 0.161 means that a one unit increase in the recency index, roughly one year of vintage on the sample’s compact scale, is associated with about a sixth of a point higher topic signal on a composite that ranges into the high single digits. Even taken at face value and ignoring its imprecision, that is a modest slope: several years of recency would move the topic signal by roughly one point</w:t>
      </w:r>
      <w:r>
        <w:t xml:space="preserve"> </w:t>
      </w:r>
      <w:hyperlink w:anchor="ref-9">
        <w:r>
          <w:rPr>
            <w:rStyle w:val="Hyperlink"/>
          </w:rPr>
          <w:t xml:space="preserve">[9]</w:t>
        </w:r>
      </w:hyperlink>
      <w:r>
        <w:t xml:space="preserve">. The theory’s expectation of a rising topic, if true, is not showing up as a steep gradient in this corpus.</w:t>
      </w:r>
    </w:p>
    <w:p>
      <w:pPr>
        <w:pStyle w:val="BodyText"/>
        <w:spacing w:line="480" w:lineRule="auto"/>
        <w:ind w:firstLine="720"/>
      </w:pPr>
      <w:r>
        <w:t xml:space="preserve">The venue coefficient of about -0.663 is the largest in absolute terms, and its magnitude is worth noting even though its p value of 0.224 keeps it from significance. A drop of roughly two thirds of a point in topic signal for each step up the venue scale, from conference to journal to policy venue, is a non trivial slope on the composite scale. Read cautiously, it is consistent with the venue distribution documented in the data chapter, where the topic massed in conference proceedings, and it points the same direction: whatever signal exists suggests concentration in the technical origin venues rather than migration outward</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citation coefficient of about -0.039 is small in magnitude as well as imprecise, which fits the sparse citation distribution in which the predictor barely varies</w:t>
      </w:r>
      <w:r>
        <w:t xml:space="preserve"> </w:t>
      </w:r>
      <w:hyperlink w:anchor="ref-15">
        <w:r>
          <w:rPr>
            <w:rStyle w:val="Hyperlink"/>
          </w:rPr>
          <w:t xml:space="preserve">[15]</w:t>
        </w:r>
      </w:hyperlink>
      <w:r>
        <w:t xml:space="preserve">.</w:t>
      </w:r>
    </w:p>
    <w:bookmarkEnd w:id="121"/>
    <w:bookmarkStart w:id="122" w:name="the-learning-curve-magnitude"/>
    <w:p>
      <w:pPr>
        <w:pStyle w:val="Heading2"/>
        <w:spacing w:line="480" w:lineRule="auto"/>
      </w:pPr>
      <w:r>
        <w:t xml:space="preserve">The learning curve magnitude</w:t>
      </w:r>
    </w:p>
    <w:p>
      <w:pPr>
        <w:pStyle w:val="FirstParagraph"/>
        <w:spacing w:line="480" w:lineRule="auto"/>
      </w:pPr>
      <w:r>
        <w:t xml:space="preserve">The learning curve elasticity of about -0.391 and its progress ratio of about 0.762 also reward a magnitude reading. An elasticity of that size, were it precisely estimated, would describe a meaningful negative gradient: a doubling of article age associated with citation accumulation falling to roughly three quarters of its prior level. That is not a trivial slope. But the p value of 0.318 means the confidence interval around the elasticity comfortably includes zero and a range of positive and negative values, so the apparent gradient cannot be relied on</w:t>
      </w:r>
      <w:r>
        <w:t xml:space="preserve"> </w:t>
      </w:r>
      <w:hyperlink w:anchor="ref-13">
        <w:r>
          <w:rPr>
            <w:rStyle w:val="Hyperlink"/>
          </w:rPr>
          <w:t xml:space="preserve">[13]</w:t>
        </w:r>
      </w:hyperlink>
      <w:r>
        <w:t xml:space="preserve">. The honest statement is that the point estimate leans negative while the inference cannot exclude no relationship, and the progress ratio should be read as a descriptive summary of the fitted slope rather than as an established rate.</w:t>
      </w:r>
    </w:p>
    <w:p>
      <w:pPr>
        <w:pStyle w:val="BodyText"/>
        <w:spacing w:line="480" w:lineRule="auto"/>
        <w:ind w:firstLine="720"/>
      </w:pPr>
      <w:r>
        <w:t xml:space="preserve">Placing the two model fits side by side clarifies the overall picture. The cross sectional R squared of about 0.089 and the temporal R squared of about 0.030 are both low, and the adjusted R squared of the cross sectional model, at about -0.016, is the sharpest single statistic in the chapter, because a negative adjusted R squared is an unambiguous signal that the predictors add no explanatory value beyond chance once the model is penalized for its parameters</w:t>
      </w:r>
      <w:r>
        <w:t xml:space="preserve"> </w:t>
      </w:r>
      <w:hyperlink w:anchor="ref-3">
        <w:r>
          <w:rPr>
            <w:rStyle w:val="Hyperlink"/>
          </w:rPr>
          <w:t xml:space="preserve">[3]</w:t>
        </w:r>
      </w:hyperlink>
      <w:r>
        <w:t xml:space="preserve"> </w:t>
      </w:r>
      <w:hyperlink w:anchor="ref-4">
        <w:r>
          <w:rPr>
            <w:rStyle w:val="Hyperlink"/>
          </w:rPr>
          <w:t xml:space="preserve">[4]</w:t>
        </w:r>
      </w:hyperlink>
      <w:r>
        <w:t xml:space="preserve">. Neither model explains much of the variation in its outcome, and both F tests and slope p values agree that the explanation they do offer is not statistically reliable.</w:t>
      </w:r>
    </w:p>
    <w:bookmarkEnd w:id="122"/>
    <w:bookmarkStart w:id="123" w:name="robustness-of-the-reading"/>
    <w:p>
      <w:pPr>
        <w:pStyle w:val="Heading2"/>
        <w:spacing w:line="480" w:lineRule="auto"/>
      </w:pPr>
      <w:r>
        <w:t xml:space="preserve">Robustness of the reading</w:t>
      </w:r>
    </w:p>
    <w:p>
      <w:pPr>
        <w:pStyle w:val="FirstParagraph"/>
        <w:spacing w:line="480" w:lineRule="auto"/>
      </w:pPr>
      <w:r>
        <w:t xml:space="preserve">A reader is entitled to ask whether these conclusions are fragile. Within the constraints of a design stage study, several features of the result argue that the reading is stable rather than an artifact. The two estimators ask different questions, use different outcomes, and share only the underlying records, yet both return low fit and imprecise slopes, which is a form of internal corroboration: the topic is faint on the cross sectional axis and faint on the temporal axis alike</w:t>
      </w:r>
      <w:r>
        <w:t xml:space="preserve"> </w:t>
      </w:r>
      <w:hyperlink w:anchor="ref-13">
        <w:r>
          <w:rPr>
            <w:rStyle w:val="Hyperlink"/>
          </w:rPr>
          <w:t xml:space="preserve">[13]</w:t>
        </w:r>
      </w:hyperlink>
      <w:r>
        <w:t xml:space="preserve">. The robust HC1 standard errors, chosen precisely because the records are heterogeneous, are what underpin the significance statements, so the imprecision is not an artifact of assuming constant error variance</w:t>
      </w:r>
      <w:r>
        <w:t xml:space="preserve"> </w:t>
      </w:r>
      <w:hyperlink w:anchor="ref-4">
        <w:r>
          <w:rPr>
            <w:rStyle w:val="Hyperlink"/>
          </w:rPr>
          <w:t xml:space="preserve">[4]</w:t>
        </w:r>
      </w:hyperlink>
      <w:r>
        <w:t xml:space="preserve">. And because every record preserves its source field, no single influential observation can be driving the result unnoticed; the influence of any record is traceable rather than hidden</w:t>
      </w:r>
      <w:r>
        <w:t xml:space="preserve"> </w:t>
      </w:r>
      <w:hyperlink w:anchor="ref-15">
        <w:r>
          <w:rPr>
            <w:rStyle w:val="Hyperlink"/>
          </w:rPr>
          <w:t xml:space="preserve">[15]</w:t>
        </w:r>
      </w:hyperlink>
      <w:r>
        <w:t xml:space="preserve">.</w:t>
      </w:r>
    </w:p>
    <w:p>
      <w:pPr>
        <w:pStyle w:val="BodyText"/>
        <w:spacing w:line="480" w:lineRule="auto"/>
        <w:ind w:firstLine="720"/>
      </w:pPr>
      <w:r>
        <w:t xml:space="preserve">What would change the reading is not a different analysis of these thirty records but more and better data, which is precisely the recommendation the discussion and conclusion chapters carry forward. The result reported here is robust in the narrow sense that matters for a design stage study: given this corpus and these transparent estimators, the topic signal is not strongly structured, and that statement holds across both models, under robust inference, with every input open to inspection</w:t>
      </w:r>
      <w:r>
        <w:t xml:space="preserve"> </w:t>
      </w:r>
      <w:hyperlink w:anchor="ref-6">
        <w:r>
          <w:rPr>
            <w:rStyle w:val="Hyperlink"/>
          </w:rPr>
          <w:t xml:space="preserve">[6]</w:t>
        </w:r>
      </w:hyperlink>
      <w:r>
        <w:t xml:space="preserve"> </w:t>
      </w:r>
      <w:hyperlink w:anchor="ref-9">
        <w:r>
          <w:rPr>
            <w:rStyle w:val="Hyperlink"/>
          </w:rPr>
          <w:t xml:space="preserve">[9]</w:t>
        </w:r>
      </w:hyperlink>
      <w:r>
        <w:t xml:space="preserve">. The numbers are the numbers, and the interpretation goes exactly as far as they allow and stops there.</w:t>
      </w:r>
    </w:p>
    <w:bookmarkEnd w:id="123"/>
    <w:bookmarkStart w:id="124" w:name="X1a56ed73856348a39f8b334be6cd79dd3d0bb32"/>
    <w:p>
      <w:pPr>
        <w:pStyle w:val="Heading2"/>
        <w:spacing w:line="480" w:lineRule="auto"/>
      </w:pPr>
      <w:r>
        <w:t xml:space="preserve">Relating the estimates back to the hypotheses</w:t>
      </w:r>
    </w:p>
    <w:p>
      <w:pPr>
        <w:pStyle w:val="FirstParagraph"/>
        <w:spacing w:line="480" w:lineRule="auto"/>
      </w:pPr>
      <w:r>
        <w:t xml:space="preserve">Each hypothesis pair deserves an explicit verdict against the numbers, so that the reader is not left to infer the mapping. For the cross sectional structure, the null held that the topic signal score is unrelated to recency, citation, and venue. The joint F test p value of about 0.324 does not permit rejecting that null, and the negative adjusted R squared of about -0.016 reinforces it, so the verdict is that the cross sectional null survives</w:t>
      </w:r>
      <w:r>
        <w:t xml:space="preserve"> </w:t>
      </w:r>
      <w:hyperlink w:anchor="ref-3">
        <w:r>
          <w:rPr>
            <w:rStyle w:val="Hyperlink"/>
          </w:rPr>
          <w:t xml:space="preserve">[3]</w:t>
        </w:r>
      </w:hyperlink>
      <w:r>
        <w:t xml:space="preserve">. The alternative had expected recency to enter positively if the idea were rising; the recency coefficient of about 0.161 does carry the predicted sign, but its p value of about 0.509 denies it any inferential standing, so the directional agreement is noted without being counted as support</w:t>
      </w:r>
      <w:r>
        <w:t xml:space="preserve"> </w:t>
      </w:r>
      <w:hyperlink w:anchor="ref-9">
        <w:r>
          <w:rPr>
            <w:rStyle w:val="Hyperlink"/>
          </w:rPr>
          <w:t xml:space="preserve">[9]</w:t>
        </w:r>
      </w:hyperlink>
      <w:r>
        <w:t xml:space="preserve">.</w:t>
      </w:r>
    </w:p>
    <w:p>
      <w:pPr>
        <w:pStyle w:val="BodyText"/>
        <w:spacing w:line="480" w:lineRule="auto"/>
        <w:ind w:firstLine="720"/>
      </w:pPr>
      <w:r>
        <w:t xml:space="preserve">For the temporal structure, the null held that citation accumulation is unrelated to article age. The age elasticity of about -0.391 carries a p value of about 0.318, which does not permit rejecting that null either, so the temporal null survives as well</w:t>
      </w:r>
      <w:r>
        <w:t xml:space="preserve"> </w:t>
      </w:r>
      <w:hyperlink w:anchor="ref-13">
        <w:r>
          <w:rPr>
            <w:rStyle w:val="Hyperlink"/>
          </w:rPr>
          <w:t xml:space="preserve">[13]</w:t>
        </w:r>
      </w:hyperlink>
      <w:r>
        <w:t xml:space="preserve">. The alternative had allowed for a positive elasticity as the signature of an accumulating evidence base; the estimate leans negative rather than positive, and in any case cannot be distinguished from zero, so the accumulating base signature is absent from this corpus. Both hypothesis pairs therefore resolve the same way: the null stands, and the directional details are read as description rather than as evidence</w:t>
      </w:r>
      <w:r>
        <w:t xml:space="preserve"> </w:t>
      </w:r>
      <w:hyperlink w:anchor="ref-5">
        <w:r>
          <w:rPr>
            <w:rStyle w:val="Hyperlink"/>
          </w:rPr>
          <w:t xml:space="preserve">[5]</w:t>
        </w:r>
      </w:hyperlink>
      <w:r>
        <w:t xml:space="preserve">.</w:t>
      </w:r>
    </w:p>
    <w:bookmarkEnd w:id="124"/>
    <w:bookmarkStart w:id="125" w:name="why-the-low-fit-is-the-honest-headline"/>
    <w:p>
      <w:pPr>
        <w:pStyle w:val="Heading2"/>
        <w:spacing w:line="480" w:lineRule="auto"/>
      </w:pPr>
      <w:r>
        <w:t xml:space="preserve">Why the low fit is the honest headline</w:t>
      </w:r>
    </w:p>
    <w:p>
      <w:pPr>
        <w:pStyle w:val="FirstParagraph"/>
        <w:spacing w:line="480" w:lineRule="auto"/>
      </w:pPr>
      <w:r>
        <w:t xml:space="preserve">If a single sentence had to summarize the results, it would center on the fit rather than any one coefficient, because the fit statistics are the least ambiguous numbers in the chapter. A cross sectional adjusted R squared below zero and a temporal R squared of about 0.030 together say that the observable metadata signals account for almost none of the variation in either topic saturation or citation accumulation across these records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That is a cleaner headline than any slope, because a slope invites a story about direction while the fit statistics simply report how little the model explains, and honesty is better served by leading with the latter.</w:t>
      </w:r>
    </w:p>
    <w:p>
      <w:pPr>
        <w:pStyle w:val="BodyText"/>
        <w:spacing w:line="480" w:lineRule="auto"/>
        <w:ind w:firstLine="720"/>
      </w:pPr>
      <w:r>
        <w:t xml:space="preserve">Leading with the fit also frames the two most likely explanations correctly. Either the topic genuinely lacks strong metadata structure at this early stage of the field, or the thirty record sample is too small for the estimators to detect structure that exists, and the low fit is consistent with both</w:t>
      </w:r>
      <w:r>
        <w:t xml:space="preserve"> </w:t>
      </w:r>
      <w:hyperlink w:anchor="ref-13">
        <w:r>
          <w:rPr>
            <w:rStyle w:val="Hyperlink"/>
          </w:rPr>
          <w:t xml:space="preserve">[13]</w:t>
        </w:r>
      </w:hyperlink>
      <w:r>
        <w:t xml:space="preserve"> </w:t>
      </w:r>
      <w:hyperlink w:anchor="ref-15">
        <w:r>
          <w:rPr>
            <w:rStyle w:val="Hyperlink"/>
          </w:rPr>
          <w:t xml:space="preserve">[15]</w:t>
        </w:r>
      </w:hyperlink>
      <w:r>
        <w:t xml:space="preserve">. The results chapter does not adjudicate between them, because the data cannot, and pretending to choose would overstate what the numbers support. What the numbers do support is the modest, robust claim that this corpus, read through these signals, does not display strong structure, and that claim is the result the discussion and conclusion chapters take forward exactly as stated</w:t>
      </w:r>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bookmarkEnd w:id="125"/>
    <w:bookmarkEnd w:id="126"/>
    <w:bookmarkStart w:id="137" w:name="discussion-and-limitations"/>
    <w:p>
      <w:pPr>
        <w:pStyle w:val="Heading1"/>
        <w:spacing w:line="480" w:lineRule="auto"/>
      </w:pPr>
      <w:r>
        <w:t xml:space="preserve">Discussion and Limitations</w:t>
      </w:r>
    </w:p>
    <w:p>
      <w:pPr>
        <w:pStyle w:val="FirstParagraph"/>
        <w:spacing w:line="480" w:lineRule="auto"/>
      </w:pPr>
      <w:r>
        <w:t xml:space="preserve">The results chapter reported two estimators that fail to reject their nulls on a thirty record sample. This chapter takes up what that means. A weak result is not a failed result, and reading it well requires separating three questions that are easy to conflate: what the findings say about the topic, what they say about the method, and where the threats to validity leave the interpretation. Each deserves a careful answer, because the discipline of the whole project is precisely in not letting the prose outrun the evidence</w:t>
      </w:r>
      <w:r>
        <w:t xml:space="preserve"> </w:t>
      </w:r>
      <w:hyperlink w:anchor="ref-3">
        <w:r>
          <w:rPr>
            <w:rStyle w:val="Hyperlink"/>
          </w:rPr>
          <w:t xml:space="preserve">[3]</w:t>
        </w:r>
      </w:hyperlink>
      <w:r>
        <w:t xml:space="preserve"> </w:t>
      </w:r>
      <w:hyperlink w:anchor="ref-15">
        <w:r>
          <w:rPr>
            <w:rStyle w:val="Hyperlink"/>
          </w:rPr>
          <w:t xml:space="preserve">[15]</w:t>
        </w:r>
      </w:hyperlink>
      <w:r>
        <w:t xml:space="preserve">.</w:t>
      </w:r>
    </w:p>
    <w:bookmarkStart w:id="127" w:name="what-the-findings-mean"/>
    <w:p>
      <w:pPr>
        <w:pStyle w:val="Heading2"/>
        <w:spacing w:line="480" w:lineRule="auto"/>
      </w:pPr>
      <w:r>
        <w:t xml:space="preserve">What the findings mean</w:t>
      </w:r>
    </w:p>
    <w:p>
      <w:pPr>
        <w:pStyle w:val="FirstParagraph"/>
        <w:spacing w:line="480" w:lineRule="auto"/>
      </w:pPr>
      <w:r>
        <w:t xml:space="preserve">Start with the plainest meaning. The topic is not yet strongly structured in the retrieved metadata. Neither recency, nor citation attention, nor venue family carries a statistically distinguishable relationship to the topic signal, and article age does not organize citation accumulation in any direction the data can pin down. Read against the theory, this places the topic early in its arc: an idea whose engineering foundations are visible in a conference weighted literature, but whose migration into archival and policy venues, and whose accumulation of citation attention over time, has not yet produced a detectable metadata footprint</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That reading is consistent with the substantive literature rather than at odds with it. The governance transition toward distributed arrangements is documented, but it is described as ongoing rather than complete</w:t>
      </w:r>
      <w:r>
        <w:t xml:space="preserve"> </w:t>
      </w:r>
      <w:hyperlink w:anchor="ref-11">
        <w:r>
          <w:rPr>
            <w:rStyle w:val="Hyperlink"/>
          </w:rPr>
          <w:t xml:space="preserve">[11]</w:t>
        </w:r>
      </w:hyperlink>
      <w:r>
        <w:t xml:space="preserve">. The trust and information sharing mechanisms that would underpin a polycentric arrangement are argued for as enablers, not reported as accomplished facts</w:t>
      </w:r>
      <w:r>
        <w:t xml:space="preserve"> </w:t>
      </w:r>
      <w:hyperlink w:anchor="ref-1">
        <w:r>
          <w:rPr>
            <w:rStyle w:val="Hyperlink"/>
          </w:rPr>
          <w:t xml:space="preserve">[1]</w:t>
        </w:r>
      </w:hyperlink>
      <w:r>
        <w:t xml:space="preserve"> </w:t>
      </w:r>
      <w:hyperlink w:anchor="ref-6">
        <w:r>
          <w:rPr>
            <w:rStyle w:val="Hyperlink"/>
          </w:rPr>
          <w:t xml:space="preserve">[6]</w:t>
        </w:r>
      </w:hyperlink>
      <w:r>
        <w:t xml:space="preserve">. A corpus that shows the topic present but not yet strongly patterned is exactly what one would expect of an idea in that intermediate state. The finding does not contradict the enthusiasm in the field; it locates that enthusiasm ahead of the documentary evidence, which is a useful thing for a governance conversation to know</w:t>
      </w:r>
      <w:r>
        <w:t xml:space="preserve"> </w:t>
      </w:r>
      <w:hyperlink w:anchor="ref-5">
        <w:r>
          <w:rPr>
            <w:rStyle w:val="Hyperlink"/>
          </w:rPr>
          <w:t xml:space="preserve">[5]</w:t>
        </w:r>
      </w:hyperlink>
      <w:r>
        <w:t xml:space="preserve">.</w:t>
      </w:r>
    </w:p>
    <w:p>
      <w:pPr>
        <w:pStyle w:val="BodyText"/>
        <w:spacing w:line="480" w:lineRule="auto"/>
        <w:ind w:firstLine="720"/>
      </w:pPr>
      <w:r>
        <w:t xml:space="preserve">There is a positive contribution buried in the negative result. By showing which signals are flat, the study tells the field where the informative variation is not, and by implication where a richer design would have to look. If recency, sparse citation counts, and a three level venue code do not separate the topic, then a fuller test needs finer instruments: complete citation data, a larger and more venue diverse corpus, and direct coding of document content rather than metadata proxies</w:t>
      </w:r>
      <w:r>
        <w:t xml:space="preserve"> </w:t>
      </w:r>
      <w:hyperlink w:anchor="ref-13">
        <w:r>
          <w:rPr>
            <w:rStyle w:val="Hyperlink"/>
          </w:rPr>
          <w:t xml:space="preserve">[13]</w:t>
        </w:r>
      </w:hyperlink>
      <w:r>
        <w:t xml:space="preserve"> </w:t>
      </w:r>
      <w:hyperlink w:anchor="ref-15">
        <w:r>
          <w:rPr>
            <w:rStyle w:val="Hyperlink"/>
          </w:rPr>
          <w:t xml:space="preserve">[15]</w:t>
        </w:r>
      </w:hyperlink>
      <w:r>
        <w:t xml:space="preserve">. A study that returned a sharp but fragile positive on thirty records would have been less useful, because it would have invited overconfidence rather than pointing to the next measurement.</w:t>
      </w:r>
    </w:p>
    <w:bookmarkEnd w:id="127"/>
    <w:bookmarkStart w:id="128" w:name="what-the-findings-say-about-the-method"/>
    <w:p>
      <w:pPr>
        <w:pStyle w:val="Heading2"/>
        <w:spacing w:line="480" w:lineRule="auto"/>
      </w:pPr>
      <w:r>
        <w:t xml:space="preserve">What the findings say about the method</w:t>
      </w:r>
    </w:p>
    <w:p>
      <w:pPr>
        <w:pStyle w:val="FirstParagraph"/>
        <w:spacing w:line="480" w:lineRule="auto"/>
      </w:pPr>
      <w:r>
        <w:t xml:space="preserve">The second meaning is methodological, and here the result is genuinely encouraging. The machinery worked. A governance claim that usually lives in narrative was converted into two estimators, run on real records with preserved provenance, and reported with full fit statistics and honest standard errors. The chain from source selection to variable construction to estimator output to interpretation held at every link, and a reader can walk it in either direction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value of a design stage dissertation is measured partly by whether the method is sound enough to scale, and a method that returns a clean, interpretable null on a small sample has demonstrated exactly that soundness.</w:t>
      </w:r>
    </w:p>
    <w:p>
      <w:pPr>
        <w:pStyle w:val="BodyText"/>
        <w:spacing w:line="480" w:lineRule="auto"/>
        <w:ind w:firstLine="720"/>
      </w:pPr>
      <w:r>
        <w:t xml:space="preserve">The two estimator structure also proved its worth. The cross sectional model and the temporal model asked distinct questions and returned distinct, non redundant answers, which confirms that neither was a restatement of the other</w:t>
      </w:r>
      <w:r>
        <w:t xml:space="preserve"> </w:t>
      </w:r>
      <w:hyperlink w:anchor="ref-13">
        <w:r>
          <w:rPr>
            <w:rStyle w:val="Hyperlink"/>
          </w:rPr>
          <w:t xml:space="preserve">[13]</w:t>
        </w:r>
      </w:hyperlink>
      <w:r>
        <w:t xml:space="preserve">. Had the project relied on a single specification, it could not have distinguished a topic that lacks contemporaneous structure from one that lacks temporal accumulation. Running both showed that the topic is faint on both axes, a stronger and more specific conclusion than either model alone could support.</w:t>
      </w:r>
    </w:p>
    <w:bookmarkEnd w:id="128"/>
    <w:bookmarkStart w:id="129" w:name="threats-to-validity"/>
    <w:p>
      <w:pPr>
        <w:pStyle w:val="Heading2"/>
        <w:spacing w:line="480" w:lineRule="auto"/>
      </w:pPr>
      <w:r>
        <w:t xml:space="preserve">Threats to validity</w:t>
      </w:r>
    </w:p>
    <w:p>
      <w:pPr>
        <w:pStyle w:val="FirstParagraph"/>
        <w:spacing w:line="480" w:lineRule="auto"/>
      </w:pPr>
      <w:r>
        <w:t xml:space="preserve">Honesty about threats is not a concession appended at the end; it sets the ceiling on every claim above. Four threats bear most directly on this design.</w:t>
      </w:r>
    </w:p>
    <w:p>
      <w:pPr>
        <w:pStyle w:val="BodyText"/>
        <w:spacing w:line="480" w:lineRule="auto"/>
        <w:ind w:firstLine="720"/>
      </w:pPr>
      <w:r>
        <w:t xml:space="preserve">Source selection is the first. The corpus is the set of records the retrieval surfaced, not a census of the field, and a different retrieval could yield a different sample with different structure. If the retrieval systematically favored conference proceedings, the venue coefficient would reflect that selection as much as any genuine migration of the idea across communities</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design mitigates this only partially, by preserving every source field so the selection is at least inspectable, and the fuller study named below would need a broader and more deliberately balanced source universe.</w:t>
      </w:r>
    </w:p>
    <w:p>
      <w:pPr>
        <w:pStyle w:val="BodyText"/>
        <w:spacing w:line="480" w:lineRule="auto"/>
        <w:ind w:firstLine="720"/>
      </w:pPr>
      <w:r>
        <w:t xml:space="preserve">Proxy measurement is the second. The topic signal score, the citation count, and the venue code are proxies, and each is imperfect. A deterministic term count captures the presence of vocabulary, not the depth of a governance argument. A sparse citation field, drawn from a local index, undercounts attention relative to a complete bibliometric database. An ordinal three level venue scale compresses a rich publishing landscape into a coarse rank</w:t>
      </w:r>
      <w:r>
        <w:t xml:space="preserve"> </w:t>
      </w:r>
      <w:hyperlink w:anchor="ref-15">
        <w:r>
          <w:rPr>
            <w:rStyle w:val="Hyperlink"/>
          </w:rPr>
          <w:t xml:space="preserve">[15]</w:t>
        </w:r>
      </w:hyperlink>
      <w:r>
        <w:t xml:space="preserve">. The results must be read as evidence about these proxies, and the negative citation and venue coefficients in particular are as likely to reflect proxy weakness as substantive absence.</w:t>
      </w:r>
    </w:p>
    <w:p>
      <w:pPr>
        <w:pStyle w:val="BodyText"/>
        <w:spacing w:line="480" w:lineRule="auto"/>
        <w:ind w:firstLine="720"/>
      </w:pPr>
      <w:r>
        <w:t xml:space="preserve">Omitted variables are the third. A metadata model cannot include the technical, institutional, and market drivers that actually shape where and when a governance idea appears. Funding cycles, mission announcements, and conference themes could all move both a predictor and the topic signal without appearing in the model</w:t>
      </w:r>
      <w:r>
        <w:t xml:space="preserve"> </w:t>
      </w:r>
      <w:hyperlink w:anchor="ref-14">
        <w:r>
          <w:rPr>
            <w:rStyle w:val="Hyperlink"/>
          </w:rPr>
          <w:t xml:space="preserve">[14]</w:t>
        </w:r>
      </w:hyperlink>
      <w:r>
        <w:t xml:space="preserve">. Because the design is observational and small, it makes no claim to have controlled these drivers, and the coefficients are partial associations within the corpus rather than effects purged of confounding.</w:t>
      </w:r>
    </w:p>
    <w:p>
      <w:pPr>
        <w:pStyle w:val="BodyText"/>
        <w:spacing w:line="480" w:lineRule="auto"/>
        <w:ind w:firstLine="720"/>
      </w:pPr>
      <w:r>
        <w:t xml:space="preserve">Overinterpretation is the fourth and the one the design most actively guards against. The temptation with a signed but insignificant coefficient is to narrate the sign as if it were a result. The results chapter refused that move, reporting the recency coefficient as directionally consistent with theory but statistically silent, and the same discipline governs this discussion. A p value of 0.509 or 0.318 does not license a story about rising recency or declining age attention; it licenses a statement that the data cannot resolve the question</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129"/>
    <w:bookmarkStart w:id="130" w:name="what-the-data-cannot-show"/>
    <w:p>
      <w:pPr>
        <w:pStyle w:val="Heading2"/>
        <w:spacing w:line="480" w:lineRule="auto"/>
      </w:pPr>
      <w:r>
        <w:t xml:space="preserve">What the data cannot show</w:t>
      </w:r>
    </w:p>
    <w:p>
      <w:pPr>
        <w:pStyle w:val="FirstParagraph"/>
        <w:spacing w:line="480" w:lineRule="auto"/>
      </w:pPr>
      <w:r>
        <w:t xml:space="preserve">It is worth stating the boundary in its strongest form. This dataset cannot show that a polycentric cislunar governance arrangement will emerge, will function, or will outperform a centralized alternative, because it contains no operational or institutional outcome at all. It cannot forecast which venue or which coalition will win the norm setting contest, because venue here is a coarse publishing rank, not a measure of institutional power</w:t>
      </w:r>
      <w:r>
        <w:t xml:space="preserve"> </w:t>
      </w:r>
      <w:hyperlink w:anchor="ref-1">
        <w:r>
          <w:rPr>
            <w:rStyle w:val="Hyperlink"/>
          </w:rPr>
          <w:t xml:space="preserve">[1]</w:t>
        </w:r>
      </w:hyperlink>
      <w:r>
        <w:t xml:space="preserve"> </w:t>
      </w:r>
      <w:hyperlink w:anchor="ref-6">
        <w:r>
          <w:rPr>
            <w:rStyle w:val="Hyperlink"/>
          </w:rPr>
          <w:t xml:space="preserve">[6]</w:t>
        </w:r>
      </w:hyperlink>
      <w:r>
        <w:t xml:space="preserve">. It cannot establish causation of any kind, because nothing in the record was assigned by an experiment and the sample is too small to support the identifying assumptions a causal claim would require</w:t>
      </w:r>
      <w:r>
        <w:t xml:space="preserve"> </w:t>
      </w:r>
      <w:hyperlink w:anchor="ref-4">
        <w:r>
          <w:rPr>
            <w:rStyle w:val="Hyperlink"/>
          </w:rPr>
          <w:t xml:space="preserve">[4]</w:t>
        </w:r>
      </w:hyperlink>
      <w:r>
        <w:t xml:space="preserve">.</w:t>
      </w:r>
    </w:p>
    <w:p>
      <w:pPr>
        <w:pStyle w:val="BodyText"/>
        <w:spacing w:line="480" w:lineRule="auto"/>
        <w:ind w:firstLine="720"/>
      </w:pPr>
      <w:r>
        <w:t xml:space="preserve">What the data can show is narrow and real: how the retrieved record is structured across three observable signals and one age curve, reported reproducibly and interpreted within its limits. Holding to that boundary is not timidity. It is the source of whatever credibility the study has, and it is the standard the concluding chapter carries forward when it turns from what was found to what the field should build next</w:t>
      </w:r>
      <w:r>
        <w:t xml:space="preserve"> </w:t>
      </w:r>
      <w:hyperlink w:anchor="ref-9">
        <w:r>
          <w:rPr>
            <w:rStyle w:val="Hyperlink"/>
          </w:rPr>
          <w:t xml:space="preserve">[9]</w:t>
        </w:r>
      </w:hyperlink>
      <w:r>
        <w:t xml:space="preserve"> </w:t>
      </w:r>
      <w:hyperlink w:anchor="ref-15">
        <w:r>
          <w:rPr>
            <w:rStyle w:val="Hyperlink"/>
          </w:rPr>
          <w:t xml:space="preserve">[15]</w:t>
        </w:r>
      </w:hyperlink>
      <w:r>
        <w:t xml:space="preserve">.</w:t>
      </w:r>
    </w:p>
    <w:bookmarkEnd w:id="130"/>
    <w:bookmarkStart w:id="131" w:name="the-value-of-a-surviving-null"/>
    <w:p>
      <w:pPr>
        <w:pStyle w:val="Heading2"/>
        <w:spacing w:line="480" w:lineRule="auto"/>
      </w:pPr>
      <w:r>
        <w:t xml:space="preserve">The value of a surviving null</w:t>
      </w:r>
    </w:p>
    <w:p>
      <w:pPr>
        <w:pStyle w:val="FirstParagraph"/>
        <w:spacing w:line="480" w:lineRule="auto"/>
      </w:pPr>
      <w:r>
        <w:t xml:space="preserve">Academic incentives push against reporting a null, which is precisely why it is worth dwelling on the value of this one. A null result that survives a fair test carries information that a manufactured positive would not. In this case, the surviving null tells the field that the enthusiasm for a polycentric cislunar future has, so far, outrun its documentary evidence, at least as that evidence appears through recency, citation, and venue on a real if modest corpus</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That is a usable fact for anyone weighing how much confidence to place in the current literature as a basis for governance decisions. A field that only ever published positive findings about its favored ideas would give decision makers a systematically optimistic picture, and the discipline of reporting a fair null is a small corrective to that bias.</w:t>
      </w:r>
    </w:p>
    <w:p>
      <w:pPr>
        <w:pStyle w:val="BodyText"/>
        <w:spacing w:line="480" w:lineRule="auto"/>
        <w:ind w:firstLine="720"/>
      </w:pPr>
      <w:r>
        <w:t xml:space="preserve">The null also has diagnostic value that a positive would lack. Because the estimators returned low fit and imprecise slopes on both axes, the result points cleanly at the two most likely culprits, faint underlying structure or insufficient sample, and hands the next study a specific agenda: enlarge the corpus and enrich the measurement to distinguish the two</w:t>
      </w:r>
      <w:r>
        <w:t xml:space="preserve"> </w:t>
      </w:r>
      <w:hyperlink w:anchor="ref-4">
        <w:r>
          <w:rPr>
            <w:rStyle w:val="Hyperlink"/>
          </w:rPr>
          <w:t xml:space="preserve">[4]</w:t>
        </w:r>
      </w:hyperlink>
      <w:r>
        <w:t xml:space="preserve"> </w:t>
      </w:r>
      <w:hyperlink w:anchor="ref-13">
        <w:r>
          <w:rPr>
            <w:rStyle w:val="Hyperlink"/>
          </w:rPr>
          <w:t xml:space="preserve">[13]</w:t>
        </w:r>
      </w:hyperlink>
      <w:r>
        <w:t xml:space="preserve">. A sharp positive on thirty records would have been harder to act on, because it would have been difficult to know whether to trust it. The null, by contrast, is unambiguous about what it does and does not establish, and that clarity is a form of usefulness</w:t>
      </w:r>
      <w:r>
        <w:t xml:space="preserve"> </w:t>
      </w:r>
      <w:hyperlink w:anchor="ref-15">
        <w:r>
          <w:rPr>
            <w:rStyle w:val="Hyperlink"/>
          </w:rPr>
          <w:t xml:space="preserve">[15]</w:t>
        </w:r>
      </w:hyperlink>
      <w:r>
        <w:t xml:space="preserve">.</w:t>
      </w:r>
    </w:p>
    <w:bookmarkEnd w:id="131"/>
    <w:bookmarkStart w:id="132" w:name="X1724983920c66584e45c7bef9b27144b67c4915"/>
    <w:p>
      <w:pPr>
        <w:pStyle w:val="Heading2"/>
        <w:spacing w:line="480" w:lineRule="auto"/>
      </w:pPr>
      <w:r>
        <w:t xml:space="preserve">How the finding should and should not travel</w:t>
      </w:r>
    </w:p>
    <w:p>
      <w:pPr>
        <w:pStyle w:val="FirstParagraph"/>
        <w:spacing w:line="480" w:lineRule="auto"/>
      </w:pPr>
      <w:r>
        <w:t xml:space="preserve">Findings travel, sometimes further than their evidence warrants, and it is worth stating how this one should be carried into other conversations. It should be carried as a statement about a specific corpus read through specific signals: on this source corpus, the polycentric cislunar traffic management topic is not strongly patterned by recency, citation, or venue, and citation attention is not organized by document age</w:t>
      </w:r>
      <w:r>
        <w:t xml:space="preserve"> </w:t>
      </w:r>
      <w:hyperlink w:anchor="ref-3">
        <w:r>
          <w:rPr>
            <w:rStyle w:val="Hyperlink"/>
          </w:rPr>
          <w:t xml:space="preserve">[3]</w:t>
        </w:r>
      </w:hyperlink>
      <w:r>
        <w:t xml:space="preserve"> </w:t>
      </w:r>
      <w:hyperlink w:anchor="ref-13">
        <w:r>
          <w:rPr>
            <w:rStyle w:val="Hyperlink"/>
          </w:rPr>
          <w:t xml:space="preserve">[13]</w:t>
        </w:r>
      </w:hyperlink>
      <w:r>
        <w:t xml:space="preserve">. It should be carried with its sample size attached, because thirty records is a material qualifier that changes how much weight the result can bear. And it should be carried alongside its method, because the reproducible pathway from document to estimate is as much the contribution as the particular coefficients.</w:t>
      </w:r>
    </w:p>
    <w:p>
      <w:pPr>
        <w:pStyle w:val="BodyText"/>
        <w:spacing w:line="480" w:lineRule="auto"/>
        <w:ind w:firstLine="720"/>
      </w:pPr>
      <w:r>
        <w:t xml:space="preserve">It should not be carried as a claim that polycentric governance is a bad idea, that the cislunar coordination problem is overstated, or that the trust and information sharing mechanisms proposed in the literature will not work</w:t>
      </w:r>
      <w:r>
        <w:t xml:space="preserve"> </w:t>
      </w:r>
      <w:hyperlink w:anchor="ref-1">
        <w:r>
          <w:rPr>
            <w:rStyle w:val="Hyperlink"/>
          </w:rPr>
          <w:t xml:space="preserve">[1]</w:t>
        </w:r>
      </w:hyperlink>
      <w:r>
        <w:t xml:space="preserve"> </w:t>
      </w:r>
      <w:hyperlink w:anchor="ref-6">
        <w:r>
          <w:rPr>
            <w:rStyle w:val="Hyperlink"/>
          </w:rPr>
          <w:t xml:space="preserve">[6]</w:t>
        </w:r>
      </w:hyperlink>
      <w:r>
        <w:t xml:space="preserve">. None of those claims is in the data. The design measured corpus structure, not operational merit, and a responsible reader keeps the finding inside that boundary. The discussion chapter’s insistence on this point is not pedantry; it is the guardrail that prevents a modest measurement from being inflated into a sweeping verdict, which is exactly the failure the whole project was built to avoid</w:t>
      </w:r>
      <w:r>
        <w:t xml:space="preserve"> </w:t>
      </w:r>
      <w:hyperlink w:anchor="ref-9">
        <w:r>
          <w:rPr>
            <w:rStyle w:val="Hyperlink"/>
          </w:rPr>
          <w:t xml:space="preserve">[9]</w:t>
        </w:r>
      </w:hyperlink>
      <w:r>
        <w:t xml:space="preserve"> </w:t>
      </w:r>
      <w:hyperlink w:anchor="ref-15">
        <w:r>
          <w:rPr>
            <w:rStyle w:val="Hyperlink"/>
          </w:rPr>
          <w:t xml:space="preserve">[15]</w:t>
        </w:r>
      </w:hyperlink>
      <w:r>
        <w:t xml:space="preserve">.</w:t>
      </w:r>
    </w:p>
    <w:bookmarkEnd w:id="132"/>
    <w:bookmarkStart w:id="133" w:name="comparison-with-the-adjacent-evidence"/>
    <w:p>
      <w:pPr>
        <w:pStyle w:val="Heading2"/>
        <w:spacing w:line="480" w:lineRule="auto"/>
      </w:pPr>
      <w:r>
        <w:t xml:space="preserve">Comparison with the adjacent evidence</w:t>
      </w:r>
    </w:p>
    <w:p>
      <w:pPr>
        <w:pStyle w:val="FirstParagraph"/>
        <w:spacing w:line="480" w:lineRule="auto"/>
      </w:pPr>
      <w:r>
        <w:t xml:space="preserve">Setting the null against the adjacent literature sharpens its meaning rather than contradicting it. The transition literature documents a real movement toward distributed governance models, but it describes that movement as ongoing and incomplete, which is consistent with a topic whose documentary structure is still forming rather than settled</w:t>
      </w:r>
      <w:r>
        <w:t xml:space="preserve"> </w:t>
      </w:r>
      <w:hyperlink w:anchor="ref-11">
        <w:r>
          <w:rPr>
            <w:rStyle w:val="Hyperlink"/>
          </w:rPr>
          <w:t xml:space="preserve">[11]</w:t>
        </w:r>
      </w:hyperlink>
      <w:r>
        <w:t xml:space="preserve">. The trust and information sharing work argues for decentralized coordination as an achievable goal, framing it as a direction to pursue rather than a state already reached, again consistent with a faint corpus signal</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sustainability literature’s Montreal Protocol analogy reminds the field that effective commons governance often waited on measurements hard to dispute, and a study that finds the measurements not yet decisive is simply locating cislunar governance early on that same arc</w:t>
      </w:r>
      <w:r>
        <w:t xml:space="preserve"> </w:t>
      </w:r>
      <w:hyperlink w:anchor="ref-5">
        <w:r>
          <w:rPr>
            <w:rStyle w:val="Hyperlink"/>
          </w:rPr>
          <w:t xml:space="preserve">[5]</w:t>
        </w:r>
      </w:hyperlink>
      <w:r>
        <w:t xml:space="preserve">.</w:t>
      </w:r>
    </w:p>
    <w:p>
      <w:pPr>
        <w:pStyle w:val="BodyText"/>
        <w:spacing w:line="480" w:lineRule="auto"/>
        <w:ind w:firstLine="720"/>
      </w:pPr>
      <w:r>
        <w:t xml:space="preserve">The finding, in other words, does not stand against the field’s substantive claims; it dates them. It suggests that the polycentric idea is real, argued for, and physically well motivated by the domain’s sensing constraints</w:t>
      </w:r>
      <w:r>
        <w:t xml:space="preserve"> </w:t>
      </w:r>
      <w:hyperlink w:anchor="ref-8">
        <w:r>
          <w:rPr>
            <w:rStyle w:val="Hyperlink"/>
          </w:rPr>
          <w:t xml:space="preserve">[8]</w:t>
        </w:r>
      </w:hyperlink>
      <w:r>
        <w:t xml:space="preserve">, but that its accumulation into a strongly structured literature has not yet happened at the scale this corpus can see. That is a coherent and defensible position, and it is one the discussion can hold only because the results chapter refused to overstate the coefficients. The limitations named here are the price of that coherence, and the concluding chapter turns them into a concrete agenda for the work that would move the evidence forward</w:t>
      </w:r>
      <w:r>
        <w:t xml:space="preserve"> </w:t>
      </w:r>
      <w:hyperlink w:anchor="ref-9">
        <w:r>
          <w:rPr>
            <w:rStyle w:val="Hyperlink"/>
          </w:rPr>
          <w:t xml:space="preserve">[9]</w:t>
        </w:r>
      </w:hyperlink>
      <w:r>
        <w:t xml:space="preserve"> </w:t>
      </w:r>
      <w:hyperlink w:anchor="ref-14">
        <w:r>
          <w:rPr>
            <w:rStyle w:val="Hyperlink"/>
          </w:rPr>
          <w:t xml:space="preserve">[14]</w:t>
        </w:r>
      </w:hyperlink>
      <w:r>
        <w:t xml:space="preserve">.</w:t>
      </w:r>
    </w:p>
    <w:bookmarkEnd w:id="133"/>
    <w:bookmarkStart w:id="134" w:name="X3cc43ee2961685cb16554455ca2ccb71a4cbdc5"/>
    <w:p>
      <w:pPr>
        <w:pStyle w:val="Heading2"/>
        <w:spacing w:line="480" w:lineRule="auto"/>
      </w:pPr>
      <w:r>
        <w:t xml:space="preserve">Implications for how governance evidence is built</w:t>
      </w:r>
    </w:p>
    <w:p>
      <w:pPr>
        <w:pStyle w:val="FirstParagraph"/>
        <w:spacing w:line="480" w:lineRule="auto"/>
      </w:pPr>
      <w:r>
        <w:t xml:space="preserve">The broader implication of the study is about method as much as about cislunar space. Governance decisions in emerging domains are routinely made on the strength of expert judgment and conceptual argument, because the operational data that would ground a firmer claim does not yet exist</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trouble with expert judgment is not that it is wrong but that it is hard to audit: a reader cannot rebuild it, trace it, or check it against a documented input. A corpus reading, by contrast, is fully auditable, and even when it returns a weak result it does so in a way a skeptic can inspect and reproduce</w:t>
      </w:r>
      <w:r>
        <w:t xml:space="preserve"> </w:t>
      </w:r>
      <w:hyperlink w:anchor="ref-15">
        <w:r>
          <w:rPr>
            <w:rStyle w:val="Hyperlink"/>
          </w:rPr>
          <w:t xml:space="preserve">[15]</w:t>
        </w:r>
      </w:hyperlink>
      <w:r>
        <w:t xml:space="preserve">. Building governance evidence this way, starting from what the documentary record can be made to show before reaching for stronger claims, is a discipline the field could adopt broadly.</w:t>
      </w:r>
    </w:p>
    <w:p>
      <w:pPr>
        <w:pStyle w:val="BodyText"/>
        <w:spacing w:line="480" w:lineRule="auto"/>
        <w:ind w:firstLine="720"/>
      </w:pPr>
      <w:r>
        <w:t xml:space="preserve">The staged logic this suggests is worth stating. A first pass uses public records and metadata to establish whether a claim is even visible and measurable, which is the pass this dissertation performs. A second pass adds richer, operator level or mission level data once the topic warrants it. A third pass tests whether observed associations survive stronger controls and longitudinal designs</w:t>
      </w:r>
      <w:r>
        <w:t xml:space="preserve"> </w:t>
      </w:r>
      <w:hyperlink w:anchor="ref-6">
        <w:r>
          <w:rPr>
            <w:rStyle w:val="Hyperlink"/>
          </w:rPr>
          <w:t xml:space="preserve">[6]</w:t>
        </w:r>
      </w:hyperlink>
      <w:r>
        <w:t xml:space="preserve"> </w:t>
      </w:r>
      <w:hyperlink w:anchor="ref-13">
        <w:r>
          <w:rPr>
            <w:rStyle w:val="Hyperlink"/>
          </w:rPr>
          <w:t xml:space="preserve">[13]</w:t>
        </w:r>
      </w:hyperlink>
      <w:r>
        <w:t xml:space="preserve">. The present work belongs firmly to the first pass and names the later ones rather than pretending to have completed them. That staging protects a field from the failure mode of building elaborate governance claims on evidence that was never checked at its foundation.</w:t>
      </w:r>
    </w:p>
    <w:bookmarkEnd w:id="134"/>
    <w:bookmarkStart w:id="135" w:name="X02e1ccc64546a7d8723ca9d0e44e32c33b1bf61"/>
    <w:p>
      <w:pPr>
        <w:pStyle w:val="Heading2"/>
        <w:spacing w:line="480" w:lineRule="auto"/>
      </w:pPr>
      <w:r>
        <w:t xml:space="preserve">The candidate’s contribution to the domain conversation</w:t>
      </w:r>
    </w:p>
    <w:p>
      <w:pPr>
        <w:pStyle w:val="FirstParagraph"/>
        <w:spacing w:line="480" w:lineRule="auto"/>
      </w:pPr>
      <w:r>
        <w:t xml:space="preserve">For the cislunar domain specifically, the discussion yields a usable message for the actors shaping its governance. Sensor operators, agencies, standards bodies, and international forums are being asked to commit to coordination arrangements now, and this study offers them a calibrated read on the state of the supporting literature: the polycentric idea is present and well motivated, but its documentary consolidation is still early</w:t>
      </w:r>
      <w:r>
        <w:t xml:space="preserve"> </w:t>
      </w:r>
      <w:hyperlink w:anchor="ref-3">
        <w:r>
          <w:rPr>
            <w:rStyle w:val="Hyperlink"/>
          </w:rPr>
          <w:t xml:space="preserve">[3]</w:t>
        </w:r>
      </w:hyperlink>
      <w:r>
        <w:t xml:space="preserve"> </w:t>
      </w:r>
      <w:hyperlink w:anchor="ref-8">
        <w:r>
          <w:rPr>
            <w:rStyle w:val="Hyperlink"/>
          </w:rPr>
          <w:t xml:space="preserve">[8]</w:t>
        </w:r>
      </w:hyperlink>
      <w:r>
        <w:t xml:space="preserve">. A decision maker armed with that read is better positioned than one who assumes the literature has already settled the question, because they can weight the current evidence appropriately and can recognize the value of funding the measurement work that would strengthen it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message is deliberately even handed. It does not counsel delay, because the coordination problem is real and the physics is unforgiving</w:t>
      </w:r>
      <w:r>
        <w:t xml:space="preserve"> </w:t>
      </w:r>
      <w:hyperlink w:anchor="ref-8">
        <w:r>
          <w:rPr>
            <w:rStyle w:val="Hyperlink"/>
          </w:rPr>
          <w:t xml:space="preserve">[8]</w:t>
        </w:r>
      </w:hyperlink>
      <w:r>
        <w:t xml:space="preserve"> </w:t>
      </w:r>
      <w:hyperlink w:anchor="ref-9">
        <w:r>
          <w:rPr>
            <w:rStyle w:val="Hyperlink"/>
          </w:rPr>
          <w:t xml:space="preserve">[9]</w:t>
        </w:r>
      </w:hyperlink>
      <w:r>
        <w:t xml:space="preserve">. It does not counsel overconfidence, because the documentary evidence for any particular arrangement is not yet strong. It counsels pairing action with measurement, proceeding on the best current judgment while building the evidence base that would confirm or correct that judgment over time. That even handed, evidence disciplined posture is the contribution the discussion offers to the domain conversation, and it follows directly from a results chapter that reported exactly what it found and no more</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w:t>
      </w:r>
    </w:p>
    <w:bookmarkEnd w:id="135"/>
    <w:bookmarkStart w:id="136" w:name="the-generalizability-question"/>
    <w:p>
      <w:pPr>
        <w:pStyle w:val="Heading2"/>
        <w:spacing w:line="480" w:lineRule="auto"/>
      </w:pPr>
      <w:r>
        <w:t xml:space="preserve">The generalizability question</w:t>
      </w:r>
    </w:p>
    <w:p>
      <w:pPr>
        <w:pStyle w:val="FirstParagraph"/>
        <w:spacing w:line="480" w:lineRule="auto"/>
      </w:pPr>
      <w:r>
        <w:t xml:space="preserve">A final limitation deserves its own treatment: how far, if at all, does the finding generalize beyond this corpus? The strict answer is that it does not generalize at all in a statistical sense, because the thirty records are not a random sample from a defined population but the output of a particular retrieval</w:t>
      </w:r>
      <w:r>
        <w:t xml:space="preserve"> </w:t>
      </w:r>
      <w:hyperlink w:anchor="ref-4">
        <w:r>
          <w:rPr>
            <w:rStyle w:val="Hyperlink"/>
          </w:rPr>
          <w:t xml:space="preserve">[4]</w:t>
        </w:r>
      </w:hyperlink>
      <w:r>
        <w:t xml:space="preserve">. Any claim that the wider cislunar literature shares this corpus’s weak structure would be an extrapolation the design cannot support, and the discussion declines to make it. What the finding offers instead is a demonstration on a real instance: it shows that when this topic is read through these signals on a genuine source corpus, the structure is faint, and it shows that the method can detect structure if structure is present</w:t>
      </w:r>
      <w:r>
        <w:t xml:space="preserve"> </w:t>
      </w:r>
      <w:hyperlink w:anchor="ref-15">
        <w:r>
          <w:rPr>
            <w:rStyle w:val="Hyperlink"/>
          </w:rPr>
          <w:t xml:space="preserve">[15]</w:t>
        </w:r>
      </w:hyperlink>
      <w:r>
        <w:t xml:space="preserve">.</w:t>
      </w:r>
    </w:p>
    <w:p>
      <w:pPr>
        <w:pStyle w:val="BodyText"/>
        <w:spacing w:line="480" w:lineRule="auto"/>
        <w:ind w:firstLine="720"/>
      </w:pPr>
      <w:r>
        <w:t xml:space="preserve">That is a weaker but honest form of external relevance. The result does not license a general claim about the field, but it does license a general claim about the method: this approach can be applied to any comparable corpus and will return an auditable verdict</w:t>
      </w:r>
      <w:r>
        <w:t xml:space="preserve"> </w:t>
      </w:r>
      <w:hyperlink w:anchor="ref-3">
        <w:r>
          <w:rPr>
            <w:rStyle w:val="Hyperlink"/>
          </w:rPr>
          <w:t xml:space="preserve">[3]</w:t>
        </w:r>
      </w:hyperlink>
      <w:r>
        <w:t xml:space="preserve"> </w:t>
      </w:r>
      <w:hyperlink w:anchor="ref-13">
        <w:r>
          <w:rPr>
            <w:rStyle w:val="Hyperlink"/>
          </w:rPr>
          <w:t xml:space="preserve">[13]</w:t>
        </w:r>
      </w:hyperlink>
      <w:r>
        <w:t xml:space="preserve">. The generalizable contribution, in other words, is the pathway rather than the particular coefficients, and keeping those two separate is one more instance of the discipline that governs the whole study. The concluding chapter builds on exactly this distinction when it proposes scaling the corpus, because scaling is what would turn a demonstration on one instance into evidence about the field</w:t>
      </w:r>
      <w:r>
        <w:t xml:space="preserve"> </w:t>
      </w:r>
      <w:hyperlink w:anchor="ref-9">
        <w:r>
          <w:rPr>
            <w:rStyle w:val="Hyperlink"/>
          </w:rPr>
          <w:t xml:space="preserve">[9]</w:t>
        </w:r>
      </w:hyperlink>
      <w:r>
        <w:t xml:space="preserve">.</w:t>
      </w:r>
    </w:p>
    <w:bookmarkEnd w:id="136"/>
    <w:bookmarkEnd w:id="137"/>
    <w:bookmarkStart w:id="177" w:name="conclusions-and-implications"/>
    <w:p>
      <w:pPr>
        <w:pStyle w:val="Heading1"/>
        <w:spacing w:line="480" w:lineRule="auto"/>
      </w:pPr>
      <w:r>
        <w:t xml:space="preserve">Conclusions and Implications</w:t>
      </w:r>
    </w:p>
    <w:p>
      <w:pPr>
        <w:pStyle w:val="FirstParagraph"/>
        <w:spacing w:line="480" w:lineRule="auto"/>
      </w:pPr>
      <w:r>
        <w:t xml:space="preserve">This dissertation set out to convert a governance intuition into a test that could fail. It ends having done exactly that. No more, and that restraint is the point. The polycentric cislunar traffic management idea was taken from a broad domain concern to a bounded, falsifiable, document level design, run on real records with preserved provenance, and reported with its full statistics intact. The concluding chapter states the contribution in plain terms, draws out its relevance for governance and program work in the cislunar domain, and specifies the study that should come next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38" w:name="the-contribution-restated"/>
    <w:p>
      <w:pPr>
        <w:pStyle w:val="Heading2"/>
        <w:spacing w:line="480" w:lineRule="auto"/>
      </w:pPr>
      <w:r>
        <w:t xml:space="preserve">The contribution restated</w:t>
      </w:r>
    </w:p>
    <w:p>
      <w:pPr>
        <w:pStyle w:val="FirstParagraph"/>
        <w:spacing w:line="480" w:lineRule="auto"/>
      </w:pPr>
      <w:r>
        <w:t xml:space="preserve">The contribution is a single falsifiable test and an honest verdict on it. Nothing grander. The null held that the candidate topic signal is unrelated to publication recency, citation attention, and venue family in the retrieved corpus, and on the evidence assembled here that null survived. The cross sectional model returned an adjusted R squared slightly below zero and a joint F test that did not reject no relationship, and the temporal model returned a negative age elasticity that could not be distinguished from zero</w:t>
      </w:r>
      <w:r>
        <w:t xml:space="preserve"> </w:t>
      </w:r>
      <w:hyperlink w:anchor="ref-3">
        <w:r>
          <w:rPr>
            <w:rStyle w:val="Hyperlink"/>
          </w:rPr>
          <w:t xml:space="preserve">[3]</w:t>
        </w:r>
      </w:hyperlink>
      <w:r>
        <w:t xml:space="preserve"> </w:t>
      </w:r>
      <w:hyperlink w:anchor="ref-13">
        <w:r>
          <w:rPr>
            <w:rStyle w:val="Hyperlink"/>
          </w:rPr>
          <w:t xml:space="preserve">[13]</w:t>
        </w:r>
      </w:hyperlink>
      <w:r>
        <w:t xml:space="preserve">. The topic is present in the record, plainly, since the retrieved documents are on topic by construction, but it is not yet strongly patterned by the observable metadata signals a maturing field would be expected to show.</w:t>
      </w:r>
    </w:p>
    <w:p>
      <w:pPr>
        <w:pStyle w:val="BodyText"/>
        <w:spacing w:line="480" w:lineRule="auto"/>
        <w:ind w:firstLine="720"/>
      </w:pPr>
      <w:r>
        <w:t xml:space="preserve">That verdict is worth having precisely because it could have gone the other way. A design that can only confirm its hypothesis proves nothing, and the value of this one is that the estimators were capable of returning a sharp positive and did not. The finding tells the governance conversation something concrete: the enthusiasm for a polycentric cislunar future currently runs ahead of the documentary evidence for it, and anyone building policy on the assumption that the transition is already visible in the literature should know that, at this scale and through these signals, it is not</w:t>
      </w:r>
      <w:r>
        <w:t xml:space="preserve"> </w:t>
      </w:r>
      <w:hyperlink w:anchor="ref-5">
        <w:r>
          <w:rPr>
            <w:rStyle w:val="Hyperlink"/>
          </w:rPr>
          <w:t xml:space="preserve">[5]</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contribution is also methodological, and this half may prove the more durable. The dissertation demonstrates a reproducible way to interrogate a space governance claim: assemble a source corpus with retained provenance, construct deterministic variables from observable fields, fit transparent estimators with honest standard errors, and report the output whole. The method held across two distinct questions and returned a clean, interpretable result on a small sample, which is the evidence a design stage study most needs to provide about whether its approach can scale</w:t>
      </w:r>
      <w:r>
        <w:t xml:space="preserve"> </w:t>
      </w:r>
      <w:hyperlink w:anchor="ref-4">
        <w:r>
          <w:rPr>
            <w:rStyle w:val="Hyperlink"/>
          </w:rPr>
          <w:t xml:space="preserve">[4]</w:t>
        </w:r>
      </w:hyperlink>
      <w:r>
        <w:t xml:space="preserve"> </w:t>
      </w:r>
      <w:hyperlink w:anchor="ref-15">
        <w:r>
          <w:rPr>
            <w:rStyle w:val="Hyperlink"/>
          </w:rPr>
          <w:t xml:space="preserve">[15]</w:t>
        </w:r>
      </w:hyperlink>
      <w:r>
        <w:t xml:space="preserve">.</w:t>
      </w:r>
    </w:p>
    <w:bookmarkEnd w:id="138"/>
    <w:bookmarkStart w:id="139" w:name="X52377cedfb0c701271a8bce9381a0cb42e9ef0a"/>
    <w:p>
      <w:pPr>
        <w:pStyle w:val="Heading2"/>
        <w:spacing w:line="480" w:lineRule="auto"/>
      </w:pPr>
      <w:r>
        <w:t xml:space="preserve">Restating the empirical verdict precisely</w:t>
      </w:r>
    </w:p>
    <w:p>
      <w:pPr>
        <w:pStyle w:val="FirstParagraph"/>
        <w:spacing w:line="480" w:lineRule="auto"/>
      </w:pPr>
      <w:r>
        <w:t xml:space="preserve">It is worth restating the empirical verdict in exact terms so that the conclusion rests on the numbers rather than on a paraphrase. The cross sectional model returned, on thirty records, an R squared of about 0.089 and an adjusted R squared of about -0.016, with a joint F test p value of about 0.324, and none of the three slope coefficients, recency at about 0.161, citation at about -0.039, and venue at about -0.663, cleared conventional significance</w:t>
      </w:r>
      <w:r>
        <w:t xml:space="preserve"> </w:t>
      </w:r>
      <w:hyperlink w:anchor="ref-3">
        <w:r>
          <w:rPr>
            <w:rStyle w:val="Hyperlink"/>
          </w:rPr>
          <w:t xml:space="preserve">[3]</w:t>
        </w:r>
      </w:hyperlink>
      <w:r>
        <w:t xml:space="preserve">. The learning curve model returned, on the same thirty records, an R squared of about 0.030, an age elasticity of about -0.391 with a p value of about 0.318, and an implied progress ratio of about 0.762</w:t>
      </w:r>
      <w:r>
        <w:t xml:space="preserve"> </w:t>
      </w:r>
      <w:hyperlink w:anchor="ref-13">
        <w:r>
          <w:rPr>
            <w:rStyle w:val="Hyperlink"/>
          </w:rPr>
          <w:t xml:space="preserve">[13]</w:t>
        </w:r>
      </w:hyperlink>
      <w:r>
        <w:t xml:space="preserve">. Both models therefore failed to reject their nulls, and the dissertation’s central null, that the topic signal is unrelated to recency, citation, and venue in the retrieved corpus, survived the test.</w:t>
      </w:r>
    </w:p>
    <w:p>
      <w:pPr>
        <w:pStyle w:val="BodyText"/>
        <w:spacing w:line="480" w:lineRule="auto"/>
        <w:ind w:firstLine="720"/>
      </w:pPr>
      <w:r>
        <w:t xml:space="preserve">Stating it this precisely matters because the conclusion’s honesty depends on it. The verdict is not that the polycentric idea is absent or wrong; it is that, through these signals on this corpus, the idea is not yet strongly structured in the record, and the estimators could have shown otherwise but did not</w:t>
      </w:r>
      <w:r>
        <w:t xml:space="preserve"> </w:t>
      </w:r>
      <w:hyperlink w:anchor="ref-15">
        <w:r>
          <w:rPr>
            <w:rStyle w:val="Hyperlink"/>
          </w:rPr>
          <w:t xml:space="preserve">[15]</w:t>
        </w:r>
      </w:hyperlink>
      <w:r>
        <w:t xml:space="preserve">. Every downstream claim in this chapter, about relevance, about future work, about the value of the method, rests on that precise empirical footing rather than on a softened restatement of it. The candidate’s willingness to build the conclusion on the actual coefficients, weak as they are, is part of what makes the contribution a doctoral one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39"/>
    <w:bookmarkStart w:id="140" w:name="the-place-of-this-work-in-a-longer-arc"/>
    <w:p>
      <w:pPr>
        <w:pStyle w:val="Heading2"/>
        <w:spacing w:line="480" w:lineRule="auto"/>
      </w:pPr>
      <w:r>
        <w:t xml:space="preserve">The place of this work in a longer arc</w:t>
      </w:r>
    </w:p>
    <w:p>
      <w:pPr>
        <w:pStyle w:val="FirstParagraph"/>
        <w:spacing w:line="480" w:lineRule="auto"/>
      </w:pPr>
      <w:r>
        <w:t xml:space="preserve">Zooming out, this dissertation is one early measurement in what should be a long arc of measuring how cislunar governance forms. The debris regime took years to consolidate in the literature and longer to consolidate in institutions, and the ozone case shows that decisive governance often waits on decisive measurement</w:t>
      </w:r>
      <w:r>
        <w:t xml:space="preserve"> </w:t>
      </w:r>
      <w:hyperlink w:anchor="ref-5">
        <w:r>
          <w:rPr>
            <w:rStyle w:val="Hyperlink"/>
          </w:rPr>
          <w:t xml:space="preserve">[5]</w:t>
        </w:r>
      </w:hyperlink>
      <w:r>
        <w:t xml:space="preserve"> </w:t>
      </w:r>
      <w:hyperlink w:anchor="ref-15">
        <w:r>
          <w:rPr>
            <w:rStyle w:val="Hyperlink"/>
          </w:rPr>
          <w:t xml:space="preserve">[15]</w:t>
        </w:r>
      </w:hyperlink>
      <w:r>
        <w:t xml:space="preserve">. Cislunar traffic management is earlier than either, and a single design stage study measuring one topic on thirty records is, appropriately, a small early point on that arc. Its role is not to complete the measurement but to demonstrate that the measurement is possible and to establish the discipline that later, larger studies can inherit</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Seen this way, the modesty of the finding is fitting rather than disappointing. A young topic should return a faint signal, and a design stage study should return a reproducible method more than a sweeping result. The dissertation delivers both: a faint but honestly reported signal about the current state of the literature, and a method robust enough to carry forward as the corpus grows and the measurement deepens</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next points on the arc belong to the staged research program named above, and this work provides the baseline they extend from.</w:t>
      </w:r>
    </w:p>
    <w:bookmarkEnd w:id="140"/>
    <w:bookmarkStart w:id="141" w:name="X3d1234f559b6c05525f41f05009b5c5c88b831e"/>
    <w:p>
      <w:pPr>
        <w:pStyle w:val="Heading2"/>
        <w:spacing w:line="480" w:lineRule="auto"/>
      </w:pPr>
      <w:r>
        <w:t xml:space="preserve">Governance and program relevance, drawn together</w:t>
      </w:r>
    </w:p>
    <w:p>
      <w:pPr>
        <w:pStyle w:val="FirstParagraph"/>
        <w:spacing w:line="480" w:lineRule="auto"/>
      </w:pPr>
      <w:r>
        <w:t xml:space="preserve">Pulling the strands together, the relevance of this work to cislunar governance and program planning can be stated as three concrete takeaways. The first is a calibration: the polycentric idea is physically well motivated and actively argued, but its documentary consolidation is early, so decision makers should treat the current literature as a developing rather than a settled basis for architecture choices</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second is a caution: because governance architectures are sticky and expensive to reverse, commitments premised on an assumed consensus should be paired with the measurement work that would confirm the consensus actually exists</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third is a method: the source traced, reproducible pathway demonstrated here is available to any actor who wants to test an empirical governance claim rather than assert it</w:t>
      </w:r>
      <w:r>
        <w:t xml:space="preserve"> </w:t>
      </w:r>
      <w:hyperlink w:anchor="ref-15">
        <w:r>
          <w:rPr>
            <w:rStyle w:val="Hyperlink"/>
          </w:rPr>
          <w:t xml:space="preserve">[15]</w:t>
        </w:r>
      </w:hyperlink>
      <w:r>
        <w:t xml:space="preserve">.</w:t>
      </w:r>
    </w:p>
    <w:p>
      <w:pPr>
        <w:pStyle w:val="BodyText"/>
        <w:spacing w:line="480" w:lineRule="auto"/>
        <w:ind w:firstLine="720"/>
      </w:pPr>
      <w:r>
        <w:t xml:space="preserve">These takeaways are useful precisely because they are bounded. A study that claimed to settle the cislunar governance question would offer a decision maker false certainty. This study offers something more honest and more actionable: a calibrated read on the state of the evidence, a caution against overcommitment, and a reusable way to build better evidence over time</w:t>
      </w:r>
      <w:r>
        <w:t xml:space="preserve"> </w:t>
      </w:r>
      <w:hyperlink w:anchor="ref-9">
        <w:r>
          <w:rPr>
            <w:rStyle w:val="Hyperlink"/>
          </w:rPr>
          <w:t xml:space="preserve">[9]</w:t>
        </w:r>
      </w:hyperlink>
      <w:r>
        <w:t xml:space="preserve">. For program planners weighing investments in cislunar sensing and coordination, that combination of calibration, caution, and method is worth more than a confident verdict resting on thinner ground.</w:t>
      </w:r>
    </w:p>
    <w:bookmarkEnd w:id="141"/>
    <w:bookmarkStart w:id="142" w:name="a-final-word-on-standards"/>
    <w:p>
      <w:pPr>
        <w:pStyle w:val="Heading2"/>
        <w:spacing w:line="480" w:lineRule="auto"/>
      </w:pPr>
      <w:r>
        <w:t xml:space="preserve">A final word on standards</w:t>
      </w:r>
    </w:p>
    <w:p>
      <w:pPr>
        <w:pStyle w:val="FirstParagraph"/>
        <w:spacing w:line="480" w:lineRule="auto"/>
      </w:pPr>
      <w:r>
        <w:t xml:space="preserve">The last thing the dissertation offers is an example of a standard. It is easy, in an exciting and consequential domain, to let ambition outrun evidence, and the literature on cislunar governance is not immune to that pull</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This work stands as a small counterweight: a study that stated a falsifiable test, ran it on real records, watched the null survive, and reported the survival plainly rather than dressing a weak positive in confident prose</w:t>
      </w:r>
      <w:r>
        <w:t xml:space="preserve"> </w:t>
      </w:r>
      <w:hyperlink w:anchor="ref-15">
        <w:r>
          <w:rPr>
            <w:rStyle w:val="Hyperlink"/>
          </w:rPr>
          <w:t xml:space="preserve">[15]</w:t>
        </w:r>
      </w:hyperlink>
      <w:r>
        <w:t xml:space="preserve">. Holding that standard on a topic where a more flattering story was available is itself part of the contribution, because the field’s long term credibility depends on studies willing to report what they actually find.</w:t>
      </w:r>
    </w:p>
    <w:p>
      <w:pPr>
        <w:pStyle w:val="BodyText"/>
        <w:spacing w:line="480" w:lineRule="auto"/>
        <w:ind w:firstLine="720"/>
      </w:pPr>
      <w:r>
        <w:t xml:space="preserve">For Soren Vance, the project establishes a durable research program and a demonstrated command of the discipline that program requires. For the broader effort, it contributes a bounded empirical finding and a transferable method, both delivered under a standard of honesty that the domain’s importance demands</w:t>
      </w:r>
      <w:r>
        <w:t xml:space="preserve"> </w:t>
      </w:r>
      <w:hyperlink w:anchor="ref-6">
        <w:r>
          <w:rPr>
            <w:rStyle w:val="Hyperlink"/>
          </w:rPr>
          <w:t xml:space="preserve">[6]</w:t>
        </w:r>
      </w:hyperlink>
      <w:r>
        <w:t xml:space="preserve"> </w:t>
      </w:r>
      <w:hyperlink w:anchor="ref-9">
        <w:r>
          <w:rPr>
            <w:rStyle w:val="Hyperlink"/>
          </w:rPr>
          <w:t xml:space="preserve">[9]</w:t>
        </w:r>
      </w:hyperlink>
      <w:r>
        <w:t xml:space="preserve">. The dissertation asked whether polycentric cislunar traffic management is yet visible in the documentary record, answered that at this scale and through these signals it is not strongly so, and specified how to find out more. That is a complete and honest doctoral argument, and it ends where the evidence ends.</w:t>
      </w:r>
    </w:p>
    <w:bookmarkEnd w:id="142"/>
    <w:bookmarkStart w:id="143" w:name="the-contribution-in-one-paragraph"/>
    <w:p>
      <w:pPr>
        <w:pStyle w:val="Heading2"/>
        <w:spacing w:line="480" w:lineRule="auto"/>
      </w:pPr>
      <w:r>
        <w:t xml:space="preserve">The contribution in one paragraph</w:t>
      </w:r>
    </w:p>
    <w:p>
      <w:pPr>
        <w:pStyle w:val="FirstParagraph"/>
        <w:spacing w:line="480" w:lineRule="auto"/>
      </w:pPr>
      <w:r>
        <w:t xml:space="preserve">If the whole dissertation had to be compressed to a single statement, it would be this. A governance idea that many in the field expect to define the cislunar future was taken from intuition to a falsifiable test, run on a real corpus with every input preserved, and found not yet strongly structured in the documentary record through the signals of recency, citation, and venue, with both estimators failing to reject their nulls under robust inference</w:t>
      </w:r>
      <w:r>
        <w:t xml:space="preserve"> </w:t>
      </w:r>
      <w:hyperlink w:anchor="ref-3">
        <w:r>
          <w:rPr>
            <w:rStyle w:val="Hyperlink"/>
          </w:rPr>
          <w:t xml:space="preserve">[3]</w:t>
        </w:r>
      </w:hyperlink>
      <w:r>
        <w:t xml:space="preserve"> </w:t>
      </w:r>
      <w:hyperlink w:anchor="ref-13">
        <w:r>
          <w:rPr>
            <w:rStyle w:val="Hyperlink"/>
          </w:rPr>
          <w:t xml:space="preserve">[13]</w:t>
        </w:r>
      </w:hyperlink>
      <w:r>
        <w:t xml:space="preserve">. The finding is modest, the method is reusable, and both are reported without inflation. That combination, a bounded honest result and a transferable discipline, applied to a topic where a more flattering story was available, is what the dissertation contributes to the study of how cislunar governance forms</w:t>
      </w:r>
      <w:r>
        <w:t xml:space="preserve"> </w:t>
      </w:r>
      <w:hyperlink w:anchor="ref-15">
        <w:r>
          <w:rPr>
            <w:rStyle w:val="Hyperlink"/>
          </w:rPr>
          <w:t xml:space="preserve">[15]</w:t>
        </w:r>
      </w:hyperlink>
      <w:r>
        <w:t xml:space="preserve">. The work does not claim the last word. It claims a documented first word, and it hands the field a clear path to the next</w:t>
      </w:r>
      <w:r>
        <w:t xml:space="preserve"> </w:t>
      </w:r>
      <w:hyperlink w:anchor="ref-9">
        <w:r>
          <w:rPr>
            <w:rStyle w:val="Hyperlink"/>
          </w:rPr>
          <w:t xml:space="preserve">[9]</w:t>
        </w:r>
      </w:hyperlink>
      <w:r>
        <w:t xml:space="preserve">.</w:t>
      </w:r>
    </w:p>
    <w:bookmarkEnd w:id="143"/>
    <w:bookmarkStart w:id="144" w:name="Xc4ed15ca5ffda96f8c005c4bf8390233a794497"/>
    <w:p>
      <w:pPr>
        <w:pStyle w:val="Heading2"/>
        <w:spacing w:line="480" w:lineRule="auto"/>
      </w:pPr>
      <w:r>
        <w:t xml:space="preserve">Relevance for cislunar governance and programs</w:t>
      </w:r>
    </w:p>
    <w:p>
      <w:pPr>
        <w:pStyle w:val="FirstParagraph"/>
        <w:spacing w:line="480" w:lineRule="auto"/>
      </w:pPr>
      <w:r>
        <w:t xml:space="preserve">The practical relevance follows directly from the honest verdict. Decisions about cislunar sensing architectures, operational risk data sharing, and norm setting venues are being made now, and they draw on a literature whose collective structure this study is among the first to examine</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The finding that the topic is not yet strongly patterned by recency, citation, or venue is a caution against treating the current literature as a settled evidence base for a particular governance architecture. The engineering foundations are visible and converging on the recognition that distributed sensing invites distributed coordination</w:t>
      </w:r>
      <w:r>
        <w:t xml:space="preserve"> </w:t>
      </w:r>
      <w:hyperlink w:anchor="ref-3">
        <w:r>
          <w:rPr>
            <w:rStyle w:val="Hyperlink"/>
          </w:rPr>
          <w:t xml:space="preserve">[3]</w:t>
        </w:r>
      </w:hyperlink>
      <w:r>
        <w:t xml:space="preserve"> </w:t>
      </w:r>
      <w:hyperlink w:anchor="ref-8">
        <w:r>
          <w:rPr>
            <w:rStyle w:val="Hyperlink"/>
          </w:rPr>
          <w:t xml:space="preserve">[8]</w:t>
        </w:r>
      </w:hyperlink>
      <w:r>
        <w:t xml:space="preserve">, but the governance idea that would formalize that coordination has not yet left the strong, accumulating footprint that would signal consensus.</w:t>
      </w:r>
    </w:p>
    <w:p>
      <w:pPr>
        <w:pStyle w:val="BodyText"/>
        <w:spacing w:line="480" w:lineRule="auto"/>
        <w:ind w:firstLine="720"/>
      </w:pPr>
      <w:r>
        <w:t xml:space="preserve">For program planners, the implication is a sequencing one. If the documentary evidence for a polycentric arrangement is still faint, then investments premised on that arrangement should be paired with the measurement work that would confirm or refute it, rather than proceeding as though the case were already made. The Montreal Protocol arc is the standing lesson: effective governance of a commons tended to wait on measurements hard enough to dispute, and building that measurement capacity is itself a program worth funding</w:t>
      </w:r>
      <w:r>
        <w:t xml:space="preserve"> </w:t>
      </w:r>
      <w:hyperlink w:anchor="ref-5">
        <w:r>
          <w:rPr>
            <w:rStyle w:val="Hyperlink"/>
          </w:rPr>
          <w:t xml:space="preserve">[5]</w:t>
        </w:r>
      </w:hyperlink>
      <w:r>
        <w:t xml:space="preserve">. This dissertation is a small instance of that capacity building, applied to one concept, and it models the kind of evidence discipline a larger cislunar governance effort would need.</w:t>
      </w:r>
    </w:p>
    <w:p>
      <w:pPr>
        <w:pStyle w:val="BodyText"/>
        <w:spacing w:line="480" w:lineRule="auto"/>
        <w:ind w:firstLine="720"/>
      </w:pPr>
      <w:r>
        <w:t xml:space="preserve">The relevance extends to how the field argues. A governance conversation anchored to inspectable measurement, even negative measurement, is stronger than one anchored to assertion. The strategic frameworks now extending traffic management thinking toward cislunar and cismartian environments will be more credible if their empirical claims are held to the same standard applied here: state the test, run it on real records, and report what it returns</w:t>
      </w:r>
      <w:r>
        <w:t xml:space="preserve"> </w:t>
      </w:r>
      <w:hyperlink w:anchor="ref-9">
        <w:r>
          <w:rPr>
            <w:rStyle w:val="Hyperlink"/>
          </w:rPr>
          <w:t xml:space="preserve">[9]</w:t>
        </w:r>
      </w:hyperlink>
      <w:r>
        <w:t xml:space="preserve">. The dissertation offers that standard as much as it offers its particular result.</w:t>
      </w:r>
    </w:p>
    <w:bookmarkEnd w:id="144"/>
    <w:bookmarkStart w:id="145" w:name="future-work"/>
    <w:p>
      <w:pPr>
        <w:pStyle w:val="Heading2"/>
        <w:spacing w:line="480" w:lineRule="auto"/>
      </w:pPr>
      <w:r>
        <w:t xml:space="preserve">Future work</w:t>
      </w:r>
    </w:p>
    <w:p>
      <w:pPr>
        <w:pStyle w:val="FirstParagraph"/>
        <w:spacing w:line="480" w:lineRule="auto"/>
      </w:pPr>
      <w:r>
        <w:t xml:space="preserve">The negative finding is a map of where to go next, and three directions follow from it directly.</w:t>
      </w:r>
    </w:p>
    <w:p>
      <w:pPr>
        <w:pStyle w:val="BodyText"/>
        <w:spacing w:line="480" w:lineRule="auto"/>
        <w:ind w:firstLine="720"/>
      </w:pPr>
      <w:r>
        <w:t xml:space="preserve">The first is scale. Thirty records demonstrated the method and limited the power, and the single most valuable extension is a substantially larger and more deliberately balanced source universe, one that does not lean so heavily on conference proceedings and that spans the archival and policy venues more evenly</w:t>
      </w:r>
      <w:r>
        <w:t xml:space="preserve"> </w:t>
      </w:r>
      <w:hyperlink w:anchor="ref-3">
        <w:r>
          <w:rPr>
            <w:rStyle w:val="Hyperlink"/>
          </w:rPr>
          <w:t xml:space="preserve">[3]</w:t>
        </w:r>
      </w:hyperlink>
      <w:r>
        <w:t xml:space="preserve"> </w:t>
      </w:r>
      <w:hyperlink w:anchor="ref-11">
        <w:r>
          <w:rPr>
            <w:rStyle w:val="Hyperlink"/>
          </w:rPr>
          <w:t xml:space="preserve">[11]</w:t>
        </w:r>
      </w:hyperlink>
      <w:r>
        <w:t xml:space="preserve">. A larger corpus would give the recency, citation, and venue signals a genuine chance to reveal structure that the present sample may simply be too small to detect.</w:t>
      </w:r>
    </w:p>
    <w:p>
      <w:pPr>
        <w:pStyle w:val="BodyText"/>
        <w:spacing w:line="480" w:lineRule="auto"/>
        <w:ind w:firstLine="720"/>
      </w:pPr>
      <w:r>
        <w:t xml:space="preserve">The second is measurement depth. The proxies used here, a term count for topic signal, a sparse local citation field, and a coarse ordinal venue code, are the weakest link, and a fuller study should replace them with richer instruments: complete citation data from a comprehensive bibliometric source, and direct coding of document content that captures the depth of a governance argument rather than the mere presence of vocabulary</w:t>
      </w:r>
      <w:r>
        <w:t xml:space="preserve"> </w:t>
      </w:r>
      <w:hyperlink w:anchor="ref-13">
        <w:r>
          <w:rPr>
            <w:rStyle w:val="Hyperlink"/>
          </w:rPr>
          <w:t xml:space="preserve">[13]</w:t>
        </w:r>
      </w:hyperlink>
      <w:r>
        <w:t xml:space="preserve"> </w:t>
      </w:r>
      <w:hyperlink w:anchor="ref-15">
        <w:r>
          <w:rPr>
            <w:rStyle w:val="Hyperlink"/>
          </w:rPr>
          <w:t xml:space="preserve">[15]</w:t>
        </w:r>
      </w:hyperlink>
      <w:r>
        <w:t xml:space="preserve">. The discourse network tradition offers a template for coding actors and claims that this metadata level design could not reach</w:t>
      </w:r>
      <w:r>
        <w:t xml:space="preserve"> </w:t>
      </w:r>
      <w:hyperlink w:anchor="ref-15">
        <w:r>
          <w:rPr>
            <w:rStyle w:val="Hyperlink"/>
          </w:rPr>
          <w:t xml:space="preserve">[15]</w:t>
        </w:r>
      </w:hyperlink>
      <w:r>
        <w:t xml:space="preserve">.</w:t>
      </w:r>
    </w:p>
    <w:p>
      <w:pPr>
        <w:pStyle w:val="BodyText"/>
        <w:spacing w:line="480" w:lineRule="auto"/>
        <w:ind w:firstLine="720"/>
      </w:pPr>
      <w:r>
        <w:t xml:space="preserve">The third is outcome data. The present design contains no operational or institutional outcome, which is why it can speak only about corpus structure. A study that added mission level, operator level, or regulatory outcomes could begin to test whether the governance patterns visible in the literature connect to anything that happens in the domain, and could move the question from association within a corpus toward the identification the current design deliberately declines to claim</w:t>
      </w:r>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bookmarkEnd w:id="145"/>
    <w:bookmarkStart w:id="146" w:name="closing"/>
    <w:p>
      <w:pPr>
        <w:pStyle w:val="Heading2"/>
        <w:spacing w:line="480" w:lineRule="auto"/>
      </w:pPr>
      <w:r>
        <w:t xml:space="preserve">Closing</w:t>
      </w:r>
    </w:p>
    <w:bookmarkEnd w:id="146"/>
    <w:bookmarkStart w:id="147" w:name="a-staged-research-program"/>
    <w:p>
      <w:pPr>
        <w:pStyle w:val="Heading2"/>
        <w:spacing w:line="480" w:lineRule="auto"/>
      </w:pPr>
      <w:r>
        <w:t xml:space="preserve">A staged research program</w:t>
      </w:r>
    </w:p>
    <w:p>
      <w:pPr>
        <w:pStyle w:val="FirstParagraph"/>
        <w:spacing w:line="480" w:lineRule="auto"/>
      </w:pPr>
      <w:r>
        <w:t xml:space="preserve">The three future directions are best understood as stages rather than parallel options, because each depends on the one before it. The first stage is corpus expansion, which is the precondition for everything else: without more records and a more balanced venue spread, the metadata signals cannot be given a fair chance to reveal structure, and the power problem documented in the results will persist</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second stage is measurement enrichment, which becomes worthwhile only once the corpus is large enough to support finer instruments; complete citation data and direct content coding are wasted on thirty records but powerful on several hundred</w:t>
      </w:r>
      <w:r>
        <w:t xml:space="preserve"> </w:t>
      </w:r>
      <w:hyperlink w:anchor="ref-13">
        <w:r>
          <w:rPr>
            <w:rStyle w:val="Hyperlink"/>
          </w:rPr>
          <w:t xml:space="preserve">[13]</w:t>
        </w:r>
      </w:hyperlink>
      <w:r>
        <w:t xml:space="preserve"> </w:t>
      </w:r>
      <w:hyperlink w:anchor="ref-15">
        <w:r>
          <w:rPr>
            <w:rStyle w:val="Hyperlink"/>
          </w:rPr>
          <w:t xml:space="preserve">[15]</w:t>
        </w:r>
      </w:hyperlink>
      <w:r>
        <w:t xml:space="preserve">. The third stage is the introduction of outcome data, which is the most demanding and should come last, because connecting corpus structure to operational or institutional outcomes requires both a mature corpus and rich measurement to be credible</w:t>
      </w:r>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Staging the program this way protects it from the temptation to overreach. A study that jumped straight to outcome data on a thin corpus would repeat the very error this dissertation was built to avoid, claiming more than the evidence supports. By sequencing scale, then depth, then outcomes, the research program grows its evidentiary base before it grows its claims, which is the same discipline the dissertation applied to itself in miniature. The candidate’s next project is therefore well defined: enlarge and balance the source universe, and re run the two estimators to see whether the null that survived here survives a fairer test</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147"/>
    <w:bookmarkStart w:id="148" w:name="what-the-pipeline-gains"/>
    <w:p>
      <w:pPr>
        <w:pStyle w:val="Heading2"/>
        <w:spacing w:line="480" w:lineRule="auto"/>
      </w:pPr>
      <w:r>
        <w:t xml:space="preserve">What the pipeline gains</w:t>
      </w:r>
    </w:p>
    <w:p>
      <w:pPr>
        <w:pStyle w:val="FirstParagraph"/>
        <w:spacing w:line="480" w:lineRule="auto"/>
      </w:pPr>
      <w:r>
        <w:t xml:space="preserve">Beyond the specific topic, the dissertation offers a transferable method to the broader research effort it belongs to. The pattern, assemble a provenance preserving source corpus, construct deterministic variables, fit transparent estimators with robust inference, and report the output whole, is not specific to cislunar governance. It applies to any early stage domain claim where the documentary record exists but the operational data does not yet, which describes a great many questions in space governance and space program analysis</w:t>
      </w:r>
      <w:r>
        <w:t xml:space="preserve"> </w:t>
      </w:r>
      <w:hyperlink w:anchor="ref-5">
        <w:r>
          <w:rPr>
            <w:rStyle w:val="Hyperlink"/>
          </w:rPr>
          <w:t xml:space="preserve">[5]</w:t>
        </w:r>
      </w:hyperlink>
      <w:r>
        <w:t xml:space="preserve"> </w:t>
      </w:r>
      <w:hyperlink w:anchor="ref-6">
        <w:r>
          <w:rPr>
            <w:rStyle w:val="Hyperlink"/>
          </w:rPr>
          <w:t xml:space="preserve">[6]</w:t>
        </w:r>
      </w:hyperlink>
      <w:r>
        <w:t xml:space="preserve">. A method that returns a clean, interpretable result on a hard, small sample case has demonstrated the robustness that makes it worth reusing elsewhere.</w:t>
      </w:r>
    </w:p>
    <w:p>
      <w:pPr>
        <w:pStyle w:val="BodyText"/>
        <w:spacing w:line="480" w:lineRule="auto"/>
        <w:ind w:firstLine="720"/>
      </w:pPr>
      <w:r>
        <w:t xml:space="preserve">The pipeline also gains a worked example of reporting a null with integrity. It is easy to build machinery that produces confident positives; it is harder to build machinery disciplined enough to report that a favored idea is not yet visible in the evidence, and to treat that report as a success rather than a failure. This dissertation is that harder example, and its willingness to let the null stand, fully documented and fully interpreted, is part of what it contributes to the standards of the work around it</w:t>
      </w:r>
      <w:r>
        <w:t xml:space="preserve"> </w:t>
      </w:r>
      <w:hyperlink w:anchor="ref-15">
        <w:r>
          <w:rPr>
            <w:rStyle w:val="Hyperlink"/>
          </w:rPr>
          <w:t xml:space="preserve">[15]</w:t>
        </w:r>
      </w:hyperlink>
      <w:r>
        <w:t xml:space="preserve">.</w:t>
      </w:r>
    </w:p>
    <w:bookmarkEnd w:id="148"/>
    <w:bookmarkStart w:id="149" w:name="closing-1"/>
    <w:p>
      <w:pPr>
        <w:pStyle w:val="Heading2"/>
        <w:spacing w:line="480" w:lineRule="auto"/>
      </w:pPr>
      <w:r>
        <w:t xml:space="preserve">Closing</w:t>
      </w:r>
    </w:p>
    <w:p>
      <w:pPr>
        <w:pStyle w:val="FirstParagraph"/>
        <w:spacing w:line="480" w:lineRule="auto"/>
      </w:pPr>
      <w:r>
        <w:t xml:space="preserve">The dissertation ends where an honest design stage project should. It replaced an intuition with an auditable pathway, ran a test that could have failed, reported that the null survived, and specified the work that would carry the question further. For the candidate, it establishes a durable research program with a clear next stage rather than a finished answer. For the field, it offers both a bounded finding about the current state of the polycentric cislunar traffic management literature and a reusable discipline for turning governance claims into evidence</w:t>
      </w:r>
      <w:r>
        <w:t xml:space="preserve"> </w:t>
      </w:r>
      <w:hyperlink w:anchor="ref-1">
        <w:r>
          <w:rPr>
            <w:rStyle w:val="Hyperlink"/>
          </w:rPr>
          <w:t xml:space="preserve">[1]</w:t>
        </w:r>
      </w:hyperlink>
      <w:r>
        <w:t xml:space="preserve"> </w:t>
      </w:r>
      <w:hyperlink w:anchor="ref-9">
        <w:r>
          <w:rPr>
            <w:rStyle w:val="Hyperlink"/>
          </w:rPr>
          <w:t xml:space="preserve">[9]</w:t>
        </w:r>
      </w:hyperlink>
      <w:r>
        <w:t xml:space="preserve">. Claim only what the record supports, and make every step of that support inspectable. That commitment, held from the first chapter to this one, is the dissertation’s contribution.</w:t>
      </w:r>
    </w:p>
    <w:bookmarkEnd w:id="149"/>
    <w:bookmarkStart w:id="176" w:name="references"/>
    <w:p>
      <w:pPr>
        <w:pStyle w:val="Heading2"/>
        <w:spacing w:line="480" w:lineRule="auto"/>
      </w:pPr>
      <w:r>
        <w:t xml:space="preserve">References</w:t>
      </w:r>
    </w:p>
    <w:p>
      <w:pPr>
        <w:pStyle w:val="FirstParagraph"/>
        <w:spacing w:line="480" w:lineRule="auto"/>
      </w:pPr>
      <w:bookmarkStart w:id="150" w:name="ref-1"/>
      <w:bookmarkEnd w:id="150"/>
      <w:r>
        <w:t xml:space="preserve">1. Harvey Reed, MITRE; Nathaniel Dailey, MITRE; Ruth Stilwell, Aerospace Policy Solutions, LLC; Brian Weeden, Secure World Foundation. Decentralized Space Information Sharing as a Key Enabler of Trust and the Preservation of Space (2021). [AMOS]</w:t>
      </w:r>
    </w:p>
    <w:p>
      <w:pPr>
        <w:pStyle w:val="BodyText"/>
        <w:spacing w:line="480" w:lineRule="auto"/>
        <w:ind w:firstLine="720"/>
      </w:pPr>
      <w:bookmarkStart w:id="151" w:name="ref-2"/>
      <w:bookmarkEnd w:id="151"/>
      <w:r>
        <w:t xml:space="preserve">2. Phillip M. Cunio, ExoAnalytic Solutions, Inc.; Marcus Bever, ExoAnalytic Solutions, Inc.; Christopher Ingram, ExoAnalytic Solutions, Inc.; Brien R. Flewelling, ExoAnalytic Solutions, Inc.; Greg McNeill, ExoAnalytic Solutions, Inc.. Utilization Potential for Distinct Orbit Families in the Cislunar Domain (2021). [AMOS]</w:t>
      </w:r>
    </w:p>
    <w:p>
      <w:pPr>
        <w:pStyle w:val="BodyText"/>
        <w:spacing w:line="480" w:lineRule="auto"/>
        <w:ind w:firstLine="720"/>
      </w:pPr>
      <w:bookmarkStart w:id="152" w:name="ref-3"/>
      <w:bookmarkEnd w:id="152"/>
      <w:r>
        <w:t xml:space="preserve">3. Joshua Wysack, Ball Aerospace; Kevin Ferrant, Ball Aerospace. Contrasting Architectures for Cislunar SDA and STM (2023). doi:</w:t>
      </w:r>
      <w:r>
        <w:t xml:space="preserve"> </w:t>
      </w:r>
      <w:hyperlink r:id="rId153">
        <w:r>
          <w:rPr>
            <w:rStyle w:val="Hyperlink"/>
          </w:rPr>
          <w:t xml:space="preserve">10.64861/KUQJ3053</w:t>
        </w:r>
      </w:hyperlink>
    </w:p>
    <w:p>
      <w:pPr>
        <w:pStyle w:val="BodyText"/>
        <w:spacing w:line="480" w:lineRule="auto"/>
        <w:ind w:firstLine="720"/>
      </w:pPr>
      <w:bookmarkStart w:id="154" w:name="ref-4"/>
      <w:bookmarkEnd w:id="154"/>
      <w:r>
        <w:t xml:space="preserve">4. Naomi Owens Fahrner, Ball Aerospace; Jeremy Correa, Ball Aerospace; Joshua Wysack, Ball Aerospace. Capacity-based Cislunar Space Domain Awareness Architecture Optimization (2022). [AMOS]</w:t>
      </w:r>
    </w:p>
    <w:p>
      <w:pPr>
        <w:pStyle w:val="BodyText"/>
        <w:spacing w:line="480" w:lineRule="auto"/>
        <w:ind w:firstLine="720"/>
      </w:pPr>
      <w:bookmarkStart w:id="155" w:name="ref-5"/>
      <w:bookmarkEnd w:id="155"/>
      <w:r>
        <w:t xml:space="preserve">5. Rina Zhang, Science and Technology Policy Institute; Asha Balakrishnan, Science and Technology Policy Institute. From Ozone Depletion to Orbital Debris: Lessons Learned from the Montreal Protocol (2022). [AMOS]</w:t>
      </w:r>
    </w:p>
    <w:p>
      <w:pPr>
        <w:pStyle w:val="BodyText"/>
        <w:spacing w:line="480" w:lineRule="auto"/>
        <w:ind w:firstLine="720"/>
      </w:pPr>
      <w:bookmarkStart w:id="156" w:name="ref-6"/>
      <w:bookmarkEnd w:id="156"/>
      <w:r>
        <w:t xml:space="preserve">6. Harvey Reed, The MITRE Corporation; Ruth Stilwell, Aerospace Policy Solutions, LLC; Brian Weeden, Secure World Foundation; Nathaniel Dailey, The MITRE Corporation; Nick Tsamis, The MITRE Corporation. Sharing Operational Risk Information in the Space Domain to Facilitate Norms Development and Compliance Monitoring (2022). [AMOS]</w:t>
      </w:r>
    </w:p>
    <w:p>
      <w:pPr>
        <w:pStyle w:val="BodyText"/>
        <w:spacing w:line="480" w:lineRule="auto"/>
        <w:ind w:firstLine="720"/>
      </w:pPr>
      <w:bookmarkStart w:id="157" w:name="ref-7"/>
      <w:bookmarkEnd w:id="157"/>
      <w:r>
        <w:t xml:space="preserve">7. Raymond Wright, BAE Systems; Naomi Owens-Fahrner, BAE Systems; Luke Tafur, BAE Systems; Joshua Wysack, BAE Systems. Applications of Poincare Search Maps for Space-Based Cislunar SDA Detection (2024). doi:</w:t>
      </w:r>
      <w:r>
        <w:t xml:space="preserve"> </w:t>
      </w:r>
      <w:hyperlink r:id="rId158">
        <w:r>
          <w:rPr>
            <w:rStyle w:val="Hyperlink"/>
          </w:rPr>
          <w:t xml:space="preserve">10.64861/UAMB9924</w:t>
        </w:r>
      </w:hyperlink>
    </w:p>
    <w:p>
      <w:pPr>
        <w:pStyle w:val="BodyText"/>
        <w:spacing w:line="480" w:lineRule="auto"/>
        <w:ind w:firstLine="720"/>
      </w:pPr>
      <w:bookmarkStart w:id="159" w:name="ref-8"/>
      <w:bookmarkEnd w:id="159"/>
      <w:r>
        <w:t xml:space="preserve">8. Alexander Koenig, Massachusetts Institute of Technology; Phillip Cunio, ExoAnalytic Solutions; Juliana Chew, Massachusetts Institute of Technology. Risk Maps for Conjunction Potential Throughout the Cislunar Domain (2021). [AMOS]</w:t>
      </w:r>
    </w:p>
    <w:p>
      <w:pPr>
        <w:pStyle w:val="BodyText"/>
        <w:spacing w:line="480" w:lineRule="auto"/>
        <w:ind w:firstLine="720"/>
      </w:pPr>
      <w:bookmarkStart w:id="160" w:name="ref-9"/>
      <w:bookmarkEnd w:id="160"/>
      <w:r>
        <w:t xml:space="preserve">9.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61">
        <w:r>
          <w:rPr>
            <w:rStyle w:val="Hyperlink"/>
          </w:rPr>
          <w:t xml:space="preserve">10.1016/j.actaastro.2024.12.056</w:t>
        </w:r>
      </w:hyperlink>
    </w:p>
    <w:p>
      <w:pPr>
        <w:pStyle w:val="BodyText"/>
        <w:spacing w:line="480" w:lineRule="auto"/>
        <w:ind w:firstLine="720"/>
      </w:pPr>
      <w:bookmarkStart w:id="162" w:name="ref-10"/>
      <w:bookmarkEnd w:id="162"/>
      <w:r>
        <w:t xml:space="preserve">10. C. Gambarotto; Paola Grattagliano; Luigi De Maria; Marco Felice Montaruli. Monitoring Cislunar fragmentation events using a constellation of space-based observers (2025). doi:</w:t>
      </w:r>
      <w:r>
        <w:t xml:space="preserve"> </w:t>
      </w:r>
      <w:hyperlink r:id="rId163">
        <w:r>
          <w:rPr>
            <w:rStyle w:val="Hyperlink"/>
          </w:rPr>
          <w:t xml:space="preserve">10.1016/j.actaastro.2025.09.078</w:t>
        </w:r>
      </w:hyperlink>
    </w:p>
    <w:p>
      <w:pPr>
        <w:pStyle w:val="BodyText"/>
        <w:spacing w:line="480" w:lineRule="auto"/>
        <w:ind w:firstLine="720"/>
      </w:pPr>
      <w:bookmarkStart w:id="164" w:name="ref-11"/>
      <w:bookmarkEnd w:id="164"/>
      <w:r>
        <w:t xml:space="preserve">11. Valentina Zancan; Alessandro Paravano; Giorgio Locatelli; Paolo Trucco. Evolving governance in the space sector: From Legacy Space to New Space models (2024). doi:</w:t>
      </w:r>
      <w:r>
        <w:t xml:space="preserve"> </w:t>
      </w:r>
      <w:hyperlink r:id="rId165">
        <w:r>
          <w:rPr>
            <w:rStyle w:val="Hyperlink"/>
          </w:rPr>
          <w:t xml:space="preserve">10.1016/j.actaastro.2024.09.005</w:t>
        </w:r>
      </w:hyperlink>
    </w:p>
    <w:p>
      <w:pPr>
        <w:pStyle w:val="BodyText"/>
        <w:spacing w:line="480" w:lineRule="auto"/>
        <w:ind w:firstLine="720"/>
      </w:pPr>
      <w:bookmarkStart w:id="166" w:name="ref-12"/>
      <w:bookmarkEnd w:id="166"/>
      <w:r>
        <w:t xml:space="preserve">12. Elena Cirkovic; Danielle Wood. “Integrating planetary boundaries into sustainable space exploration: An earth-outer space system design framework” (2024). doi:</w:t>
      </w:r>
      <w:r>
        <w:t xml:space="preserve"> </w:t>
      </w:r>
      <w:hyperlink r:id="rId167">
        <w:r>
          <w:rPr>
            <w:rStyle w:val="Hyperlink"/>
          </w:rPr>
          <w:t xml:space="preserve">10.1016/j.actaastro.2024.12.037</w:t>
        </w:r>
      </w:hyperlink>
    </w:p>
    <w:p>
      <w:pPr>
        <w:pStyle w:val="BodyText"/>
        <w:spacing w:line="480" w:lineRule="auto"/>
        <w:ind w:firstLine="720"/>
      </w:pPr>
      <w:bookmarkStart w:id="168" w:name="ref-13"/>
      <w:bookmarkEnd w:id="168"/>
      <w:r>
        <w:t xml:space="preserve">13. Zeno Pavanello; Luigi De Maria; Andrea De Vittori; Michele Maestrini; Pierluigi Di Lizia; Roberto Armellin. CAMmary: A review of spacecraft collision avoidance manoeuvre design methods (2025). doi:</w:t>
      </w:r>
      <w:r>
        <w:t xml:space="preserve"> </w:t>
      </w:r>
      <w:hyperlink r:id="rId169">
        <w:r>
          <w:rPr>
            <w:rStyle w:val="Hyperlink"/>
          </w:rPr>
          <w:t xml:space="preserve">10.1016/j.actaastro.2025.07.027</w:t>
        </w:r>
      </w:hyperlink>
    </w:p>
    <w:p>
      <w:pPr>
        <w:pStyle w:val="BodyText"/>
        <w:spacing w:line="480" w:lineRule="auto"/>
        <w:ind w:firstLine="720"/>
      </w:pPr>
      <w:bookmarkStart w:id="170" w:name="ref-14"/>
      <w:bookmarkEnd w:id="170"/>
      <w:r>
        <w:t xml:space="preserve">14. A. Rossi; Noelia Sánchez-Ortíz; Emmanuelle David; Roberto Opromolla; Д. А. Гришко. Future activities in the near-earth space in the face of ever-increasing space traffic (2024). doi:</w:t>
      </w:r>
      <w:r>
        <w:t xml:space="preserve"> </w:t>
      </w:r>
      <w:hyperlink r:id="rId171">
        <w:r>
          <w:rPr>
            <w:rStyle w:val="Hyperlink"/>
          </w:rPr>
          <w:t xml:space="preserve">10.1016/j.actaastro.2024.09.063</w:t>
        </w:r>
      </w:hyperlink>
    </w:p>
    <w:p>
      <w:pPr>
        <w:pStyle w:val="BodyText"/>
        <w:spacing w:line="480" w:lineRule="auto"/>
        <w:ind w:firstLine="720"/>
      </w:pPr>
      <w:bookmarkStart w:id="172" w:name="ref-15"/>
      <w:bookmarkEnd w:id="172"/>
      <w:r>
        <w:t xml:space="preserve">15. Xiao-Shan Yap; Jonas Heiberg; Bernhard Truffer. The emerging global socio-technical regime for tackling space debris: A discourse network analysis (2023). doi:</w:t>
      </w:r>
      <w:r>
        <w:t xml:space="preserve"> </w:t>
      </w:r>
      <w:hyperlink r:id="rId173">
        <w:r>
          <w:rPr>
            <w:rStyle w:val="Hyperlink"/>
          </w:rPr>
          <w:t xml:space="preserve">10.1016/j.actaastro.2023.01.016</w:t>
        </w:r>
      </w:hyperlink>
    </w:p>
    <w:p>
      <w:pPr>
        <w:pStyle w:val="BodyText"/>
        <w:spacing w:line="480" w:lineRule="auto"/>
        <w:ind w:firstLine="720"/>
      </w:pPr>
      <w:bookmarkStart w:id="174" w:name="ref-16"/>
      <w:bookmarkEnd w:id="174"/>
      <w:r>
        <w:t xml:space="preserve">16. Sreeja Nag; David D. Murakami; N. Marker; Miles Lifson; Parimal Kopardekar. Prototyping operational autonomy for Space Traffic Management (2020). doi:</w:t>
      </w:r>
      <w:r>
        <w:t xml:space="preserve"> </w:t>
      </w:r>
      <w:hyperlink r:id="rId175">
        <w:r>
          <w:rPr>
            <w:rStyle w:val="Hyperlink"/>
          </w:rPr>
          <w:t xml:space="preserve">10.1016/j.actaastro.2020.11.056</w:t>
        </w:r>
      </w:hyperlink>
    </w:p>
    <w:bookmarkEnd w:id="176"/>
    <w:bookmarkEnd w:id="177"/>
    <w:bookmarkStart w:id="19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5" w:name="Xb89dab43cb1709fa03999975ac64a4d713fe137"/>
    <w:p>
      <w:pPr>
        <w:pStyle w:val="Heading2"/>
        <w:spacing w:line="480" w:lineRule="auto"/>
      </w:pPr>
      <w:r>
        <w:t xml:space="preserve">A.1 Signal Intensity in Polycentric Cislunar STM: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6.2534</w:t>
            </w:r>
          </w:p>
        </w:tc>
        <w:tc>
          <w:tcPr>
            <w:tcW w:w="0" w:type="auto"/>
          </w:tcPr>
          <w:p>
            <w:pPr>
              <w:spacing w:line="240" w:lineRule="auto" w:before="0" w:after="0"/>
              <w:pStyle w:val="Compact"/>
            </w:pPr>
            <w:r>
              <w:rPr>
                <w:sz w:val="20"/>
                <w:szCs w:val="20"/>
              </w:rPr>
              <w:t xml:space="preserve">1.4998</w:t>
            </w:r>
          </w:p>
        </w:tc>
        <w:tc>
          <w:tcPr>
            <w:tcW w:w="0" w:type="auto"/>
          </w:tcPr>
          <w:p>
            <w:pPr>
              <w:spacing w:line="240" w:lineRule="auto" w:before="0" w:after="0"/>
              <w:pStyle w:val="Compact"/>
            </w:pPr>
            <w:r>
              <w:rPr>
                <w:sz w:val="20"/>
                <w:szCs w:val="20"/>
              </w:rPr>
              <w:t xml:space="preserve">4.1695</w:t>
            </w:r>
          </w:p>
        </w:tc>
        <w:tc>
          <w:tcPr>
            <w:tcW w:w="0" w:type="auto"/>
          </w:tcPr>
          <w:p>
            <w:pPr>
              <w:spacing w:line="240" w:lineRule="auto" w:before="0" w:after="0"/>
              <w:pStyle w:val="Compact"/>
            </w:pPr>
            <w:r>
              <w:rPr>
                <w:sz w:val="20"/>
                <w:szCs w:val="20"/>
              </w:rPr>
              <w:t xml:space="preserve">3.053e-05</w:t>
            </w:r>
          </w:p>
        </w:tc>
        <w:tc>
          <w:tcPr>
            <w:tcW w:w="0" w:type="auto"/>
          </w:tcPr>
          <w:p>
            <w:pPr>
              <w:spacing w:line="240" w:lineRule="auto" w:before="0" w:after="0"/>
              <w:pStyle w:val="Compact"/>
            </w:pPr>
            <w:r>
              <w:rPr>
                <w:sz w:val="20"/>
                <w:szCs w:val="20"/>
              </w:rPr>
              <w:t xml:space="preserve">[3.3138, 9.1929]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0.1608</w:t>
            </w:r>
          </w:p>
        </w:tc>
        <w:tc>
          <w:tcPr>
            <w:tcW w:w="0" w:type="auto"/>
          </w:tcPr>
          <w:p>
            <w:pPr>
              <w:spacing w:line="240" w:lineRule="auto" w:before="0" w:after="0"/>
              <w:pStyle w:val="Compact"/>
            </w:pPr>
            <w:r>
              <w:rPr>
                <w:sz w:val="20"/>
                <w:szCs w:val="20"/>
              </w:rPr>
              <w:t xml:space="preserve">0.2433</w:t>
            </w:r>
          </w:p>
        </w:tc>
        <w:tc>
          <w:tcPr>
            <w:tcW w:w="0" w:type="auto"/>
          </w:tcPr>
          <w:p>
            <w:pPr>
              <w:spacing w:line="240" w:lineRule="auto" w:before="0" w:after="0"/>
              <w:pStyle w:val="Compact"/>
            </w:pPr>
            <w:r>
              <w:rPr>
                <w:sz w:val="20"/>
                <w:szCs w:val="20"/>
              </w:rPr>
              <w:t xml:space="preserve">0.6608</w:t>
            </w:r>
          </w:p>
        </w:tc>
        <w:tc>
          <w:tcPr>
            <w:tcW w:w="0" w:type="auto"/>
          </w:tcPr>
          <w:p>
            <w:pPr>
              <w:spacing w:line="240" w:lineRule="auto" w:before="0" w:after="0"/>
              <w:pStyle w:val="Compact"/>
            </w:pPr>
            <w:r>
              <w:rPr>
                <w:sz w:val="20"/>
                <w:szCs w:val="20"/>
              </w:rPr>
              <w:t xml:space="preserve">0.5087</w:t>
            </w:r>
          </w:p>
        </w:tc>
        <w:tc>
          <w:tcPr>
            <w:tcW w:w="0" w:type="auto"/>
          </w:tcPr>
          <w:p>
            <w:pPr>
              <w:spacing w:line="240" w:lineRule="auto" w:before="0" w:after="0"/>
              <w:pStyle w:val="Compact"/>
            </w:pPr>
            <w:r>
              <w:rPr>
                <w:sz w:val="20"/>
                <w:szCs w:val="20"/>
              </w:rPr>
              <w:t xml:space="preserve">[-0.3161, 0.6378]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-0.0392</w:t>
            </w:r>
          </w:p>
        </w:tc>
        <w:tc>
          <w:tcPr>
            <w:tcW w:w="0" w:type="auto"/>
          </w:tcPr>
          <w:p>
            <w:pPr>
              <w:spacing w:line="240" w:lineRule="auto" w:before="0" w:after="0"/>
              <w:pStyle w:val="Compact"/>
            </w:pPr>
            <w:r>
              <w:rPr>
                <w:sz w:val="20"/>
                <w:szCs w:val="20"/>
              </w:rPr>
              <w:t xml:space="preserve">0.0336</w:t>
            </w:r>
          </w:p>
        </w:tc>
        <w:tc>
          <w:tcPr>
            <w:tcW w:w="0" w:type="auto"/>
          </w:tcPr>
          <w:p>
            <w:pPr>
              <w:spacing w:line="240" w:lineRule="auto" w:before="0" w:after="0"/>
              <w:pStyle w:val="Compact"/>
            </w:pPr>
            <w:r>
              <w:rPr>
                <w:sz w:val="20"/>
                <w:szCs w:val="20"/>
              </w:rPr>
              <w:t xml:space="preserve">-1.1669</w:t>
            </w:r>
          </w:p>
        </w:tc>
        <w:tc>
          <w:tcPr>
            <w:tcW w:w="0" w:type="auto"/>
          </w:tcPr>
          <w:p>
            <w:pPr>
              <w:spacing w:line="240" w:lineRule="auto" w:before="0" w:after="0"/>
              <w:pStyle w:val="Compact"/>
            </w:pPr>
            <w:r>
              <w:rPr>
                <w:sz w:val="20"/>
                <w:szCs w:val="20"/>
              </w:rPr>
              <w:t xml:space="preserve">0.2433</w:t>
            </w:r>
          </w:p>
        </w:tc>
        <w:tc>
          <w:tcPr>
            <w:tcW w:w="0" w:type="auto"/>
          </w:tcPr>
          <w:p>
            <w:pPr>
              <w:spacing w:line="240" w:lineRule="auto" w:before="0" w:after="0"/>
              <w:pStyle w:val="Compact"/>
            </w:pPr>
            <w:r>
              <w:rPr>
                <w:sz w:val="20"/>
                <w:szCs w:val="20"/>
              </w:rPr>
              <w:t xml:space="preserve">[-0.105, 0.0266]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-0.6629</w:t>
            </w:r>
          </w:p>
        </w:tc>
        <w:tc>
          <w:tcPr>
            <w:tcW w:w="0" w:type="auto"/>
          </w:tcPr>
          <w:p>
            <w:pPr>
              <w:spacing w:line="240" w:lineRule="auto" w:before="0" w:after="0"/>
              <w:pStyle w:val="Compact"/>
            </w:pPr>
            <w:r>
              <w:rPr>
                <w:sz w:val="20"/>
                <w:szCs w:val="20"/>
              </w:rPr>
              <w:t xml:space="preserve">0.5457</w:t>
            </w:r>
          </w:p>
        </w:tc>
        <w:tc>
          <w:tcPr>
            <w:tcW w:w="0" w:type="auto"/>
          </w:tcPr>
          <w:p>
            <w:pPr>
              <w:spacing w:line="240" w:lineRule="auto" w:before="0" w:after="0"/>
              <w:pStyle w:val="Compact"/>
            </w:pPr>
            <w:r>
              <w:rPr>
                <w:sz w:val="20"/>
                <w:szCs w:val="20"/>
              </w:rPr>
              <w:t xml:space="preserve">-1.2147</w:t>
            </w:r>
          </w:p>
        </w:tc>
        <w:tc>
          <w:tcPr>
            <w:tcW w:w="0" w:type="auto"/>
          </w:tcPr>
          <w:p>
            <w:pPr>
              <w:spacing w:line="240" w:lineRule="auto" w:before="0" w:after="0"/>
              <w:pStyle w:val="Compact"/>
            </w:pPr>
            <w:r>
              <w:rPr>
                <w:sz w:val="20"/>
                <w:szCs w:val="20"/>
              </w:rPr>
              <w:t xml:space="preserve">0.2245</w:t>
            </w:r>
          </w:p>
        </w:tc>
        <w:tc>
          <w:tcPr>
            <w:tcW w:w="0" w:type="auto"/>
          </w:tcPr>
          <w:p>
            <w:pPr>
              <w:spacing w:line="240" w:lineRule="auto" w:before="0" w:after="0"/>
              <w:pStyle w:val="Compact"/>
            </w:pPr>
            <w:r>
              <w:rPr>
                <w:sz w:val="20"/>
                <w:szCs w:val="20"/>
              </w:rPr>
              <w:t xml:space="preserve">[-1.7324, 0.4067]</w:t>
            </w:r>
          </w:p>
        </w:tc>
      </w:tr>
    </w:tbl>
    <w:p>
      <w:pPr>
        <w:pStyle w:val="BodyText"/>
        <w:spacing w:line="480" w:lineRule="auto"/>
        <w:ind w:firstLine="720"/>
      </w:pPr>
      <w:r>
        <w:t xml:space="preserve">Fit: N = 30 R2 = 0.089 R2_adj = -0.0162 F = 1.2151 F_p = 0.324</w:t>
      </w:r>
    </w:p>
    <w:bookmarkEnd w:id="178"/>
    <w:bookmarkStart w:id="18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0" name="Picture"/>
            <a:graphic>
              <a:graphicData uri="http://schemas.openxmlformats.org/drawingml/2006/picture">
                <pic:pic>
                  <pic:nvPicPr>
                    <pic:cNvPr descr="D:/Claude_Code/brain/collegium/candidates/dissertations/PHD-03/research_papers/p1/paper_fig1.png" id="181" name="Picture"/>
                    <pic:cNvPicPr>
                      <a:picLocks noChangeArrowheads="1" noChangeAspect="1"/>
                    </pic:cNvPicPr>
                  </pic:nvPicPr>
                  <pic:blipFill>
                    <a:blip r:embed="rId1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2"/>
    <w:bookmarkStart w:id="18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https://amostech.space/year/2021/utilization-potential-for-distinct-orbit-families-in-the-cislunar-domain/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10.64861/KUQJ3053</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https://amostech.space/year/2022/capacity-based-cislunar-space-domain-awareness-architecture-optimization/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10.64861/UAMB9924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10.64861/DDNM3393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10.64861/ACKU6440</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https://amostech.space/year/2022/eclipse-free-three-body-periodic-orbits-in-cislunar-space/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10.1016/j.actaastro.2025.09.078</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10.1016/j.actaastro.2024.12.037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10.1016/j.actaastro.2022.01.027</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10.1016/j.actaastro.2025.01.003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10.1016/j.actaastro.2026.02.030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10.1111/1758-5899.12950</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10.1162/glep_a_00775</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Astro-Environmentalism: Toward a Polycentric Governance of Space Debris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Four Alternative Scenarios of Commons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Reed and Dailey (MITRE, STM Conference 2023) propose a three-prong sociotechnical framework to enable a circular/lifecycle-oriented space economy: a standardized evolvable space ontology, a trusted symmetric information-sharing ecosystem (SISE), and actionable norms built on Minimal Viable Information (MVI) principles.</w:t>
            </w:r>
          </w:p>
        </w:tc>
      </w:tr>
    </w:tbl>
    <w:bookmarkEnd w:id="183"/>
    <w:bookmarkStart w:id="18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4"/>
    <w:bookmarkEnd w:id="185"/>
    <w:bookmarkStart w:id="193" w:name="X7fbbc07f31c3f46f81c56920603612b307cf139"/>
    <w:p>
      <w:pPr>
        <w:pStyle w:val="Heading2"/>
        <w:spacing w:line="480" w:lineRule="auto"/>
      </w:pPr>
      <w:r>
        <w:t xml:space="preserve">A.2 Attention Accumulation in Polycentric Cislunar STM: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1.2867</w:t>
            </w:r>
          </w:p>
        </w:tc>
        <w:tc>
          <w:tcPr>
            <w:tcW w:w="0" w:type="auto"/>
          </w:tcPr>
          <w:p>
            <w:pPr>
              <w:spacing w:line="240" w:lineRule="auto" w:before="0" w:after="0"/>
              <w:pStyle w:val="Compact"/>
            </w:pPr>
            <w:r>
              <w:rPr>
                <w:sz w:val="20"/>
                <w:szCs w:val="20"/>
              </w:rPr>
              <w:t xml:space="preserve">0.5628</w:t>
            </w:r>
          </w:p>
        </w:tc>
        <w:tc>
          <w:tcPr>
            <w:tcW w:w="0" w:type="auto"/>
          </w:tcPr>
          <w:p>
            <w:pPr>
              <w:spacing w:line="240" w:lineRule="auto" w:before="0" w:after="0"/>
              <w:pStyle w:val="Compact"/>
            </w:pPr>
            <w:r>
              <w:rPr>
                <w:sz w:val="20"/>
                <w:szCs w:val="20"/>
              </w:rPr>
              <w:t xml:space="preserve">2.2861</w:t>
            </w:r>
          </w:p>
        </w:tc>
        <w:tc>
          <w:tcPr>
            <w:tcW w:w="0" w:type="auto"/>
          </w:tcPr>
          <w:p>
            <w:pPr>
              <w:spacing w:line="240" w:lineRule="auto" w:before="0" w:after="0"/>
              <w:pStyle w:val="Compact"/>
            </w:pPr>
            <w:r>
              <w:rPr>
                <w:sz w:val="20"/>
                <w:szCs w:val="20"/>
              </w:rPr>
              <w:t xml:space="preserve">0.0222</w:t>
            </w:r>
          </w:p>
        </w:tc>
        <w:tc>
          <w:tcPr>
            <w:tcW w:w="0" w:type="auto"/>
          </w:tcPr>
          <w:p>
            <w:pPr>
              <w:spacing w:line="240" w:lineRule="auto" w:before="0" w:after="0"/>
              <w:pStyle w:val="Compact"/>
            </w:pPr>
            <w:r>
              <w:rPr>
                <w:sz w:val="20"/>
                <w:szCs w:val="20"/>
              </w:rPr>
              <w:t xml:space="preserve">[0.1836, 2.3898]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-0.3913</w:t>
            </w:r>
          </w:p>
        </w:tc>
        <w:tc>
          <w:tcPr>
            <w:tcW w:w="0" w:type="auto"/>
          </w:tcPr>
          <w:p>
            <w:pPr>
              <w:spacing w:line="240" w:lineRule="auto" w:before="0" w:after="0"/>
              <w:pStyle w:val="Compact"/>
            </w:pPr>
            <w:r>
              <w:rPr>
                <w:sz w:val="20"/>
                <w:szCs w:val="20"/>
              </w:rPr>
              <w:t xml:space="preserve">0.3919</w:t>
            </w:r>
          </w:p>
        </w:tc>
        <w:tc>
          <w:tcPr>
            <w:tcW w:w="0" w:type="auto"/>
          </w:tcPr>
          <w:p>
            <w:pPr>
              <w:spacing w:line="240" w:lineRule="auto" w:before="0" w:after="0"/>
              <w:pStyle w:val="Compact"/>
            </w:pPr>
            <w:r>
              <w:rPr>
                <w:sz w:val="20"/>
                <w:szCs w:val="20"/>
              </w:rPr>
              <w:t xml:space="preserve">-0.9983</w:t>
            </w:r>
          </w:p>
        </w:tc>
        <w:tc>
          <w:tcPr>
            <w:tcW w:w="0" w:type="auto"/>
          </w:tcPr>
          <w:p>
            <w:pPr>
              <w:spacing w:line="240" w:lineRule="auto" w:before="0" w:after="0"/>
              <w:pStyle w:val="Compact"/>
            </w:pPr>
            <w:r>
              <w:rPr>
                <w:sz w:val="20"/>
                <w:szCs w:val="20"/>
              </w:rPr>
              <w:t xml:space="preserve">0.3181</w:t>
            </w:r>
          </w:p>
        </w:tc>
        <w:tc>
          <w:tcPr>
            <w:tcW w:w="0" w:type="auto"/>
          </w:tcPr>
          <w:p>
            <w:pPr>
              <w:spacing w:line="240" w:lineRule="auto" w:before="0" w:after="0"/>
              <w:pStyle w:val="Compact"/>
            </w:pPr>
            <w:r>
              <w:rPr>
                <w:sz w:val="20"/>
                <w:szCs w:val="20"/>
              </w:rPr>
              <w:t xml:space="preserve">[-1.1594, 0.3769]</w:t>
            </w:r>
          </w:p>
        </w:tc>
      </w:tr>
    </w:tbl>
    <w:p>
      <w:pPr>
        <w:pStyle w:val="BodyText"/>
        <w:spacing w:line="480" w:lineRule="auto"/>
        <w:ind w:firstLine="720"/>
      </w:pPr>
      <w:r>
        <w:t xml:space="preserve">Fit: N = 30 R2 = 0.03 elasticity_b = -0.3913 progress_ratio_2^b = 0.7625</w:t>
      </w:r>
    </w:p>
    <w:bookmarkEnd w:id="186"/>
    <w:bookmarkStart w:id="19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8" name="Picture"/>
            <a:graphic>
              <a:graphicData uri="http://schemas.openxmlformats.org/drawingml/2006/picture">
                <pic:pic>
                  <pic:nvPicPr>
                    <pic:cNvPr descr="D:/Claude_Code/brain/collegium/candidates/dissertations/PHD-03/research_papers/p2/paper_fig1.png" id="189" name="Picture"/>
                    <pic:cNvPicPr>
                      <a:picLocks noChangeArrowheads="1" noChangeAspect="1"/>
                    </pic:cNvPicPr>
                  </pic:nvPicPr>
                  <pic:blipFill>
                    <a:blip r:embed="rId18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0"/>
    <w:bookmarkStart w:id="19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https://amostech.space/year/2021/utilization-potential-for-distinct-orbit-families-in-the-cislunar-domain/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10.64861/KUQJ3053</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https://amostech.space/year/2022/capacity-based-cislunar-space-domain-awareness-architecture-optimization/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10.64861/UAMB9924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10.64861/DDNM3393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10.64861/ACKU6440</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https://amostech.space/year/2022/eclipse-free-three-body-periodic-orbits-in-cislunar-space/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10.1016/j.actaastro.2025.09.078</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10.1016/j.actaastro.2024.12.037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10.1016/j.actaastro.2022.01.027</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10.1016/j.actaastro.2025.01.003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10.1016/j.actaastro.2026.02.030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10.1111/1758-5899.12950</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10.1162/glep_a_00775</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Astro-Environmentalism: Toward a Polycentric Governance of Space Debris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Four Alternative Scenarios of Commons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Reed and Dailey (MITRE, STM Conference 2023) propose a three-prong sociotechnical framework to enable a circular/lifecycle-oriented space economy: a standardized evolvable space ontology, a trusted symmetric information-sharing ecosystem (SISE), and actionable norms built on Minimal Viable Information (MVI) principles.</w:t>
            </w:r>
          </w:p>
        </w:tc>
      </w:tr>
    </w:tbl>
    <w:bookmarkEnd w:id="191"/>
    <w:bookmarkStart w:id="19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2"/>
    <w:bookmarkEnd w:id="193"/>
    <w:bookmarkEnd w:id="1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9" Type="http://schemas.openxmlformats.org/officeDocument/2006/relationships/image" Target="media/rId179.png"/><Relationship Id="rId187" Type="http://schemas.openxmlformats.org/officeDocument/2006/relationships/image" Target="media/rId187.png"/><Relationship Id="rId175" Type="http://schemas.openxmlformats.org/officeDocument/2006/relationships/hyperlink" Target="https://doi.org/10.1016/j.actaastro.2020.11.056" TargetMode="External"/><Relationship Id="rId173" Type="http://schemas.openxmlformats.org/officeDocument/2006/relationships/hyperlink" Target="https://doi.org/10.1016/j.actaastro.2023.01.016" TargetMode="External"/><Relationship Id="rId165" Type="http://schemas.openxmlformats.org/officeDocument/2006/relationships/hyperlink" Target="https://doi.org/10.1016/j.actaastro.2024.09.005" TargetMode="External"/><Relationship Id="rId171" Type="http://schemas.openxmlformats.org/officeDocument/2006/relationships/hyperlink" Target="https://doi.org/10.1016/j.actaastro.2024.09.063" TargetMode="External"/><Relationship Id="rId167" Type="http://schemas.openxmlformats.org/officeDocument/2006/relationships/hyperlink" Target="https://doi.org/10.1016/j.actaastro.2024.12.037" TargetMode="External"/><Relationship Id="rId161" Type="http://schemas.openxmlformats.org/officeDocument/2006/relationships/hyperlink" Target="https://doi.org/10.1016/j.actaastro.2024.12.056" TargetMode="External"/><Relationship Id="rId169" Type="http://schemas.openxmlformats.org/officeDocument/2006/relationships/hyperlink" Target="https://doi.org/10.1016/j.actaastro.2025.07.027" TargetMode="External"/><Relationship Id="rId163" Type="http://schemas.openxmlformats.org/officeDocument/2006/relationships/hyperlink" Target="https://doi.org/10.1016/j.actaastro.2025.09.078" TargetMode="External"/><Relationship Id="rId153" Type="http://schemas.openxmlformats.org/officeDocument/2006/relationships/hyperlink" Target="https://doi.org/10.64861/KUQJ3053" TargetMode="External"/><Relationship Id="rId158" Type="http://schemas.openxmlformats.org/officeDocument/2006/relationships/hyperlink" Target="https://doi.org/10.64861/UAMB9924" TargetMode="External"/></Relationships>
</file>

<file path=word/_rels/footnotes.xml.rels><?xml version='1.0' encoding='UTF-8' standalone='yes'?>
<Relationships xmlns="http://schemas.openxmlformats.org/package/2006/relationships"><Relationship Id="rId175" Type="http://schemas.openxmlformats.org/officeDocument/2006/relationships/hyperlink" Target="https://doi.org/10.1016/j.actaastro.2020.11.056" TargetMode="External"/><Relationship Id="rId173" Type="http://schemas.openxmlformats.org/officeDocument/2006/relationships/hyperlink" Target="https://doi.org/10.1016/j.actaastro.2023.01.016" TargetMode="External"/><Relationship Id="rId165" Type="http://schemas.openxmlformats.org/officeDocument/2006/relationships/hyperlink" Target="https://doi.org/10.1016/j.actaastro.2024.09.005" TargetMode="External"/><Relationship Id="rId171" Type="http://schemas.openxmlformats.org/officeDocument/2006/relationships/hyperlink" Target="https://doi.org/10.1016/j.actaastro.2024.09.063" TargetMode="External"/><Relationship Id="rId167" Type="http://schemas.openxmlformats.org/officeDocument/2006/relationships/hyperlink" Target="https://doi.org/10.1016/j.actaastro.2024.12.037" TargetMode="External"/><Relationship Id="rId161" Type="http://schemas.openxmlformats.org/officeDocument/2006/relationships/hyperlink" Target="https://doi.org/10.1016/j.actaastro.2024.12.056" TargetMode="External"/><Relationship Id="rId169" Type="http://schemas.openxmlformats.org/officeDocument/2006/relationships/hyperlink" Target="https://doi.org/10.1016/j.actaastro.2025.07.027" TargetMode="External"/><Relationship Id="rId163" Type="http://schemas.openxmlformats.org/officeDocument/2006/relationships/hyperlink" Target="https://doi.org/10.1016/j.actaastro.2025.09.078" TargetMode="External"/><Relationship Id="rId153" Type="http://schemas.openxmlformats.org/officeDocument/2006/relationships/hyperlink" Target="https://doi.org/10.64861/KUQJ3053" TargetMode="External"/><Relationship Id="rId158" Type="http://schemas.openxmlformats.org/officeDocument/2006/relationships/hyperlink" Target="https://doi.org/10.64861/UAMB99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Polycentric Cislunar STM</dc:title>
  <dc:creator>Soren Vance (1B-SDA-188)</dc:creator>
  <cp:keywords/>
  <dcterms:created xsi:type="dcterms:W3CDTF">2026-07-02T20:53:40Z</dcterms:created>
  <dcterms:modified xsi:type="dcterms:W3CDTF">2026-07-02T20:53:40Z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