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878f564c77fc871ccdfaa9029d35b5f165ae870"/>
    <w:p>
      <w:pPr>
        <w:pStyle w:val="Heading1"/>
      </w:pPr>
      <w:r>
        <w:t xml:space="preserve">Signal Intensity in HELEN Code validated ML-ready on-orbit nomenclature: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Petra Holloway (1B-SDA-203) and the dissertation project</w:t>
      </w:r>
      <w:r>
        <w:t xml:space="preserve"> </w:t>
      </w:r>
      <w:r>
        <w:rPr>
          <w:i/>
          <w:iCs/>
        </w:rPr>
        <w:t xml:space="preserve">HELEN Code: validated ML-ready on-orbit nomenclature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R2=0.12661037676116482, R2_adj=0.02583465100283766, F=1.899068829079275, F_p=0.1545582956359392. The exact term summary is: const coef=1.1511174290135693 p=0.12139665501208521; recency_index coef=0.13524669809623202 p=0.03215461509379793; cites_num coef=-0.10459372488333873 p=0.23242379938120405; venue_score coef=-0.5414978227228566 p=0.10553020087481926.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Shaylah Mutschler, Space Environment Technologies; W. Kent Tobiska, Space Environment Technologies; Marcin Pilinski, University of Colorado at Boulder / Laboratory for Atmospheric and Space Physics; Sean Bruinsma, Centre National d’Études Spatiales; Eric Sutton, University of Colorado / SWx TREC; Delores Knipp, Smead Aerospace Engineering Sciences Dept, University of Colorado; Vishnuu Mallik, Planet Labs PBC; Bhavi Jagatia, Planet; Mike Siegers, Planet; Tzu-Wei Fang, NOAA Space Weather Prediction Center; Tim Fuller-Rowell, Department of Commerce (NOAA); Brandon diLorenzo, Space Environment Technologies; Steve Casali, Omitron Inc.; Christian Siemes, Delft University of Technology; Kaiya Wahl, Space Environment Technologies. A Survey of Current Operations-Ready Thermospheric Density Models for Drag Modeling in LEO Operations (2023). doi:</w:t>
      </w:r>
      <w:r>
        <w:t xml:space="preserve"> </w:t>
      </w:r>
      <w:hyperlink r:id="rId68">
        <w:r>
          <w:rPr>
            <w:rStyle w:val="Hyperlink"/>
          </w:rPr>
          <w:t xml:space="preserve">10.64861/PFPI7186</w:t>
        </w:r>
      </w:hyperlink>
      <w:r>
        <w:t xml:space="preserve"> </w:t>
      </w:r>
      <w:bookmarkStart w:id="69" w:name="ref-2"/>
      <w:bookmarkEnd w:id="69"/>
      <w:r>
        <w:t xml:space="preserve">2. Rainer Dressler (Air Force Research Laboratory), Benjamin D. Hester (Air Force Research Laboratory), Paul F. Sydney (Boeing Corp.), Lewis Roberts (Boeing Corp.), Kris Hamada (Pacific Defense Solutions), Paul Kervin (Air Force Research Laboratory), Mark P. Bolden (Air Force Research Laboratory), Capt. Albert F. Meza (DoD Space Test Program, Johnson Space Center), Darrin T. Walker (DoD Space Test Program, Johnson Space Center), James C. McLeroy (DoD Space Test Program, Johnson Space Center), Lawrence S. Bernstein (Spectral Science, Inc.), James W. Duff (Spectral Science, Inc.), Matthew Braunstein Spectral Science, Inc.). First Light from the MAUI Space Experiment (2007). [AMOS]</w:t>
      </w:r>
      <w:r>
        <w:t xml:space="preserve"> </w:t>
      </w:r>
      <w:bookmarkStart w:id="70" w:name="ref-3"/>
      <w:bookmarkEnd w:id="70"/>
      <w:r>
        <w:t xml:space="preserve">3. Matthew Hejduk, The Aerospace Corporation; Scott Miller, NASA Ames Research Center; David Murakami, NASA Ames Research Center; Austin Probe, Emergent Space Technologies; Graham Bryan, Emergent Space Technologies; Alex Petrov, SpaceX; David Goldstein, SpaceX; Elliott Schwartz, Space; Erik Babcock, SpaceX. Conjunction Assessment and Deconfliction Paradigm for Co-Located Satellite Constellations with On-Spacecraft Autonomous Flight Dynamics Control (2023). doi:</w:t>
      </w:r>
      <w:r>
        <w:t xml:space="preserve"> </w:t>
      </w:r>
      <w:hyperlink r:id="rId71">
        <w:r>
          <w:rPr>
            <w:rStyle w:val="Hyperlink"/>
          </w:rPr>
          <w:t xml:space="preserve">10.64861/KKFT4985</w:t>
        </w:r>
      </w:hyperlink>
      <w:r>
        <w:t xml:space="preserve"> </w:t>
      </w:r>
      <w:bookmarkStart w:id="72" w:name="ref-4"/>
      <w:bookmarkEnd w:id="72"/>
      <w:r>
        <w:t xml:space="preserve">4.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73">
        <w:r>
          <w:rPr>
            <w:rStyle w:val="Hyperlink"/>
          </w:rPr>
          <w:t xml:space="preserve">10.64861/FHSX9637</w:t>
        </w:r>
      </w:hyperlink>
      <w:r>
        <w:t xml:space="preserve"> </w:t>
      </w:r>
      <w:bookmarkStart w:id="74" w:name="ref-5"/>
      <w:bookmarkEnd w:id="74"/>
      <w:r>
        <w:t xml:space="preserve">5. Matthew P. Wilkins, (Applied Defense Solutions), Columbia, MD, Avi Pfeffer, Charles River Analytics, Cambridge, MA, Paul W. Schumacher (Air Force Research Laboratory), Kihei, HI, Moriba K. Jah, (Air Force Research Laboratory), Albuquerque, NM. Towards an Artificial Space Object Taxonomy (2013). [AMOS]</w:t>
      </w:r>
      <w:r>
        <w:t xml:space="preserve"> </w:t>
      </w:r>
      <w:bookmarkStart w:id="75" w:name="ref-6"/>
      <w:bookmarkEnd w:id="75"/>
      <w:r>
        <w:t xml:space="preserve">6. Edwin Barker (Johnson Space Center) M. J. Matney (Johnson Space Center), J.-C. Liou (ESCG), K. J. Abercromby (ESCG), H. M. Rodriguez (ESCG), M. F. Horstman (ESCG), P. Seitzer (University of Michigan). Comparison of Orbital Parameters for GEO Debris Predicted by LEGEND and Observed by MODEST: Can Sources of Orbital Debris be Identified? (2006). [AMOS]</w:t>
      </w:r>
      <w:r>
        <w:t xml:space="preserve"> </w:t>
      </w:r>
      <w:bookmarkStart w:id="76" w:name="ref-7"/>
      <w:bookmarkEnd w:id="76"/>
      <w:r>
        <w:t xml:space="preserve">7. Tamara E. Payne, Applied Optimization, Stephen A. Gregory, Applied Optimization, Anthony Dentamaro, Applied Optimization, Markus Ernst, Applied Optimization, Jeffrey Hollon, Applied Optimization, Adam Kruchten, Applied Optimization, Anil B. Chaudhary, Applied Optimization, Phan D. Dao, AFRL/RVBY. Development and Evaluation of New Methods for Estimating Albedo-area for Stable GEOs (2017). [AMOS]</w:t>
      </w:r>
      <w:r>
        <w:t xml:space="preserve"> </w:t>
      </w:r>
      <w:bookmarkStart w:id="77" w:name="ref-8"/>
      <w:bookmarkEnd w:id="77"/>
      <w:r>
        <w:t xml:space="preserve">8. Rachel Stutz, Orion Space Solutions; Jeff Steward, Orion Space Solutions; Connor Johnstone, Orion Space Solutions; Tyler O’Connell, Orion Space Solutions; Junk Wilson, Orion Space Solutions; John Noto, Orion Space Solutions; Marcin Pilinski, Laboratory for Atmospheric and Space Physics; David Vallado, COMSPOC; Shaylah Mutschler, Space Environment Technologies. Dragster 2.0: An Operations-Ready Framework for Neutral Density Assimilation (2024). doi:</w:t>
      </w:r>
      <w:r>
        <w:t xml:space="preserve"> </w:t>
      </w:r>
      <w:hyperlink r:id="rId78">
        <w:r>
          <w:rPr>
            <w:rStyle w:val="Hyperlink"/>
          </w:rPr>
          <w:t xml:space="preserve">10.64861/QCTZ1039</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1.1511</w:t>
            </w:r>
          </w:p>
        </w:tc>
        <w:tc>
          <w:tcPr>
            <w:tcW w:w="0" w:type="auto"/>
          </w:tcPr>
          <w:p>
            <w:pPr>
              <w:spacing w:line="240" w:lineRule="auto" w:before="0" w:after="0"/>
              <w:pStyle w:val="Compact"/>
            </w:pPr>
            <w:r>
              <w:rPr>
                <w:sz w:val="20"/>
                <w:szCs w:val="20"/>
              </w:rPr>
              <w:t xml:space="preserve">0.7432</w:t>
            </w:r>
          </w:p>
        </w:tc>
        <w:tc>
          <w:tcPr>
            <w:tcW w:w="0" w:type="auto"/>
          </w:tcPr>
          <w:p>
            <w:pPr>
              <w:spacing w:line="240" w:lineRule="auto" w:before="0" w:after="0"/>
              <w:pStyle w:val="Compact"/>
            </w:pPr>
            <w:r>
              <w:rPr>
                <w:sz w:val="20"/>
                <w:szCs w:val="20"/>
              </w:rPr>
              <w:t xml:space="preserve">1.5489</w:t>
            </w:r>
          </w:p>
        </w:tc>
        <w:tc>
          <w:tcPr>
            <w:tcW w:w="0" w:type="auto"/>
          </w:tcPr>
          <w:p>
            <w:pPr>
              <w:spacing w:line="240" w:lineRule="auto" w:before="0" w:after="0"/>
              <w:pStyle w:val="Compact"/>
            </w:pPr>
            <w:r>
              <w:rPr>
                <w:sz w:val="20"/>
                <w:szCs w:val="20"/>
              </w:rPr>
              <w:t xml:space="preserve">0.1214</w:t>
            </w:r>
          </w:p>
        </w:tc>
        <w:tc>
          <w:tcPr>
            <w:tcW w:w="0" w:type="auto"/>
          </w:tcPr>
          <w:p>
            <w:pPr>
              <w:spacing w:line="240" w:lineRule="auto" w:before="0" w:after="0"/>
              <w:pStyle w:val="Compact"/>
            </w:pPr>
            <w:r>
              <w:rPr>
                <w:sz w:val="20"/>
                <w:szCs w:val="20"/>
              </w:rPr>
              <w:t xml:space="preserve">[-0.3055, 2.6077]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0.1352</w:t>
            </w:r>
          </w:p>
        </w:tc>
        <w:tc>
          <w:tcPr>
            <w:tcW w:w="0" w:type="auto"/>
          </w:tcPr>
          <w:p>
            <w:pPr>
              <w:spacing w:line="240" w:lineRule="auto" w:before="0" w:after="0"/>
              <w:pStyle w:val="Compact"/>
            </w:pPr>
            <w:r>
              <w:rPr>
                <w:sz w:val="20"/>
                <w:szCs w:val="20"/>
              </w:rPr>
              <w:t xml:space="preserve">0.0631</w:t>
            </w:r>
          </w:p>
        </w:tc>
        <w:tc>
          <w:tcPr>
            <w:tcW w:w="0" w:type="auto"/>
          </w:tcPr>
          <w:p>
            <w:pPr>
              <w:spacing w:line="240" w:lineRule="auto" w:before="0" w:after="0"/>
              <w:pStyle w:val="Compact"/>
            </w:pPr>
            <w:r>
              <w:rPr>
                <w:sz w:val="20"/>
                <w:szCs w:val="20"/>
              </w:rPr>
              <w:t xml:space="preserve">2.1425</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[0.0115, 0.259]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-0.1046</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[-0.2763, 0.0671]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-1.6186</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[-1.1972, 0.1142]</w:t>
            </w:r>
          </w:p>
        </w:tc>
      </w:tr>
    </w:tbl>
    <w:p>
      <w:pPr>
        <w:pStyle w:val="BodyText"/>
      </w:pPr>
      <w:r>
        <w:t xml:space="preserve">Fit: N = 30 R2 = 0.1266 R2_adj = 0.0258 F = 1.8991 F_p = 0.1546</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PHD-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10.64861/PFPI7186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https://amostech.space/year/2007/first-light-from-the-maui-space-experiment/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https://amostech.space/year/2013/towards-an-artificial-space-object-taxonomy/</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https://amostech.space/year/2006/comparison-of-orbital-parameters-for-geo-debris-predicted-by-legend-and-observed-by-modest-can-sources-of-orbital-debris-be-identified/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https://amostech.space/year/2017/development-and-evaluation-of-new-methods-for-estimating-albedo-area-for-stable-geos/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10.64861/QCTZ1039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10.64861/QYQB6394</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https://amostech.space/year/2017/debris-attitude-motion-measurements-and-modeling-observation-vs-simulation/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https://amostech.space/year/2021/enhanced-standard-data-format-for-reporting-electro-optical-data-products-for-space-domain-awareness/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10.1016/j.actaastro.2026.05.018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10.1016/j.actaastro.2023.06.027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10.1016/j.actaastro.2025.06.061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10.1016/j.actaastro.2022.10.022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Source-Sink Evolutionary Modeling Framework</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Outer Space as a Global Commons: An Empirical Study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MOCAT-SSEM: MIT Orbital Capacity Assessment Tool Source-Sink Evolutionary Modeling Framework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10.5334/ijc.1271</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1.1511</w:t>
            </w:r>
          </w:p>
        </w:tc>
        <w:tc>
          <w:tcPr>
            <w:tcW w:w="0" w:type="auto"/>
          </w:tcPr>
          <w:p>
            <w:pPr>
              <w:spacing w:line="240" w:lineRule="auto" w:before="0" w:after="0"/>
              <w:pStyle w:val="Compact"/>
            </w:pPr>
            <w:r>
              <w:rPr>
                <w:sz w:val="20"/>
                <w:szCs w:val="20"/>
              </w:rPr>
              <w:t xml:space="preserve">0.7432</w:t>
            </w:r>
          </w:p>
        </w:tc>
        <w:tc>
          <w:tcPr>
            <w:tcW w:w="0" w:type="auto"/>
          </w:tcPr>
          <w:p>
            <w:pPr>
              <w:spacing w:line="240" w:lineRule="auto" w:before="0" w:after="0"/>
              <w:pStyle w:val="Compact"/>
            </w:pPr>
            <w:r>
              <w:rPr>
                <w:sz w:val="20"/>
                <w:szCs w:val="20"/>
              </w:rPr>
              <w:t xml:space="preserve">1.5489</w:t>
            </w:r>
          </w:p>
        </w:tc>
        <w:tc>
          <w:tcPr>
            <w:tcW w:w="0" w:type="auto"/>
          </w:tcPr>
          <w:p>
            <w:pPr>
              <w:spacing w:line="240" w:lineRule="auto" w:before="0" w:after="0"/>
              <w:pStyle w:val="Compact"/>
            </w:pPr>
            <w:r>
              <w:rPr>
                <w:sz w:val="20"/>
                <w:szCs w:val="20"/>
              </w:rPr>
              <w:t xml:space="preserve">0.1214</w:t>
            </w:r>
          </w:p>
        </w:tc>
        <w:tc>
          <w:tcPr>
            <w:tcW w:w="0" w:type="auto"/>
          </w:tcPr>
          <w:p>
            <w:pPr>
              <w:spacing w:line="240" w:lineRule="auto" w:before="0" w:after="0"/>
              <w:pStyle w:val="Compact"/>
            </w:pPr>
            <w:r>
              <w:rPr>
                <w:sz w:val="20"/>
                <w:szCs w:val="20"/>
              </w:rPr>
              <w:t xml:space="preserve">[-0.3055, 2.6077]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0.1352</w:t>
            </w:r>
          </w:p>
        </w:tc>
        <w:tc>
          <w:tcPr>
            <w:tcW w:w="0" w:type="auto"/>
          </w:tcPr>
          <w:p>
            <w:pPr>
              <w:spacing w:line="240" w:lineRule="auto" w:before="0" w:after="0"/>
              <w:pStyle w:val="Compact"/>
            </w:pPr>
            <w:r>
              <w:rPr>
                <w:sz w:val="20"/>
                <w:szCs w:val="20"/>
              </w:rPr>
              <w:t xml:space="preserve">0.0631</w:t>
            </w:r>
          </w:p>
        </w:tc>
        <w:tc>
          <w:tcPr>
            <w:tcW w:w="0" w:type="auto"/>
          </w:tcPr>
          <w:p>
            <w:pPr>
              <w:spacing w:line="240" w:lineRule="auto" w:before="0" w:after="0"/>
              <w:pStyle w:val="Compact"/>
            </w:pPr>
            <w:r>
              <w:rPr>
                <w:sz w:val="20"/>
                <w:szCs w:val="20"/>
              </w:rPr>
              <w:t xml:space="preserve">2.1425</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[0.0115, 0.259]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-0.1046</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[-0.2763, 0.0671]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-1.6186</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[-1.1972, 0.1142]</w:t>
            </w:r>
          </w:p>
        </w:tc>
      </w:tr>
    </w:tbl>
    <w:p>
      <w:pPr>
        <w:pStyle w:val="BodyText"/>
      </w:pPr>
      <w:r>
        <w:t xml:space="preserve">Fit: N = 30 R2 = 0.1266 R2_adj = 0.0258 F = 1.8991 F_p = 0.1546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FHSX9637" TargetMode="External" /><Relationship Type="http://schemas.openxmlformats.org/officeDocument/2006/relationships/hyperlink" Id="rId71" Target="https://doi.org/10.64861/KKFT4985" TargetMode="External" /><Relationship Type="http://schemas.openxmlformats.org/officeDocument/2006/relationships/hyperlink" Id="rId68" Target="https://doi.org/10.64861/PFPI7186" TargetMode="External" /><Relationship Type="http://schemas.openxmlformats.org/officeDocument/2006/relationships/hyperlink" Id="rId78" Target="https://doi.org/10.64861/QCTZ1039"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FHSX9637" TargetMode="External" /><Relationship Type="http://schemas.openxmlformats.org/officeDocument/2006/relationships/hyperlink" Id="rId71" Target="https://doi.org/10.64861/KKFT4985" TargetMode="External" /><Relationship Type="http://schemas.openxmlformats.org/officeDocument/2006/relationships/hyperlink" Id="rId68" Target="https://doi.org/10.64861/PFPI7186" TargetMode="External" /><Relationship Type="http://schemas.openxmlformats.org/officeDocument/2006/relationships/hyperlink" Id="rId78" Target="https://doi.org/10.64861/QCTZ103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2026-06-29T09:37:40Z</dcterms:created>
  <dcterms:modified xsi:type="dcterms:W3CDTF">2026-06-29T09:37:40Z</dcterms:modified>
</cp:coreProperties>
</file>

<file path=docProps/custom.xml><?xml version="1.0" encoding="utf-8"?>
<Properties xmlns="http://schemas.openxmlformats.org/officeDocument/2006/custom-properties" xmlns:vt="http://schemas.openxmlformats.org/officeDocument/2006/docPropsVTypes"/>
</file>