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HELEN CODE: VALIDATED ML-READY ON-ORBIT NOMENCLATURE</w:t>
      </w:r>
    </w:p>
    <w:p>
      <w:pPr>
        <w:jc w:val="center"/>
      </w:pPr>
    </w:p>
    <w:p>
      <w:pPr>
        <w:jc w:val="center"/>
      </w:pPr>
      <w:r>
        <w:rPr>
          <w:rFonts w:ascii="Times New Roman" w:hAnsi="Times New Roman"/>
          <w:sz w:val="24"/>
        </w:rPr>
        <w:t>by</w:t>
      </w:r>
    </w:p>
    <w:p>
      <w:pPr>
        <w:jc w:val="center"/>
      </w:pPr>
      <w:r>
        <w:rPr>
          <w:rFonts w:ascii="Times New Roman" w:hAnsi="Times New Roman"/>
          <w:b/>
          <w:sz w:val="28"/>
        </w:rPr>
        <w:t>Petra Holloway</w:t>
      </w:r>
    </w:p>
    <w:p>
      <w:pPr>
        <w:jc w:val="center"/>
      </w:pPr>
      <w:r>
        <w:rPr>
          <w:rFonts w:ascii="Times New Roman" w:hAnsi="Times New Roman"/>
          <w:sz w:val="24"/>
        </w:rPr>
        <w:t>1B-SDA-203</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9" w:name="chapter-1.-introduction"/>
    <w:p>
      <w:pPr>
        <w:pStyle w:val="Heading1"/>
        <w:spacing w:line="480" w:lineRule="auto"/>
      </w:pPr>
      <w:r>
        <w:t xml:space="preserve">Chapter 1. Introduction</w:t>
      </w:r>
    </w:p>
    <w:p>
      <w:pPr>
        <w:pStyle w:val="FirstParagraph"/>
        <w:spacing w:line="480" w:lineRule="auto"/>
      </w:pPr>
      <w:r>
        <w:t xml:space="preserve">Space governance keeps arriving late. A hazard becomes visible in the technical record long before any institution agrees on the operating rule that should govern it, and by the time the rule hardens, the observed population of objects, maneuvers, and near misses has already moved on. This dissertation begins from that lag and treats it as something measurable rather than as an unavoidable feature of the field. The central object of study is a naming problem. Before analysts can reason at scale about on-orbit events, those events need a nomenclature that a machine can read, a nomenclature stable enough to survive the transition from one sensor tasking cycle to the next and expressive enough to carry the distinctions that operators actually care about. The HELEN Code is the candidate nomenclature at the center of this work, and the question is not whether such a code is desirable in the abstract. The question is whether the need for it, and the shape it should take, can be detected in evidence that already exists.</w:t>
      </w:r>
    </w:p>
    <w:p>
      <w:pPr>
        <w:pStyle w:val="BodyText"/>
        <w:spacing w:line="480" w:lineRule="auto"/>
        <w:ind w:firstLine="720"/>
      </w:pPr>
      <w:r>
        <w:t xml:space="preserve">That framing matters because the space situational awareness literature is full of nomenclature proposals that never left the page. Taxonomies for artificial space objects have been sketched before, sometimes with real conceptual care, and yet the operational catalogs still lean on ad hoc labels and locally negotiated conventions</w:t>
      </w:r>
      <w:r>
        <w:t xml:space="preserve"> </w:t>
      </w:r>
      <w:hyperlink w:anchor="ref-5">
        <w:r>
          <w:rPr>
            <w:rStyle w:val="Hyperlink"/>
          </w:rPr>
          <w:t xml:space="preserve">[5]</w:t>
        </w:r>
      </w:hyperlink>
      <w:r>
        <w:t xml:space="preserve">. The gap is not a shortage of good ideas. The gap is a shortage of disciplined evidence about when a naming convention is ready, meaning when the underlying literature has converged enough to support a shared vocabulary and when downstream tools have matured enough to consume one. A validated, machine-ready nomenclature is a governance artifact as much as a technical one, and governance artifacts fail when they are proposed on intuition alone.</w:t>
      </w:r>
    </w:p>
    <w:p>
      <w:pPr>
        <w:pStyle w:val="BodyText"/>
        <w:spacing w:line="480" w:lineRule="auto"/>
        <w:ind w:firstLine="720"/>
      </w:pPr>
      <w:r>
        <w:t xml:space="preserve">This is the whole of it. A naming problem, posed as a measurable question, tested against real evidence rather than asserted from conviction.</w:t>
      </w:r>
    </w:p>
    <w:bookmarkStart w:id="61" w:name="the-problem-and-why-it-matters"/>
    <w:p>
      <w:pPr>
        <w:pStyle w:val="Heading2"/>
        <w:spacing w:line="480" w:lineRule="auto"/>
      </w:pPr>
      <w:r>
        <w:t xml:space="preserve">1.1 The problem and why it matters</w:t>
      </w:r>
    </w:p>
    <w:p>
      <w:pPr>
        <w:pStyle w:val="FirstParagraph"/>
        <w:spacing w:line="480" w:lineRule="auto"/>
      </w:pPr>
      <w:r>
        <w:t xml:space="preserve">Consider the practical setting. Operators of large co-located constellations now perform conjunction assessment and deconfliction with a degree of onboard autonomy that was uncommon a decade ago, and the coordination burden across neighboring spacecraft has grown accordingly</w:t>
      </w:r>
      <w:r>
        <w:t xml:space="preserve"> </w:t>
      </w:r>
      <w:hyperlink w:anchor="ref-3">
        <w:r>
          <w:rPr>
            <w:rStyle w:val="Hyperlink"/>
          </w:rPr>
          <w:t xml:space="preserve">[3]</w:t>
        </w:r>
      </w:hyperlink>
      <w:r>
        <w:t xml:space="preserve">. Each such system generates events, and each event needs a label before it can be logged, shared, or fed into an automated pipeline. When the labels are inconsistent across operators and across archives, the machine-learning systems that increasingly sit downstream inherit that inconsistency as noise. A nomenclature that is validated and machine-ready is, in this sense, infrastructure. It is the layer that lets heterogeneous observations become a single trainable corpus. That layer is small. Its failure is not.</w:t>
      </w:r>
    </w:p>
    <w:p>
      <w:pPr>
        <w:pStyle w:val="BodyText"/>
        <w:spacing w:line="480" w:lineRule="auto"/>
        <w:ind w:firstLine="720"/>
      </w:pPr>
      <w:r>
        <w:t xml:space="preserve">A parallel illustration comes from the drag-and-density community. A recent survey of operations-ready thermospheric density models documents how many distinct modeling frameworks now compete for the same operational role, each with its own conventions, and how difficult it becomes to reason across them without a common reference frame</w:t>
      </w:r>
      <w:r>
        <w:t xml:space="preserve"> </w:t>
      </w:r>
      <w:hyperlink w:anchor="ref-1">
        <w:r>
          <w:rPr>
            <w:rStyle w:val="Hyperlink"/>
          </w:rPr>
          <w:t xml:space="preserve">[1]</w:t>
        </w:r>
      </w:hyperlink>
      <w:r>
        <w:t xml:space="preserve">. Assimilation frameworks such as the neutral-density system described by Stutz and colleagues push toward operational readiness precisely by standardizing inputs and outputs so that a model can be swapped without breaking the pipeline around it</w:t>
      </w:r>
      <w:r>
        <w:t xml:space="preserve"> </w:t>
      </w:r>
      <w:hyperlink w:anchor="ref-8">
        <w:r>
          <w:rPr>
            <w:rStyle w:val="Hyperlink"/>
          </w:rPr>
          <w:t xml:space="preserve">[8]</w:t>
        </w:r>
      </w:hyperlink>
      <w:r>
        <w:t xml:space="preserve">. The lesson generalizes. Standardization is what turns a collection of competing tools into a functioning system, and naming is the first and cheapest standardization to get wrong.</w:t>
      </w:r>
    </w:p>
    <w:p>
      <w:pPr>
        <w:pStyle w:val="BodyText"/>
        <w:spacing w:line="480" w:lineRule="auto"/>
        <w:ind w:firstLine="720"/>
      </w:pPr>
      <w:r>
        <w:t xml:space="preserve">Why should a doctoral project care about naming rather than, say, a new estimator for orbit determination or a new sensor architecture? Because the leverage sits upstream. A better label propagates through every tool that reads it, while a better estimator improves only the tool that contains it. The stakes are cumulative. If the retrieved literature shows that attention to on-orbit nomenclature is rising, is concentrated in particular venues, and is accumulating citations in a structured way, then the case for investing in a validated code rests on evidence rather than on assertion. If the literature shows no such structure, then the honest conclusion is that the field is not yet ready, and a premature standard would ossify the wrong distinctions.</w:t>
      </w:r>
    </w:p>
    <w:bookmarkEnd w:id="61"/>
    <w:bookmarkStart w:id="62" w:name="the-single-falsifiable-contribution"/>
    <w:p>
      <w:pPr>
        <w:pStyle w:val="Heading2"/>
        <w:spacing w:line="480" w:lineRule="auto"/>
      </w:pPr>
      <w:r>
        <w:t xml:space="preserve">1.2 The single falsifiable contribution</w:t>
      </w:r>
    </w:p>
    <w:p>
      <w:pPr>
        <w:pStyle w:val="FirstParagraph"/>
        <w:spacing w:line="480" w:lineRule="auto"/>
      </w:pPr>
      <w:r>
        <w:t xml:space="preserve">This is a design-stage dissertation, and it makes exactly one falsifiable claim. The claim concerns whether the candidate topic signal, the degree to which a retrieved source engages the on-orbit nomenclature theme, is systematically related to three observable features of that source: how recent it is, how much citation attention it has attracted, and which venue family published it. The null hypothesis states that the topic signal is unrelated to publication recency, citation attention, and venue family across the retrieved corpus. The alternative states that the topic signal is systematically related to those three features. The contribution is not a grand theory of space governance. It is a bounded, testable proposition that can be rejected by data. That is the whole design. Nothing more.</w:t>
      </w:r>
    </w:p>
    <w:p>
      <w:pPr>
        <w:pStyle w:val="BodyText"/>
        <w:spacing w:line="480" w:lineRule="auto"/>
        <w:ind w:firstLine="720"/>
      </w:pPr>
      <w:r>
        <w:t xml:space="preserve">Holding the contribution to a single falsifiable statement is a deliberate discipline. Much writing in this domain slides from a defensible technical observation to an expansive policy recommendation without pausing at the step where evidence would either support or embarrass the leap. The design here refuses that slide. It builds a local source corpus, constructs deterministic variables from that corpus, runs two transparent estimators, and reports only what those estimators return. Where a coefficient is signed and precise, the dissertation reads structure. Where a coefficient is imprecise, it reads caution. The reader is never asked to trust an interpretation that the numbers do not carry. Trust is earned, row by row.</w:t>
      </w:r>
    </w:p>
    <w:p>
      <w:pPr>
        <w:pStyle w:val="BodyText"/>
        <w:spacing w:line="480" w:lineRule="auto"/>
        <w:ind w:firstLine="720"/>
      </w:pPr>
      <w:r>
        <w:t xml:space="preserve">Two empirical screens implement the test. The first is an ordinary least squares model of topic-signal intensity as a function of recency, citation count, and venue family. The second is a log-log learning-curve model of citation accumulation as a function of article age. Neither screen resolves the full governance question, and neither pretends to. Together they discipline the evidence and reveal the internal structure of the retrieved corpus, which is precisely what a design-stage project should deliver before anyone commits resources to building the code itself.</w:t>
      </w:r>
    </w:p>
    <w:bookmarkEnd w:id="62"/>
    <w:bookmarkStart w:id="63" w:name="approach-in-brief"/>
    <w:p>
      <w:pPr>
        <w:pStyle w:val="Heading2"/>
        <w:spacing w:line="480" w:lineRule="auto"/>
      </w:pPr>
      <w:r>
        <w:t xml:space="preserve">1.3 Approach in brief</w:t>
      </w:r>
    </w:p>
    <w:p>
      <w:pPr>
        <w:pStyle w:val="FirstParagraph"/>
        <w:spacing w:line="480" w:lineRule="auto"/>
      </w:pPr>
      <w:r>
        <w:t xml:space="preserve">The evidentiary chain runs from source selection to variables to estimator output to interpretation, and every link is meant to be inspectable. The source corpus is candidate-specific and drawn from local records that span technical, governance, and policy material across venues and years</w:t>
      </w:r>
      <w:r>
        <w:t xml:space="preserve"> </w:t>
      </w:r>
      <w:hyperlink w:anchor="ref-2">
        <w:r>
          <w:rPr>
            <w:rStyle w:val="Hyperlink"/>
          </w:rPr>
          <w:t xml:space="preserve">[2]</w:t>
        </w:r>
      </w:hyperlink>
      <w:r>
        <w:t xml:space="preserve"> </w:t>
      </w:r>
      <w:hyperlink w:anchor="ref-4">
        <w:r>
          <w:rPr>
            <w:rStyle w:val="Hyperlink"/>
          </w:rPr>
          <w:t xml:space="preserve">[4]</w:t>
        </w:r>
      </w:hyperlink>
      <w:r>
        <w:t xml:space="preserve">. From those records the design derives deterministic feature rows, each preserving its source provenance, its publication year, its venue family, and the constructed variables the estimators consume. Nothing in the pipeline depends on a judgment call that a later reader cannot re-examine.</w:t>
      </w:r>
    </w:p>
    <w:p>
      <w:pPr>
        <w:pStyle w:val="BodyText"/>
        <w:spacing w:line="480" w:lineRule="auto"/>
        <w:ind w:firstLine="720"/>
      </w:pPr>
      <w:r>
        <w:t xml:space="preserve">By construction, the methodological posture is modest. Citation counts here are local index measures, not universal citation totals, and the venue-family coding is ordinal and should not be overread. These are not apologies. They are the terms on which the evidence is offered, and stating them plainly is part of what makes the single contribution falsifiable rather than merely suggestive. A claim that cannot be wrong is not a scientific claim, and much of the effort in the chapters that follow goes into specifying the conditions under which this claim would be wrong.</w:t>
      </w:r>
    </w:p>
    <w:p>
      <w:pPr>
        <w:pStyle w:val="BodyText"/>
        <w:spacing w:line="480" w:lineRule="auto"/>
        <w:ind w:firstLine="720"/>
      </w:pPr>
      <w:r>
        <w:t xml:space="preserve">There is a second reason to keep the approach lean. A design-stage dissertation is a proposal for a future confirmatory study as much as it is a finding in its own right. When the pipeline is transparent, the next researcher can inherit it, swap in a richer corpus, and re-run the same screens without reverse-engineering a black box. The value of the work is therefore partly methodological: it shows how a governance intuition about naming can be turned into an inspectable measurement problem, and it leaves behind an artifact that others can extend rather than merely admire.</w:t>
      </w:r>
    </w:p>
    <w:bookmarkEnd w:id="63"/>
    <w:bookmarkStart w:id="64" w:name="roadmap"/>
    <w:p>
      <w:pPr>
        <w:pStyle w:val="Heading2"/>
        <w:spacing w:line="480" w:lineRule="auto"/>
      </w:pPr>
      <w:r>
        <w:t xml:space="preserve">1.4 Roadmap</w:t>
      </w:r>
    </w:p>
    <w:p>
      <w:pPr>
        <w:pStyle w:val="FirstParagraph"/>
        <w:spacing w:line="480" w:lineRule="auto"/>
      </w:pPr>
      <w:r>
        <w:t xml:space="preserve">The dissertation proceeds in eight chapters. Chapter 2 situates the project against prior work on space object taxonomy, sensor and density standardization, and the measurement of scholarly attention, drawing the boundary between what earlier work established and what it left open</w:t>
      </w:r>
      <w:r>
        <w:t xml:space="preserve"> </w:t>
      </w:r>
      <w:hyperlink w:anchor="ref-5">
        <w:r>
          <w:rPr>
            <w:rStyle w:val="Hyperlink"/>
          </w:rPr>
          <w:t xml:space="preserve">[5]</w:t>
        </w:r>
      </w:hyperlink>
      <w:r>
        <w:t xml:space="preserve"> </w:t>
      </w:r>
      <w:hyperlink w:anchor="ref-1">
        <w:r>
          <w:rPr>
            <w:rStyle w:val="Hyperlink"/>
          </w:rPr>
          <w:t xml:space="preserve">[1]</w:t>
        </w:r>
      </w:hyperlink>
      <w:r>
        <w:t xml:space="preserve">. Chapter 3 develops the theory: it specifies the mechanism by which a maturing literature should leave detectable traces in source metadata, and it derives the testable predictions that the two screens evaluate. Chapter 4 sets out the methodology and the identification logic, explaining why an ordinary least squares screen and a learning-curve screen, applied to this corpus, speak to the hypothesis rather than to some unrelated artifact of the data.</w:t>
      </w:r>
    </w:p>
    <w:p>
      <w:pPr>
        <w:pStyle w:val="BodyText"/>
        <w:spacing w:line="480" w:lineRule="auto"/>
        <w:ind w:firstLine="720"/>
      </w:pPr>
      <w:r>
        <w:t xml:space="preserve">Chapter 5 documents the data and measurement in full: the thirty retrieved source records, the construction of the topic-signal score, the recency index, the citation measure, and the ordinal venue score, together with the provenance that keeps each row auditable. Chapter 6 reports the results exactly as the estimators produced them, coefficient by coefficient, and interprets the signs and magnitudes without inflating them. Chapter 7 turns to discussion and limitations, naming the threats to validity and stating clearly what this corpus can and cannot show. Chapter 8 draws the conclusions together, connects the bounded empirical finding to the larger governance and program relevance of a validated on-orbit nomenclature, and sketches the more direct document-coding design that a confirmatory study would require</w:t>
      </w:r>
      <w:r>
        <w:t xml:space="preserve"> </w:t>
      </w:r>
      <w:hyperlink w:anchor="ref-6">
        <w:r>
          <w:rPr>
            <w:rStyle w:val="Hyperlink"/>
          </w:rPr>
          <w:t xml:space="preserve">[6]</w:t>
        </w:r>
      </w:hyperlink>
      <w:r>
        <w:t xml:space="preserve"> </w:t>
      </w:r>
      <w:hyperlink w:anchor="ref-3">
        <w:r>
          <w:rPr>
            <w:rStyle w:val="Hyperlink"/>
          </w:rPr>
          <w:t xml:space="preserve">[3]</w:t>
        </w:r>
      </w:hyperlink>
      <w:r>
        <w:t xml:space="preserve">.</w:t>
      </w:r>
    </w:p>
    <w:p>
      <w:pPr>
        <w:pStyle w:val="BodyText"/>
        <w:spacing w:line="480" w:lineRule="auto"/>
        <w:ind w:firstLine="720"/>
      </w:pPr>
      <w:r>
        <w:t xml:space="preserve">Simple to state and demanding to honor, the through line runs the length of the argument. A dissertation in this pipeline should leave its reader with a traceable path from the first retrieved source to the final interpretation, with no hidden step and no unearned conclusion. The chapters that follow are built to keep that path visible, and to keep the single falsifiable claim in view at every step, so that a reader who disagrees with the conclusion can point to the exact coefficient, the exact variable, or the exact source record where the disagreement begins.</w:t>
      </w:r>
    </w:p>
    <w:bookmarkEnd w:id="64"/>
    <w:bookmarkStart w:id="65" w:name="X717c771934bc83aabb171fb034925c1b634cb85"/>
    <w:p>
      <w:pPr>
        <w:pStyle w:val="Heading2"/>
        <w:spacing w:line="480" w:lineRule="auto"/>
      </w:pPr>
      <w:r>
        <w:t xml:space="preserve">1.5 Why nomenclature is the right unit of analysis</w:t>
      </w:r>
    </w:p>
    <w:p>
      <w:pPr>
        <w:pStyle w:val="FirstParagraph"/>
        <w:spacing w:line="480" w:lineRule="auto"/>
      </w:pPr>
      <w:r>
        <w:t xml:space="preserve">A reasonable skeptic might ask why a nomenclature deserves a doctoral study at all. Naming can seem like clerical work, a convention to be settled by a standards committee rather than interrogated by research. The answer is that in an automated enterprise, the name is the interface, and the interface is where systems succeed or fail together. When a conjunction-assessment pipeline hands an event to a downstream classifier, the only thing that crosses the boundary is a labeled record, and the label carries the entire semantic burden of the handoff. A brittle label breaks the handoff silently, producing a plausible but wrong result that no exception handler flags. That failure mode is precisely the kind that autonomy makes dangerous, because there is no human in the loop to notice the label meant something different on the other side</w:t>
      </w:r>
      <w:r>
        <w:t xml:space="preserve"> </w:t>
      </w:r>
      <w:hyperlink w:anchor="ref-3">
        <w:r>
          <w:rPr>
            <w:rStyle w:val="Hyperlink"/>
          </w:rPr>
          <w:t xml:space="preserve">[3]</w:t>
        </w:r>
      </w:hyperlink>
      <w:r>
        <w:t xml:space="preserve">.</w:t>
      </w:r>
    </w:p>
    <w:p>
      <w:pPr>
        <w:pStyle w:val="BodyText"/>
        <w:spacing w:line="480" w:lineRule="auto"/>
        <w:ind w:firstLine="720"/>
      </w:pPr>
      <w:r>
        <w:t xml:space="preserve">Where the leverage compounds also drives the choice of unit. A new orbit-determination method improves the tool that contains it and stops there. A shared nomenclature improves every tool that reads it, and it does so cumulatively, because each newly compliant tool raises the value of compliance for the next. Standardization exhibits this network property across the space enterprise, from density-model interfaces to sensor-data formats, and it is the reason a survey of competing operational models reads as a call for common conventions rather than for a single winning model</w:t>
      </w:r>
      <w:r>
        <w:t xml:space="preserve"> </w:t>
      </w:r>
      <w:hyperlink w:anchor="ref-1">
        <w:r>
          <w:rPr>
            <w:rStyle w:val="Hyperlink"/>
          </w:rPr>
          <w:t xml:space="preserve">[1]</w:t>
        </w:r>
      </w:hyperlink>
      <w:r>
        <w:t xml:space="preserve"> </w:t>
      </w:r>
      <w:hyperlink w:anchor="ref-8">
        <w:r>
          <w:rPr>
            <w:rStyle w:val="Hyperlink"/>
          </w:rPr>
          <w:t xml:space="preserve">[8]</w:t>
        </w:r>
      </w:hyperlink>
      <w:r>
        <w:t xml:space="preserve">. Studying the naming layer is studying the point of maximum shared dependence.</w:t>
      </w:r>
    </w:p>
    <w:p>
      <w:pPr>
        <w:pStyle w:val="BodyText"/>
        <w:spacing w:line="480" w:lineRule="auto"/>
        <w:ind w:firstLine="720"/>
      </w:pPr>
      <w:r>
        <w:t xml:space="preserve">There is a historical argument as well. The instrumentation that feeds today’s automated catalogs is young, much of it maturing within the two-decade window this corpus covers, and the labeling conventions grew up piecemeal alongside particular sensors and particular missions</w:t>
      </w:r>
      <w:r>
        <w:t xml:space="preserve"> </w:t>
      </w:r>
      <w:hyperlink w:anchor="ref-2">
        <w:r>
          <w:rPr>
            <w:rStyle w:val="Hyperlink"/>
          </w:rPr>
          <w:t xml:space="preserve">[2]</w:t>
        </w:r>
      </w:hyperlink>
      <w:r>
        <w:t xml:space="preserve">. Conventions that accreted this way are rarely optimal and often incompatible, and the cost of reconciling them rises the longer they persist. A study that asks whether the field is ready to consolidate its naming is therefore timely rather than academic, because the window in which consolidation is cheap does not stay open indefinitely.</w:t>
      </w:r>
    </w:p>
    <w:bookmarkEnd w:id="65"/>
    <w:bookmarkStart w:id="66" w:name="the-epistemic-stance"/>
    <w:p>
      <w:pPr>
        <w:pStyle w:val="Heading2"/>
        <w:spacing w:line="480" w:lineRule="auto"/>
      </w:pPr>
      <w:r>
        <w:t xml:space="preserve">1.6 The epistemic stance</w:t>
      </w:r>
    </w:p>
    <w:p>
      <w:pPr>
        <w:pStyle w:val="FirstParagraph"/>
        <w:spacing w:line="480" w:lineRule="auto"/>
      </w:pPr>
      <w:r>
        <w:t xml:space="preserve">One more commitment shapes everything that follows: the dissertation prefers a small, checkable claim to a large, unfalsifiable one. This is not intellectual timidity. It is a response to a genuine pathology in the surrounding literature, where a sound technical observation is too often stretched into a sweeping policy prescription that no evidence in the paper actually supports. The stretch is seductive because it makes the work feel consequential, and it is corrosive because it trains readers to expect conclusions that outrun their warrants. The design here refuses the stretch on principle, and it accepts the cost: the conclusions will be narrower than a reader hoping for a grand recommendation might want.</w:t>
      </w:r>
    </w:p>
    <w:p>
      <w:pPr>
        <w:pStyle w:val="BodyText"/>
        <w:spacing w:line="480" w:lineRule="auto"/>
        <w:ind w:firstLine="720"/>
      </w:pPr>
      <w:r>
        <w:t xml:space="preserve">Narrow conclusions carry a compensating benefit: they are load-bearing. When the dissertation says recency is associated with topic engagement, it means a specific coefficient with a specific sign and a specific precision, computed from a specific file that anyone can open. When it declines to say the topic has matured, it is because the joint test and the attention channel do not support that stronger statement, and declining is itself an act of intellectual honesty rather than a hedge. A reader can build on a claim of this kind, because its foundation is visible and its limits are marked. That is the standard the eight chapters hold themselves to, and it is the standard by which the single falsifiable contribution should be judged</w:t>
      </w:r>
      <w:r>
        <w:t xml:space="preserve"> </w:t>
      </w:r>
      <w:hyperlink w:anchor="ref-5">
        <w:r>
          <w:rPr>
            <w:rStyle w:val="Hyperlink"/>
          </w:rPr>
          <w:t xml:space="preserve">[5]</w:t>
        </w:r>
      </w:hyperlink>
      <w:r>
        <w:t xml:space="preserve"> </w:t>
      </w:r>
      <w:hyperlink w:anchor="ref-4">
        <w:r>
          <w:rPr>
            <w:rStyle w:val="Hyperlink"/>
          </w:rPr>
          <w:t xml:space="preserve">[4]</w:t>
        </w:r>
      </w:hyperlink>
      <w:r>
        <w:t xml:space="preserve">.</w:t>
      </w:r>
    </w:p>
    <w:bookmarkEnd w:id="66"/>
    <w:bookmarkStart w:id="67" w:name="the-design-stage-posture"/>
    <w:p>
      <w:pPr>
        <w:pStyle w:val="Heading2"/>
        <w:spacing w:line="480" w:lineRule="auto"/>
      </w:pPr>
      <w:r>
        <w:t xml:space="preserve">1.7 The design-stage posture</w:t>
      </w:r>
    </w:p>
    <w:p>
      <w:pPr>
        <w:pStyle w:val="FirstParagraph"/>
        <w:spacing w:line="480" w:lineRule="auto"/>
      </w:pPr>
      <w:r>
        <w:t xml:space="preserve">This dissertation is explicitly a design-stage inquiry, and the phrase carries a specific meaning that shapes what the reader should expect. A design-stage study does not deliver a finished, deployed artifact and measure its effects in the field. It asks a prior question: is the ground prepared for such an artifact, and does the available evidence justify the investment of building it. The distinction matters because the two kinds of study answer to different standards. A deployment study is judged by whether the artifact works. A design-stage study is judged by whether it has honestly assessed readiness and drawn a defensible path from evidence to recommendation.</w:t>
      </w:r>
    </w:p>
    <w:p>
      <w:pPr>
        <w:pStyle w:val="BodyText"/>
        <w:spacing w:line="480" w:lineRule="auto"/>
        <w:ind w:firstLine="720"/>
      </w:pPr>
      <w:r>
        <w:t xml:space="preserve">A direct consequence for the empirical strategy follows from this posture. Because the artifact does not yet exist, there is no performance to measure, and the only evidence available is the evidence embedded in the literature and the retrieved record. The design leans into that constraint rather than apologizing for it. It treats the retrieved corpus as the observable trace of a field deciding whether it is ready to standardize, and it reads that trace with instruments borrowed from the study of scholarly attention. The two screens are, in this sense, readiness instruments, and their output is a readiness verdict rather than a performance metric</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A design-stage posture also disciplines the scope of the recommendation. It would be easy, and common, for a study of this kind to conclude with an expansive call to build the artifact immediately. This dissertation resists that ending. Its recommendation is proportionate to its evidence: a single significant channel warrants a modest, hedged case for early investment, and the marginal and null channels warrant explicit caution about how far the recommendation can reach. The reader who wants a ringing endorsement will not find one, and that absence is deliberate, because the evidence does not license one</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posture, finally, positions the work as the first study in a sequence rather than a self-contained verdict. A confirmatory study, with a richer corpus and a sharper outcome measure, is the natural successor, and much of the value of the design-stage work lies in specifying what that successor must do. The dissertation therefore ends not with a claim of finality but with a clear articulation of the next step, which is exactly what a design-stage inquiry should hand to the studies that follow it</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bookmarkEnd w:id="67"/>
    <w:bookmarkStart w:id="68" w:name="what-the-reader-should-carry-forward"/>
    <w:p>
      <w:pPr>
        <w:pStyle w:val="Heading2"/>
        <w:spacing w:line="480" w:lineRule="auto"/>
      </w:pPr>
      <w:r>
        <w:t xml:space="preserve">1.8 What the reader should carry forward</w:t>
      </w:r>
    </w:p>
    <w:p>
      <w:pPr>
        <w:pStyle w:val="FirstParagraph"/>
        <w:spacing w:line="480" w:lineRule="auto"/>
      </w:pPr>
      <w:r>
        <w:t xml:space="preserve">Before the argument proper begins, it is worth naming the three things the reader should carry into the chapters ahead. The first is the single falsifiable claim: topic engagement in the retrieved corpus is systematically related to recency, citation attention, and venue family, or it is not. Everything else is support structure around that claim. The second is the commitment to traceability: every variable, every coefficient, and every interpretation can be followed back to a specific source record, and the reader is invited to make that trace wherever a conclusion seems to outrun its warrant. The third is the proportionality of the conclusions: the dissertation says exactly as much as its evidence supports, and no more, and it marks the boundary between the two explicitly.</w:t>
      </w:r>
    </w:p>
    <w:p>
      <w:pPr>
        <w:pStyle w:val="BodyText"/>
        <w:spacing w:line="480" w:lineRule="auto"/>
        <w:ind w:firstLine="720"/>
      </w:pPr>
      <w:r>
        <w:t xml:space="preserve">Holding these three in view converts what could be a dry bibliometric exercise into a disciplined argument about readiness. The stakes, restated once more, are real: a validated, machine-ready nomenclature is infrastructure for an increasingly automated space enterprise, and getting its timing right, neither too early nor too late, depends on being able to read the field’s readiness from evidence rather than intuition</w:t>
      </w:r>
      <w:r>
        <w:t xml:space="preserve"> </w:t>
      </w:r>
      <w:hyperlink w:anchor="ref-3">
        <w:r>
          <w:rPr>
            <w:rStyle w:val="Hyperlink"/>
          </w:rPr>
          <w:t xml:space="preserve">[3]</w:t>
        </w:r>
      </w:hyperlink>
      <w:r>
        <w:t xml:space="preserve"> </w:t>
      </w:r>
      <w:hyperlink w:anchor="ref-1">
        <w:r>
          <w:rPr>
            <w:rStyle w:val="Hyperlink"/>
          </w:rPr>
          <w:t xml:space="preserve">[1]</w:t>
        </w:r>
      </w:hyperlink>
      <w:r>
        <w:t xml:space="preserve">. The chapters that follow supply one honest, bounded reading of that readiness, and they do so such that a later study can inherit, extend, and improve the reading.</w:t>
      </w:r>
    </w:p>
    <w:bookmarkEnd w:id="68"/>
    <w:bookmarkEnd w:id="69"/>
    <w:bookmarkStart w:id="80" w:name="chapter-2.-literature-review"/>
    <w:p>
      <w:pPr>
        <w:pStyle w:val="Heading1"/>
        <w:spacing w:line="480" w:lineRule="auto"/>
      </w:pPr>
      <w:r>
        <w:t xml:space="preserve">Chapter 2. Literature Review</w:t>
      </w:r>
    </w:p>
    <w:p>
      <w:pPr>
        <w:pStyle w:val="FirstParagraph"/>
        <w:spacing w:line="480" w:lineRule="auto"/>
      </w:pPr>
      <w:r>
        <w:t xml:space="preserve">The project sits at the intersection of three literatures that rarely speak to one another: the technical work on classifying and tracking on-orbit objects, the systems work on standardizing operational tools, and the bibliometric tradition that treats scholarly attention itself as measurable. Each contributes a piece of the argument, and each leaves a gap that this dissertation is designed to probe. Reading them together is the point. A nomenclature question cannot be answered from any single literature alone, because a validated code has to be technically meaningful, operationally consumable, and visible in the record of what researchers actually publish.</w:t>
      </w:r>
    </w:p>
    <w:bookmarkStart w:id="70" w:name="classifying-on-orbit-objects"/>
    <w:p>
      <w:pPr>
        <w:pStyle w:val="Heading2"/>
        <w:spacing w:line="480" w:lineRule="auto"/>
      </w:pPr>
      <w:r>
        <w:t xml:space="preserve">2.1 Classifying on-orbit objects</w:t>
      </w:r>
    </w:p>
    <w:p>
      <w:pPr>
        <w:pStyle w:val="FirstParagraph"/>
        <w:spacing w:line="480" w:lineRule="auto"/>
      </w:pPr>
      <w:r>
        <w:t xml:space="preserve">Its most direct antecedent is the effort to build a principled taxonomy of artificial space objects. Wilkins and colleagues proposed exactly such a taxonomy more than a decade ago, arguing that the community needed a structured way to describe what a resident space object is and how it should be categorized, rather than a proliferation of local labels</w:t>
      </w:r>
      <w:r>
        <w:t xml:space="preserve"> </w:t>
      </w:r>
      <w:hyperlink w:anchor="ref-5">
        <w:r>
          <w:rPr>
            <w:rStyle w:val="Hyperlink"/>
          </w:rPr>
          <w:t xml:space="preserve">[5]</w:t>
        </w:r>
      </w:hyperlink>
      <w:r>
        <w:t xml:space="preserve">. Their contribution was conceptual and durable. What it did not settle was the question of readiness: whether the surrounding literature had matured to the point where a shared taxonomy would be adopted rather than admired, and whether the downstream tooling could actually consume a machine-readable code.</w:t>
      </w:r>
    </w:p>
    <w:p>
      <w:pPr>
        <w:pStyle w:val="BodyText"/>
        <w:spacing w:line="480" w:lineRule="auto"/>
        <w:ind w:firstLine="720"/>
      </w:pPr>
      <w:r>
        <w:t xml:space="preserve">That unresolved readiness question is the hinge of the present work. A taxonomy can be logically sound and still fail in practice if it lands before the field is ready to standardize. The debris-observation literature illustrates how hard categorization becomes when the underlying phenomena resist clean labels. Barker and colleagues, comparing predicted and observed orbital parameters for geosynchronous debris, confronted the basic difficulty of attributing objects to sources at all, a difficulty that any nomenclature must eventually encode</w:t>
      </w:r>
      <w:r>
        <w:t xml:space="preserve"> </w:t>
      </w:r>
      <w:hyperlink w:anchor="ref-6">
        <w:r>
          <w:rPr>
            <w:rStyle w:val="Hyperlink"/>
          </w:rPr>
          <w:t xml:space="preserve">[6]</w:t>
        </w:r>
      </w:hyperlink>
      <w:r>
        <w:t xml:space="preserve">. Naming and attribution are entangled. Cleanly separating them is impossible. A code that cannot represent uncertainty about an object’s origin will misrepresent exactly the cases that matter most.</w:t>
      </w:r>
    </w:p>
    <w:p>
      <w:pPr>
        <w:pStyle w:val="BodyText"/>
        <w:spacing w:line="480" w:lineRule="auto"/>
        <w:ind w:firstLine="720"/>
      </w:pPr>
      <w:r>
        <w:t xml:space="preserve">Characterization work deepens the point. Efforts to estimate albedo and area for stable geosynchronous objects show how much inferential machinery sits between a raw observation and a confident label, and how method-dependent the resulting descriptors are</w:t>
      </w:r>
      <w:r>
        <w:t xml:space="preserve"> </w:t>
      </w:r>
      <w:hyperlink w:anchor="ref-7">
        <w:r>
          <w:rPr>
            <w:rStyle w:val="Hyperlink"/>
          </w:rPr>
          <w:t xml:space="preserve">[7]</w:t>
        </w:r>
      </w:hyperlink>
      <w:r>
        <w:t xml:space="preserve">. If the descriptors themselves are contested and model-specific, then a nomenclature built on top of them inherits that contestation. This is not an argument against a code. It is an argument that a code must be validated against the state of the underlying science, which is precisely the readiness question that motivates the empirical screens in later chapters.</w:t>
      </w:r>
    </w:p>
    <w:p>
      <w:pPr>
        <w:pStyle w:val="BodyText"/>
        <w:spacing w:line="480" w:lineRule="auto"/>
        <w:ind w:firstLine="720"/>
      </w:pPr>
      <w:r>
        <w:t xml:space="preserve">Early sensor experiments in the same tradition remind us how young the operational data record still is. The MAUI Space Experiment reported first light on hardware intended to characterize objects that older catalogs could barely resolve, a reminder that much of the instrumentation now feeding automated pipelines matured within the span covered by this corpus</w:t>
      </w:r>
      <w:r>
        <w:t xml:space="preserve"> </w:t>
      </w:r>
      <w:hyperlink w:anchor="ref-2">
        <w:r>
          <w:rPr>
            <w:rStyle w:val="Hyperlink"/>
          </w:rPr>
          <w:t xml:space="preserve">[2]</w:t>
        </w:r>
      </w:hyperlink>
      <w:r>
        <w:t xml:space="preserve">. A nomenclature designed today inherits a data history that is short, uneven, and still consolidating, and that history shapes how confident any labeling scheme can be.</w:t>
      </w:r>
    </w:p>
    <w:bookmarkEnd w:id="70"/>
    <w:bookmarkStart w:id="71" w:name="Xd02400f8f5500be12359da2e56430bc15b0db29"/>
    <w:p>
      <w:pPr>
        <w:pStyle w:val="Heading2"/>
        <w:spacing w:line="480" w:lineRule="auto"/>
      </w:pPr>
      <w:r>
        <w:t xml:space="preserve">2.2 Standardization as operational infrastructure</w:t>
      </w:r>
    </w:p>
    <w:p>
      <w:pPr>
        <w:pStyle w:val="FirstParagraph"/>
        <w:spacing w:line="480" w:lineRule="auto"/>
      </w:pPr>
      <w:r>
        <w:t xml:space="preserve">A second literature treats standardization not as a taxonomic nicety but as the load-bearing infrastructure of operational space activity. The clearest recent statement comes from the density-modeling community. Mutschler and colleagues survey the operations-ready thermospheric density models now in use and document a landscape crowded with competing frameworks, each adequate in isolation and awkward to reconcile in combination</w:t>
      </w:r>
      <w:r>
        <w:t xml:space="preserve"> </w:t>
      </w:r>
      <w:hyperlink w:anchor="ref-1">
        <w:r>
          <w:rPr>
            <w:rStyle w:val="Hyperlink"/>
          </w:rPr>
          <w:t xml:space="preserve">[1]</w:t>
        </w:r>
      </w:hyperlink>
      <w:r>
        <w:t xml:space="preserve">. The survey reads, implicitly, as a plea for common reference conventions. When many models occupy the same operational role, the friction is not in any one model but in the interfaces between them.</w:t>
      </w:r>
    </w:p>
    <w:p>
      <w:pPr>
        <w:pStyle w:val="BodyText"/>
        <w:spacing w:line="480" w:lineRule="auto"/>
        <w:ind w:firstLine="720"/>
      </w:pPr>
      <w:r>
        <w:t xml:space="preserve">Assimilation frameworks respond to that friction by standardizing the pipeline. Stutz and colleagues describe a neutral-density assimilation system built for operational readiness, where the discipline lies in fixing the input and output conventions so that a density model becomes a swappable component rather than a bespoke integration</w:t>
      </w:r>
      <w:r>
        <w:t xml:space="preserve"> </w:t>
      </w:r>
      <w:hyperlink w:anchor="ref-8">
        <w:r>
          <w:rPr>
            <w:rStyle w:val="Hyperlink"/>
          </w:rPr>
          <w:t xml:space="preserve">[8]</w:t>
        </w:r>
      </w:hyperlink>
      <w:r>
        <w:t xml:space="preserve">. The generalizable lesson is that operational readiness is largely a standardization achievement. A tool becomes operations-ready when the conventions around it are stable enough that other tools can depend on them without renegotiation.</w:t>
      </w:r>
    </w:p>
    <w:p>
      <w:pPr>
        <w:pStyle w:val="BodyText"/>
        <w:spacing w:line="480" w:lineRule="auto"/>
        <w:ind w:firstLine="720"/>
      </w:pPr>
      <w:r>
        <w:t xml:space="preserve">Autonomy raises the stakes further. Hejduk and colleagues describe conjunction assessment and deconfliction for co-located constellations under on-spacecraft autonomous flight dynamics control, a setting in which decisions happen faster than human coordination can keep pace with</w:t>
      </w:r>
      <w:r>
        <w:t xml:space="preserve"> </w:t>
      </w:r>
      <w:hyperlink w:anchor="ref-3">
        <w:r>
          <w:rPr>
            <w:rStyle w:val="Hyperlink"/>
          </w:rPr>
          <w:t xml:space="preserve">[3]</w:t>
        </w:r>
      </w:hyperlink>
      <w:r>
        <w:t xml:space="preserve">. When spacecraft label and resolve their own conjunction events, the labels have to mean the same thing across operators, or the autonomous logic on one platform will misread the state reported by another. A machine-ready nomenclature is not a convenience in that world. It is a safety property. Full stop. It is a precondition for the autonomy to be safe.</w:t>
      </w:r>
    </w:p>
    <w:p>
      <w:pPr>
        <w:pStyle w:val="BodyText"/>
        <w:spacing w:line="480" w:lineRule="auto"/>
        <w:ind w:firstLine="720"/>
      </w:pPr>
      <w:r>
        <w:t xml:space="preserve">Sensor architecture supplies a complementary angle. Kirshner and Pearce study optical sensor constellation architectures for space domain awareness through model-based trade studies, showing how architectural choices are evaluated against structured criteria rather than intuition</w:t>
      </w:r>
      <w:r>
        <w:t xml:space="preserve"> </w:t>
      </w:r>
      <w:hyperlink w:anchor="ref-4">
        <w:r>
          <w:rPr>
            <w:rStyle w:val="Hyperlink"/>
          </w:rPr>
          <w:t xml:space="preserve">[4]</w:t>
        </w:r>
      </w:hyperlink>
      <w:r>
        <w:t xml:space="preserve">. Their model-based approach mirrors the epistemic stance of this dissertation: a claim about what the system needs should be tested against structured evidence, not asserted. The parallel is deliberate. If sensor architectures earn their place through trade studies, a nomenclature should earn its place through an equivalent evidentiary test.</w:t>
      </w:r>
    </w:p>
    <w:bookmarkEnd w:id="71"/>
    <w:bookmarkStart w:id="72" w:name="measuring-scholarly-attention"/>
    <w:p>
      <w:pPr>
        <w:pStyle w:val="Heading2"/>
        <w:spacing w:line="480" w:lineRule="auto"/>
      </w:pPr>
      <w:r>
        <w:t xml:space="preserve">2.3 Measuring scholarly attention</w:t>
      </w:r>
    </w:p>
    <w:p>
      <w:pPr>
        <w:pStyle w:val="FirstParagraph"/>
        <w:spacing w:line="480" w:lineRule="auto"/>
      </w:pPr>
      <w:r>
        <w:t xml:space="preserve">A third literature is bibliometric. It holds that the trajectory of a research topic leaves measurable traces in publication timing, citation accumulation, and venue structure, and that these traces can be read as evidence about a field’s maturity. This dissertation borrows that stance directly. The topic-signal score, the recency index, and the venue-family coding introduced in later chapters are all instruments for detecting whether attention to on-orbit nomenclature is structured or diffuse.</w:t>
      </w:r>
    </w:p>
    <w:p>
      <w:pPr>
        <w:pStyle w:val="BodyText"/>
        <w:spacing w:line="480" w:lineRule="auto"/>
        <w:ind w:firstLine="720"/>
      </w:pPr>
      <w:r>
        <w:t xml:space="preserve">Two features of the bibliometric tradition matter here. The first is the learning-curve idea, that cumulative attention to a body of work tends to follow a regular relationship with age, so that the rate at which citations accrue can itself be modeled. The second is the recognition that venue carries information. A topic that migrates from conference proceedings into archival journals is often maturing, and the venue-family coding used in this project is a coarse but honest attempt to capture that migration. The retrieved corpus spans exactly this range, from proceedings-style records to archival journal articles, which is what makes the venue variable informative rather than constant</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bibliometric literature also supplies a warning that this dissertation takes seriously. Citation counts are noisy, index-dependent, and slow to accumulate, and any inference built on them must respect that noise. The design responds by treating citation attention as one signal among three and by reporting imprecise coefficients as evidence against strong claims rather than quietly discarding them. Measuring attention is useful precisely because it is fallible in known ways, and the known ways can be stated in advance.</w:t>
      </w:r>
    </w:p>
    <w:bookmarkEnd w:id="72"/>
    <w:bookmarkStart w:id="73" w:name="the-frontier-of-standardization"/>
    <w:p>
      <w:pPr>
        <w:pStyle w:val="Heading2"/>
        <w:spacing w:line="480" w:lineRule="auto"/>
      </w:pPr>
      <w:r>
        <w:t xml:space="preserve">2.4 The frontier of standardization</w:t>
      </w:r>
    </w:p>
    <w:p>
      <w:pPr>
        <w:pStyle w:val="FirstParagraph"/>
        <w:spacing w:line="480" w:lineRule="auto"/>
      </w:pPr>
      <w:r>
        <w:t xml:space="preserve">A fourth strand, thinner but pointed, concerns where standardization is heading in adjacent domains. Work on additive manufacturing for spacecraft components signals a broader turn toward processes that demand consistent, machine-consumable specifications, because a printed component cannot be produced from an ambiguous description</w:t>
      </w:r>
      <w:r>
        <w:t xml:space="preserve"> </w:t>
      </w:r>
      <w:hyperlink w:anchor="ref-9">
        <w:r>
          <w:rPr>
            <w:rStyle w:val="Hyperlink"/>
          </w:rPr>
          <w:t xml:space="preserve">[9]</w:t>
        </w:r>
      </w:hyperlink>
      <w:r>
        <w:t xml:space="preserve">. The turn toward automated production reinforces the general claim that machine-readability is becoming a baseline expectation across space engineering, not a specialized concern of the cataloging community. A nomenclature that is validated and machine-ready fits this trajectory rather than running against it.</w:t>
      </w:r>
    </w:p>
    <w:p>
      <w:pPr>
        <w:pStyle w:val="BodyText"/>
        <w:spacing w:line="480" w:lineRule="auto"/>
        <w:ind w:firstLine="720"/>
      </w:pPr>
      <w:r>
        <w:t xml:space="preserve">This connection is more than rhetorical. As more of the space enterprise becomes automated, from manufacturing to conjunction response, the descriptors that flow between systems have to be unambiguous by design. A human analyst can tolerate a fuzzy label and resolve it from context. An automated pipeline cannot, and it fails silently when the label is wrong. The frontier literature therefore strengthens the case that the readiness of a machine-ready code is worth measuring now, before the automation that depends on it is fully built</w:t>
      </w:r>
      <w:r>
        <w:t xml:space="preserve"> </w:t>
      </w:r>
      <w:hyperlink w:anchor="ref-8">
        <w:r>
          <w:rPr>
            <w:rStyle w:val="Hyperlink"/>
          </w:rPr>
          <w:t xml:space="preserve">[8]</w:t>
        </w:r>
      </w:hyperlink>
      <w:r>
        <w:t xml:space="preserve"> </w:t>
      </w:r>
      <w:hyperlink w:anchor="ref-3">
        <w:r>
          <w:rPr>
            <w:rStyle w:val="Hyperlink"/>
          </w:rPr>
          <w:t xml:space="preserve">[3]</w:t>
        </w:r>
      </w:hyperlink>
      <w:r>
        <w:t xml:space="preserve">.</w:t>
      </w:r>
    </w:p>
    <w:bookmarkEnd w:id="73"/>
    <w:bookmarkStart w:id="74" w:name="the-gap-this-dissertation-addresses"/>
    <w:p>
      <w:pPr>
        <w:pStyle w:val="Heading2"/>
        <w:spacing w:line="480" w:lineRule="auto"/>
      </w:pPr>
      <w:r>
        <w:t xml:space="preserve">2.5 The gap this dissertation addresses</w:t>
      </w:r>
    </w:p>
    <w:p>
      <w:pPr>
        <w:pStyle w:val="FirstParagraph"/>
        <w:spacing w:line="480" w:lineRule="auto"/>
      </w:pPr>
      <w:r>
        <w:t xml:space="preserve">Drawing the four strands together exposes a specific, addressable gap. The taxonomy tradition established that a principled code is conceptually possible but left its readiness untested</w:t>
      </w:r>
      <w:r>
        <w:t xml:space="preserve"> </w:t>
      </w:r>
      <w:hyperlink w:anchor="ref-5">
        <w:r>
          <w:rPr>
            <w:rStyle w:val="Hyperlink"/>
          </w:rPr>
          <w:t xml:space="preserve">[5]</w:t>
        </w:r>
      </w:hyperlink>
      <w:r>
        <w:t xml:space="preserve">. The standardization tradition established that operational readiness is a standardization achievement but did not ask when the naming layer specifically becomes ready</w:t>
      </w:r>
      <w:r>
        <w:t xml:space="preserve"> </w:t>
      </w:r>
      <w:hyperlink w:anchor="ref-1">
        <w:r>
          <w:rPr>
            <w:rStyle w:val="Hyperlink"/>
          </w:rPr>
          <w:t xml:space="preserve">[1]</w:t>
        </w:r>
      </w:hyperlink>
      <w:r>
        <w:t xml:space="preserve"> </w:t>
      </w:r>
      <w:hyperlink w:anchor="ref-8">
        <w:r>
          <w:rPr>
            <w:rStyle w:val="Hyperlink"/>
          </w:rPr>
          <w:t xml:space="preserve">[8]</w:t>
        </w:r>
      </w:hyperlink>
      <w:r>
        <w:t xml:space="preserve">. The bibliometric tradition supplied tools for measuring topic maturity but was not aimed at the on-orbit nomenclature question. No prior work asks whether the readiness of a machine-ready nomenclature can be detected in the structure of the retrieved literature itself.</w:t>
      </w:r>
    </w:p>
    <w:p>
      <w:pPr>
        <w:pStyle w:val="BodyText"/>
        <w:spacing w:line="480" w:lineRule="auto"/>
        <w:ind w:firstLine="720"/>
      </w:pPr>
      <w:r>
        <w:t xml:space="preserve">That is the gap. It is narrow, and it is real. This dissertation does not propose the HELEN Code’s full specification, and it does not adjudicate the taxonomic debates that Wilkins and colleagues opened</w:t>
      </w:r>
      <w:r>
        <w:t xml:space="preserve"> </w:t>
      </w:r>
      <w:hyperlink w:anchor="ref-5">
        <w:r>
          <w:rPr>
            <w:rStyle w:val="Hyperlink"/>
          </w:rPr>
          <w:t xml:space="preserve">[5]</w:t>
        </w:r>
      </w:hyperlink>
      <w:r>
        <w:t xml:space="preserve">. It asks a narrower and prior question: does the retrieved corpus show the structure, across recency, citation attention, and venue family, that a maturing and standardization-ready literature should show? Answering that question is the necessary first step before any responsible specification effort begins, and it is a question that the existing literatures pose but do not answer. The chapters that follow turn it into a falsifiable test</w:t>
      </w:r>
      <w:r>
        <w:t xml:space="preserve"> </w:t>
      </w:r>
      <w:hyperlink w:anchor="ref-6">
        <w:r>
          <w:rPr>
            <w:rStyle w:val="Hyperlink"/>
          </w:rPr>
          <w:t xml:space="preserve">[6]</w:t>
        </w:r>
      </w:hyperlink>
      <w:r>
        <w:t xml:space="preserve"> </w:t>
      </w:r>
      <w:hyperlink w:anchor="ref-4">
        <w:r>
          <w:rPr>
            <w:rStyle w:val="Hyperlink"/>
          </w:rPr>
          <w:t xml:space="preserve">[4]</w:t>
        </w:r>
      </w:hyperlink>
      <w:r>
        <w:t xml:space="preserve">.</w:t>
      </w:r>
    </w:p>
    <w:bookmarkEnd w:id="74"/>
    <w:bookmarkStart w:id="75" w:name="X8c0b626fc75c5c6eabd882a730482aad9301888"/>
    <w:p>
      <w:pPr>
        <w:pStyle w:val="Heading2"/>
        <w:spacing w:line="480" w:lineRule="auto"/>
      </w:pPr>
      <w:r>
        <w:t xml:space="preserve">2.6 How the strands connect at the level of mechanism</w:t>
      </w:r>
    </w:p>
    <w:p>
      <w:pPr>
        <w:pStyle w:val="FirstParagraph"/>
        <w:spacing w:line="480" w:lineRule="auto"/>
      </w:pPr>
      <w:r>
        <w:t xml:space="preserve">Usually read in isolation, the four strands connect through a single mechanism once the reader looks for it. Each strand describes a different symptom of the same underlying process: a field discovering that it can no longer coordinate on ad hoc conventions and beginning, unevenly, to standardize. The taxonomy work is the conceptual symptom, the recognition that objects need principled categories</w:t>
      </w:r>
      <w:r>
        <w:t xml:space="preserve"> </w:t>
      </w:r>
      <w:hyperlink w:anchor="ref-5">
        <w:r>
          <w:rPr>
            <w:rStyle w:val="Hyperlink"/>
          </w:rPr>
          <w:t xml:space="preserve">[5]</w:t>
        </w:r>
      </w:hyperlink>
      <w:r>
        <w:t xml:space="preserve">. The standardization work is the operational symptom, the recognition that tools need stable interfaces to be swappable</w:t>
      </w:r>
      <w:r>
        <w:t xml:space="preserve"> </w:t>
      </w:r>
      <w:hyperlink w:anchor="ref-8">
        <w:r>
          <w:rPr>
            <w:rStyle w:val="Hyperlink"/>
          </w:rPr>
          <w:t xml:space="preserve">[8]</w:t>
        </w:r>
      </w:hyperlink>
      <w:r>
        <w:t xml:space="preserve"> </w:t>
      </w:r>
      <w:hyperlink w:anchor="ref-1">
        <w:r>
          <w:rPr>
            <w:rStyle w:val="Hyperlink"/>
          </w:rPr>
          <w:t xml:space="preserve">[1]</w:t>
        </w:r>
      </w:hyperlink>
      <w:r>
        <w:t xml:space="preserve">. The autonomy work is the urgency symptom, the recognition that machine-speed decisions cannot wait for human reconciliation of mismatched labels</w:t>
      </w:r>
      <w:r>
        <w:t xml:space="preserve"> </w:t>
      </w:r>
      <w:hyperlink w:anchor="ref-3">
        <w:r>
          <w:rPr>
            <w:rStyle w:val="Hyperlink"/>
          </w:rPr>
          <w:t xml:space="preserve">[3]</w:t>
        </w:r>
      </w:hyperlink>
      <w:r>
        <w:t xml:space="preserve">. The bibliometric tools, finally, are the instrument for detecting whether these symptoms have begun to leave a measurable trace.</w:t>
      </w:r>
    </w:p>
    <w:p>
      <w:pPr>
        <w:pStyle w:val="BodyText"/>
        <w:spacing w:line="480" w:lineRule="auto"/>
        <w:ind w:firstLine="720"/>
      </w:pPr>
      <w:r>
        <w:t xml:space="preserve">Reading the strands as symptoms of one process is what licenses the empirical design. If standardization readiness is a real, gradual state of a field, then it should be observable in the metadata of what the field publishes, and the observable signature should appear first in the channels that respond fastest. That reasoning is not available from any single strand alone. It emerges only when the taxonomy, standardization, autonomy, and bibliometric literatures are placed side by side and asked what they jointly imply about the timing of a naming convention’s readiness</w:t>
      </w:r>
      <w:r>
        <w:t xml:space="preserve"> </w:t>
      </w:r>
      <w:hyperlink w:anchor="ref-4">
        <w:r>
          <w:rPr>
            <w:rStyle w:val="Hyperlink"/>
          </w:rPr>
          <w:t xml:space="preserve">[4]</w:t>
        </w:r>
      </w:hyperlink>
      <w:r>
        <w:t xml:space="preserve"> </w:t>
      </w:r>
      <w:hyperlink w:anchor="ref-7">
        <w:r>
          <w:rPr>
            <w:rStyle w:val="Hyperlink"/>
          </w:rPr>
          <w:t xml:space="preserve">[7]</w:t>
        </w:r>
      </w:hyperlink>
      <w:r>
        <w:t xml:space="preserve">.</w:t>
      </w:r>
    </w:p>
    <w:bookmarkEnd w:id="75"/>
    <w:bookmarkStart w:id="76" w:name="where-prior-work-stops-short"/>
    <w:p>
      <w:pPr>
        <w:pStyle w:val="Heading2"/>
        <w:spacing w:line="480" w:lineRule="auto"/>
      </w:pPr>
      <w:r>
        <w:t xml:space="preserve">2.7 Where prior work stops short</w:t>
      </w:r>
    </w:p>
    <w:p>
      <w:pPr>
        <w:pStyle w:val="FirstParagraph"/>
        <w:spacing w:line="480" w:lineRule="auto"/>
      </w:pPr>
      <w:r>
        <w:t xml:space="preserve">It is worth being precise about where each prior literature stops, because the stopping points define the contribution. The taxonomy tradition stops at the conceptual proposal and does not test adoption readiness</w:t>
      </w:r>
      <w:r>
        <w:t xml:space="preserve"> </w:t>
      </w:r>
      <w:hyperlink w:anchor="ref-5">
        <w:r>
          <w:rPr>
            <w:rStyle w:val="Hyperlink"/>
          </w:rPr>
          <w:t xml:space="preserve">[5]</w:t>
        </w:r>
      </w:hyperlink>
      <w:r>
        <w:t xml:space="preserve">. The density-model survey stops at documenting fragmentation and does not model when the naming layer specifically consolidates</w:t>
      </w:r>
      <w:r>
        <w:t xml:space="preserve"> </w:t>
      </w:r>
      <w:hyperlink w:anchor="ref-1">
        <w:r>
          <w:rPr>
            <w:rStyle w:val="Hyperlink"/>
          </w:rPr>
          <w:t xml:space="preserve">[1]</w:t>
        </w:r>
      </w:hyperlink>
      <w:r>
        <w:t xml:space="preserve">. The assimilation work stops at demonstrating that standardized interfaces enable operational readiness for one tool class and does not generalize the readiness test to nomenclature</w:t>
      </w:r>
      <w:r>
        <w:t xml:space="preserve"> </w:t>
      </w:r>
      <w:hyperlink w:anchor="ref-8">
        <w:r>
          <w:rPr>
            <w:rStyle w:val="Hyperlink"/>
          </w:rPr>
          <w:t xml:space="preserve">[8]</w:t>
        </w:r>
      </w:hyperlink>
      <w:r>
        <w:t xml:space="preserve">. The autonomy work stops at showing that shared labels are a safety precondition and does not measure whether the literature is producing them</w:t>
      </w:r>
      <w:r>
        <w:t xml:space="preserve"> </w:t>
      </w:r>
      <w:hyperlink w:anchor="ref-3">
        <w:r>
          <w:rPr>
            <w:rStyle w:val="Hyperlink"/>
          </w:rPr>
          <w:t xml:space="preserve">[3]</w:t>
        </w:r>
      </w:hyperlink>
      <w:r>
        <w:t xml:space="preserve">. The characterization and debris-attribution work stops at showing that labels are hard to assign reliably and does not ask whether the field is converging on a shared scheme anyway</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p>
      <w:pPr>
        <w:pStyle w:val="BodyText"/>
        <w:spacing w:line="480" w:lineRule="auto"/>
        <w:ind w:firstLine="720"/>
      </w:pPr>
      <w:r>
        <w:t xml:space="preserve">None of these stopping points is a flaw in the prior work; each study answered the question it set out to answer. The point is that the union of their unanswered questions has a shape, and that shape is a readiness question about naming that no one has yet posed as a falsifiable, measurable proposition. This dissertation occupies exactly that vacancy. It borrows the taxonomy tradition’s object, the standardization tradition’s stakes, the autonomy tradition’s urgency, and the bibliometric tradition’s instruments, and it combines them into a test that none of the four could have run alone</w:t>
      </w:r>
      <w:r>
        <w:t xml:space="preserve"> </w:t>
      </w:r>
      <w:hyperlink w:anchor="ref-9">
        <w:r>
          <w:rPr>
            <w:rStyle w:val="Hyperlink"/>
          </w:rPr>
          <w:t xml:space="preserve">[9]</w:t>
        </w:r>
      </w:hyperlink>
      <w:r>
        <w:t xml:space="preserve"> </w:t>
      </w:r>
      <w:hyperlink w:anchor="ref-2">
        <w:r>
          <w:rPr>
            <w:rStyle w:val="Hyperlink"/>
          </w:rPr>
          <w:t xml:space="preserve">[2]</w:t>
        </w:r>
      </w:hyperlink>
      <w:r>
        <w:t xml:space="preserve">.</w:t>
      </w:r>
    </w:p>
    <w:bookmarkEnd w:id="76"/>
    <w:bookmarkStart w:id="77" w:name="Xe1381f359d1726ea93ee126cab3d6f368dd6763"/>
    <w:p>
      <w:pPr>
        <w:pStyle w:val="Heading2"/>
        <w:spacing w:line="480" w:lineRule="auto"/>
      </w:pPr>
      <w:r>
        <w:t xml:space="preserve">2.8 The operational-readiness idiom as a lens</w:t>
      </w:r>
    </w:p>
    <w:p>
      <w:pPr>
        <w:pStyle w:val="FirstParagraph"/>
        <w:spacing w:line="480" w:lineRule="auto"/>
      </w:pPr>
      <w:r>
        <w:t xml:space="preserve">A recurring idiom across the technical literature deserves separate attention, because it frames how the whole field thinks about maturity. Papers describe models and frameworks as operations-ready, a phrase that carries a specific claim: the tool has crossed from research demonstration into something an operator can depend on in a live setting. The density-model survey organizes its entire assessment around this idiom, cataloging which models have reached operational readiness for drag modeling and which remain research artifacts</w:t>
      </w:r>
      <w:r>
        <w:t xml:space="preserve"> </w:t>
      </w:r>
      <w:hyperlink w:anchor="ref-1">
        <w:r>
          <w:rPr>
            <w:rStyle w:val="Hyperlink"/>
          </w:rPr>
          <w:t xml:space="preserve">[1]</w:t>
        </w:r>
      </w:hyperlink>
      <w:r>
        <w:t xml:space="preserve">. The neutral-density assimilation framework describes itself in the same terms, positioning operational readiness as the achievement that distinguishes a deployable system from a promising prototype</w:t>
      </w:r>
      <w:r>
        <w:t xml:space="preserve"> </w:t>
      </w:r>
      <w:hyperlink w:anchor="ref-8">
        <w:r>
          <w:rPr>
            <w:rStyle w:val="Hyperlink"/>
          </w:rPr>
          <w:t xml:space="preserve">[8]</w:t>
        </w:r>
      </w:hyperlink>
      <w:r>
        <w:t xml:space="preserve">.</w:t>
      </w:r>
    </w:p>
    <w:p>
      <w:pPr>
        <w:pStyle w:val="BodyText"/>
        <w:spacing w:line="480" w:lineRule="auto"/>
        <w:ind w:firstLine="720"/>
      </w:pPr>
      <w:r>
        <w:t xml:space="preserve">Borrowing that idiom for nomenclature is more than a rhetorical convenience. It reframes the naming question as a readiness question of the same kind the field already knows how to ask about models: when does a convention cross from proposal into something operators and automated systems can depend on. The idiom brings with it an implicit checklist, that a ready artifact has stable interfaces, documented conventions, and a community prepared to consume it, and that checklist maps naturally onto the readiness signals this dissertation measures. A topic whose literature is concentrating recently, migrating across venues, and accumulating attention is a topic approaching the readiness the operational idiom describes</w:t>
      </w:r>
      <w:r>
        <w:t xml:space="preserve"> </w:t>
      </w:r>
      <w:hyperlink w:anchor="ref-4">
        <w:r>
          <w:rPr>
            <w:rStyle w:val="Hyperlink"/>
          </w:rPr>
          <w:t xml:space="preserve">[4]</w:t>
        </w:r>
      </w:hyperlink>
      <w:r>
        <w:t xml:space="preserve">.</w:t>
      </w:r>
    </w:p>
    <w:p>
      <w:pPr>
        <w:pStyle w:val="BodyText"/>
        <w:spacing w:line="480" w:lineRule="auto"/>
        <w:ind w:firstLine="720"/>
      </w:pPr>
      <w:r>
        <w:t xml:space="preserve">This lens also clarifies why the naming layer specifically is worth isolating. The operational-readiness literature has thoroughly examined model readiness and interface readiness, but it has treated naming as a background assumption, something that will be settled once the models and interfaces are ready. This dissertation inverts that assumption. It treats the readiness of the naming layer as a question in its own right, one that may lead or lag the readiness of the models it labels, and it uses the field’s own operational-readiness idiom to justify asking it. Positioning the work this way is what makes it legible to the community whose vocabulary it borrows</w:t>
      </w:r>
      <w:r>
        <w:t xml:space="preserve"> </w:t>
      </w:r>
      <w:hyperlink w:anchor="ref-3">
        <w:r>
          <w:rPr>
            <w:rStyle w:val="Hyperlink"/>
          </w:rPr>
          <w:t xml:space="preserve">[3]</w:t>
        </w:r>
      </w:hyperlink>
      <w:r>
        <w:t xml:space="preserve"> </w:t>
      </w:r>
      <w:hyperlink w:anchor="ref-1">
        <w:r>
          <w:rPr>
            <w:rStyle w:val="Hyperlink"/>
          </w:rPr>
          <w:t xml:space="preserve">[1]</w:t>
        </w:r>
      </w:hyperlink>
      <w:r>
        <w:t xml:space="preserve">.</w:t>
      </w:r>
    </w:p>
    <w:bookmarkEnd w:id="77"/>
    <w:bookmarkStart w:id="78" w:name="X85eca696b36b145e86f23e29adc03ff578e9840"/>
    <w:p>
      <w:pPr>
        <w:pStyle w:val="Heading2"/>
        <w:spacing w:line="480" w:lineRule="auto"/>
      </w:pPr>
      <w:r>
        <w:t xml:space="preserve">2.9 Summary of the literature and its unanswered question</w:t>
      </w:r>
    </w:p>
    <w:p>
      <w:pPr>
        <w:pStyle w:val="FirstParagraph"/>
        <w:spacing w:line="480" w:lineRule="auto"/>
      </w:pPr>
      <w:r>
        <w:t xml:space="preserve">Pulling the review together, the prior work establishes four things and leaves one open. It establishes that a principled on-orbit object taxonomy is conceptually achievable</w:t>
      </w:r>
      <w:r>
        <w:t xml:space="preserve"> </w:t>
      </w:r>
      <w:hyperlink w:anchor="ref-5">
        <w:r>
          <w:rPr>
            <w:rStyle w:val="Hyperlink"/>
          </w:rPr>
          <w:t xml:space="preserve">[5]</w:t>
        </w:r>
      </w:hyperlink>
      <w:r>
        <w:t xml:space="preserve">. It establishes that operational readiness across the space enterprise is fundamentally a standardization achievement, visible in density models, assimilation frameworks, and sensor architectures</w:t>
      </w:r>
      <w:r>
        <w:t xml:space="preserve"> </w:t>
      </w:r>
      <w:hyperlink w:anchor="ref-1">
        <w:r>
          <w:rPr>
            <w:rStyle w:val="Hyperlink"/>
          </w:rPr>
          <w:t xml:space="preserve">[1]</w:t>
        </w:r>
      </w:hyperlink>
      <w:r>
        <w:t xml:space="preserve"> </w:t>
      </w:r>
      <w:hyperlink w:anchor="ref-8">
        <w:r>
          <w:rPr>
            <w:rStyle w:val="Hyperlink"/>
          </w:rPr>
          <w:t xml:space="preserve">[8]</w:t>
        </w:r>
      </w:hyperlink>
      <w:r>
        <w:t xml:space="preserve"> </w:t>
      </w:r>
      <w:hyperlink w:anchor="ref-4">
        <w:r>
          <w:rPr>
            <w:rStyle w:val="Hyperlink"/>
          </w:rPr>
          <w:t xml:space="preserve">[4]</w:t>
        </w:r>
      </w:hyperlink>
      <w:r>
        <w:t xml:space="preserve">. It establishes that autonomy makes shared, machine-readable labels a safety precondition rather than a convenience</w:t>
      </w:r>
      <w:r>
        <w:t xml:space="preserve"> </w:t>
      </w:r>
      <w:hyperlink w:anchor="ref-3">
        <w:r>
          <w:rPr>
            <w:rStyle w:val="Hyperlink"/>
          </w:rPr>
          <w:t xml:space="preserve">[3]</w:t>
        </w:r>
      </w:hyperlink>
      <w:r>
        <w:t xml:space="preserve">. And it establishes, through the debris-attribution and characterization work, that assigning reliable labels to on-orbit objects is genuinely hard, so any nomenclature must encode uncertainty rather than pretend it away</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p>
      <w:pPr>
        <w:pStyle w:val="BodyText"/>
        <w:spacing w:line="480" w:lineRule="auto"/>
        <w:ind w:firstLine="720"/>
      </w:pPr>
      <w:r>
        <w:t xml:space="preserve">What the prior work leaves open is whether the field is ready, now, to consolidate a naming convention, and whether that readiness is detectable in the structure of the literature itself. That open question is the one this dissertation answers, in a bounded and falsifiable form. The review has shown that the question is well posed, that it sits in a genuine vacancy between established literatures, and that the tools to answer it, drawn from the bibliometric tradition, are available and appropriate. The chapters that follow build the theory, the method, and the data that turn this open question into a testable proposition, and they report the answer the retrieved corpus actually gives</w:t>
      </w:r>
      <w:r>
        <w:t xml:space="preserve"> </w:t>
      </w:r>
      <w:hyperlink w:anchor="ref-9">
        <w:r>
          <w:rPr>
            <w:rStyle w:val="Hyperlink"/>
          </w:rPr>
          <w:t xml:space="preserve">[9]</w:t>
        </w:r>
      </w:hyperlink>
      <w:r>
        <w:t xml:space="preserve"> </w:t>
      </w:r>
      <w:hyperlink w:anchor="ref-2">
        <w:r>
          <w:rPr>
            <w:rStyle w:val="Hyperlink"/>
          </w:rPr>
          <w:t xml:space="preserve">[2]</w:t>
        </w:r>
      </w:hyperlink>
      <w:r>
        <w:t xml:space="preserve">.</w:t>
      </w:r>
    </w:p>
    <w:bookmarkEnd w:id="78"/>
    <w:bookmarkStart w:id="79" w:name="X7d7d977a9b4d8fc02e5aa5ab2d3a5b524abd82b"/>
    <w:p>
      <w:pPr>
        <w:pStyle w:val="Heading2"/>
        <w:spacing w:line="480" w:lineRule="auto"/>
      </w:pPr>
      <w:r>
        <w:t xml:space="preserve">2.10 What machine-readability adds to the classical taxonomy problem</w:t>
      </w:r>
    </w:p>
    <w:p>
      <w:pPr>
        <w:pStyle w:val="FirstParagraph"/>
        <w:spacing w:line="480" w:lineRule="auto"/>
      </w:pPr>
      <w:r>
        <w:t xml:space="preserve">The classical taxonomy problem, as the artificial-space-object work posed it, asked what categories on-orbit objects should fall into and how those categories relate</w:t>
      </w:r>
      <w:r>
        <w:t xml:space="preserve"> </w:t>
      </w:r>
      <w:hyperlink w:anchor="ref-5">
        <w:r>
          <w:rPr>
            <w:rStyle w:val="Hyperlink"/>
          </w:rPr>
          <w:t xml:space="preserve">[5]</w:t>
        </w:r>
      </w:hyperlink>
      <w:r>
        <w:t xml:space="preserve">. The present project inherits that problem but adds a qualifier that changes its character: machine-readability. A taxonomy meant for human analysts can tolerate ambiguity, because a human resolves it from context, whereas a taxonomy meant to be consumed by automated pipelines must encode its distinctions in a form a machine can parse without judgment. The qualifier raises the bar. It is no longer enough for the categories to be conceptually sound; they must also be operationally unambiguous, consistently applied, and stable across the systems that read them.</w:t>
      </w:r>
    </w:p>
    <w:p>
      <w:pPr>
        <w:pStyle w:val="BodyText"/>
        <w:spacing w:line="480" w:lineRule="auto"/>
        <w:ind w:firstLine="720"/>
      </w:pPr>
      <w:r>
        <w:t xml:space="preserve">This addition connects the taxonomy problem directly to the standardization literature in a way the classical framing did not. A machine-readable code is a standard, subject to all the interface discipline that standardization demands, and its readiness is therefore a standardization-readiness question rather than a purely taxonomic one</w:t>
      </w:r>
      <w:r>
        <w:t xml:space="preserve"> </w:t>
      </w:r>
      <w:hyperlink w:anchor="ref-8">
        <w:r>
          <w:rPr>
            <w:rStyle w:val="Hyperlink"/>
          </w:rPr>
          <w:t xml:space="preserve">[8]</w:t>
        </w:r>
      </w:hyperlink>
      <w:r>
        <w:t xml:space="preserve"> </w:t>
      </w:r>
      <w:hyperlink w:anchor="ref-1">
        <w:r>
          <w:rPr>
            <w:rStyle w:val="Hyperlink"/>
          </w:rPr>
          <w:t xml:space="preserve">[1]</w:t>
        </w:r>
      </w:hyperlink>
      <w:r>
        <w:t xml:space="preserve">. The autonomy literature sharpens the requirement further: when spacecraft label their own events and act on labels from their neighbors, the machine-readability is not a nicety layered onto a human taxonomy but the load-bearing property of the whole scheme</w:t>
      </w:r>
      <w:r>
        <w:t xml:space="preserve"> </w:t>
      </w:r>
      <w:hyperlink w:anchor="ref-3">
        <w:r>
          <w:rPr>
            <w:rStyle w:val="Hyperlink"/>
          </w:rPr>
          <w:t xml:space="preserve">[3]</w:t>
        </w:r>
      </w:hyperlink>
      <w:r>
        <w:t xml:space="preserve">. The qualifier, in short, is what fuses the taxonomy, standardization, and autonomy strands into a single problem, and it is why this dissertation treats readiness rather than category content as its object.</w:t>
      </w:r>
    </w:p>
    <w:p>
      <w:pPr>
        <w:pStyle w:val="BodyText"/>
        <w:spacing w:line="480" w:lineRule="auto"/>
        <w:ind w:firstLine="720"/>
      </w:pPr>
      <w:r>
        <w:t xml:space="preserve">Frontier work reinforces that the machine-readability qualifier is becoming standard across space engineering rather than special to cataloging. Additive-manufacturing pipelines cannot proceed from ambiguous component descriptions, and the turn toward automated production makes machine-consumable specification a baseline expectation</w:t>
      </w:r>
      <w:r>
        <w:t xml:space="preserve"> </w:t>
      </w:r>
      <w:hyperlink w:anchor="ref-9">
        <w:r>
          <w:rPr>
            <w:rStyle w:val="Hyperlink"/>
          </w:rPr>
          <w:t xml:space="preserve">[9]</w:t>
        </w:r>
      </w:hyperlink>
      <w:r>
        <w:t xml:space="preserve">. A nomenclature that is validated and machine-ready is therefore aligned with where the broader enterprise is heading, and assessing its readiness now is consistent with the trajectory the frontier literature describes. The review thus not only locates the gap but shows that the gap sits on the field’s critical path, which is part of why measuring readiness is worth doing at this stage rather than later</w:t>
      </w:r>
      <w:r>
        <w:t xml:space="preserve"> </w:t>
      </w:r>
      <w:hyperlink w:anchor="ref-4">
        <w:r>
          <w:rPr>
            <w:rStyle w:val="Hyperlink"/>
          </w:rPr>
          <w:t xml:space="preserve">[4]</w:t>
        </w:r>
      </w:hyperlink>
      <w:r>
        <w:t xml:space="preserve"> </w:t>
      </w:r>
      <w:hyperlink w:anchor="ref-7">
        <w:r>
          <w:rPr>
            <w:rStyle w:val="Hyperlink"/>
          </w:rPr>
          <w:t xml:space="preserve">[7]</w:t>
        </w:r>
      </w:hyperlink>
      <w:r>
        <w:t xml:space="preserve">.</w:t>
      </w:r>
    </w:p>
    <w:bookmarkEnd w:id="79"/>
    <w:bookmarkEnd w:id="80"/>
    <w:bookmarkStart w:id="93" w:name="Xcfcc00a3ded59aed0c781c16bfc121f2a509603"/>
    <w:p>
      <w:pPr>
        <w:pStyle w:val="Heading1"/>
        <w:spacing w:line="480" w:lineRule="auto"/>
      </w:pPr>
      <w:r>
        <w:t xml:space="preserve">Chapter 3. Theoretical Framework and Hypotheses</w:t>
      </w:r>
    </w:p>
    <w:p>
      <w:pPr>
        <w:pStyle w:val="FirstParagraph"/>
        <w:spacing w:line="480" w:lineRule="auto"/>
      </w:pPr>
      <w:r>
        <w:t xml:space="preserve">A test is only as good as the mechanism it claims to detect. This chapter specifies that mechanism. The core theoretical proposition is that a research topic approaching standardization readiness leaves detectable fingerprints in the metadata of the sources that engage it, and that those fingerprints are legible in three channels: how recently the sources appear, how much citation attention they draw, and where they are published. If the on-orbit nomenclature topic is maturing toward a validated, machine-ready code, the retrieved corpus should carry structure in those channels. If it is not, the corpus should look flat and diffuse. The hypotheses that close the chapter translate that proposition into predictions that data can reject.</w:t>
      </w:r>
    </w:p>
    <w:bookmarkStart w:id="81" w:name="the-maturation-mechanism"/>
    <w:p>
      <w:pPr>
        <w:pStyle w:val="Heading2"/>
        <w:spacing w:line="480" w:lineRule="auto"/>
      </w:pPr>
      <w:r>
        <w:t xml:space="preserve">3.1 The maturation mechanism</w:t>
      </w:r>
    </w:p>
    <w:p>
      <w:pPr>
        <w:pStyle w:val="FirstParagraph"/>
        <w:spacing w:line="480" w:lineRule="auto"/>
      </w:pPr>
      <w:r>
        <w:t xml:space="preserve">Think of a topic’s life in the literature as a trajectory rather than a state. Early on, engagement is sparse, scattered across venues, and dominated by problem-statement work that names a difficulty without resolving it. As the topic matures, three things happen together. Publication activity concentrates in time, because the problem becomes tractable and attracts sustained effort. Citation attention begins to differentiate the work, because the community starts to agree on which contributions anchor the conversation. And the venue mix shifts, because maturing work migrates from proceedings and workshops toward archival journals that signal durability.</w:t>
      </w:r>
    </w:p>
    <w:p>
      <w:pPr>
        <w:pStyle w:val="BodyText"/>
        <w:spacing w:line="480" w:lineRule="auto"/>
        <w:ind w:firstLine="720"/>
      </w:pPr>
      <w:r>
        <w:t xml:space="preserve">Each of these movements is observable in principle. Not always in practice. But in principle, yes. Publication concentration shows up as a relationship between a source’s recency and its topic engagement. Citation differentiation shows up as a relationship between attention and engagement, or between attention and age. Venue migration shows up as a relationship between venue family and topic engagement. The maturation mechanism predicts that these relationships are not zero. A topic that is genuinely consolidating cannot look, in metadata, exactly like a topic that is dormant.</w:t>
      </w:r>
    </w:p>
    <w:p>
      <w:pPr>
        <w:pStyle w:val="BodyText"/>
        <w:spacing w:line="480" w:lineRule="auto"/>
        <w:ind w:firstLine="720"/>
      </w:pPr>
      <w:r>
        <w:t xml:space="preserve">This mechanism has an operational anchor. The autonomy and standardization pressures documented in the operational literature give researchers a concrete reason to work on nomenclature now: co-located constellations resolving their own conjunctions need shared labels, and density-model pipelines need shared conventions to be swappable</w:t>
      </w:r>
      <w:r>
        <w:t xml:space="preserve"> </w:t>
      </w:r>
      <w:hyperlink w:anchor="ref-3">
        <w:r>
          <w:rPr>
            <w:rStyle w:val="Hyperlink"/>
          </w:rPr>
          <w:t xml:space="preserve">[3]</w:t>
        </w:r>
      </w:hyperlink>
      <w:r>
        <w:t xml:space="preserve"> </w:t>
      </w:r>
      <w:hyperlink w:anchor="ref-1">
        <w:r>
          <w:rPr>
            <w:rStyle w:val="Hyperlink"/>
          </w:rPr>
          <w:t xml:space="preserve">[1]</w:t>
        </w:r>
      </w:hyperlink>
      <w:r>
        <w:t xml:space="preserve">. When an operational pull of that kind exists, the maturation mechanism predicts that the literature should respond, and that the response should be visible as recent, venue-structured engagement rather than as an even scatter across decades.</w:t>
      </w:r>
    </w:p>
    <w:bookmarkEnd w:id="81"/>
    <w:bookmarkStart w:id="82" w:name="from-mechanism-to-measurement"/>
    <w:p>
      <w:pPr>
        <w:pStyle w:val="Heading2"/>
        <w:spacing w:line="480" w:lineRule="auto"/>
      </w:pPr>
      <w:r>
        <w:t xml:space="preserve">3.2 From mechanism to measurement</w:t>
      </w:r>
    </w:p>
    <w:p>
      <w:pPr>
        <w:pStyle w:val="FirstParagraph"/>
        <w:spacing w:line="480" w:lineRule="auto"/>
      </w:pPr>
      <w:r>
        <w:t xml:space="preserve">The mechanism speaks in abstractions; the test needs measurable quantities. The design converts each channel into a variable. Topic engagement becomes a deterministic topic-signal score built from theme-term hits across a source’s title, snippet, keyword field, and author metadata. Recency becomes an index anchored to the earliest year in the sample. Citation attention becomes the reported count from the local index. Venue family becomes an ordinal score that rises as the venue moves from proceedings toward archival and policy-oriented outlets.</w:t>
      </w:r>
    </w:p>
    <w:p>
      <w:pPr>
        <w:pStyle w:val="BodyText"/>
        <w:spacing w:line="480" w:lineRule="auto"/>
        <w:ind w:firstLine="720"/>
      </w:pPr>
      <w:r>
        <w:t xml:space="preserve">This translation is where a theory earns its falsifiability. A vague claim that the topic is important cannot be wrong. A specific claim that the topic-signal score rises with the recency index, conditional on citation attention and venue family, can be wrong, and the ordinary least squares screen in Chapter 6 is built to find out whether it is. The same holds for citation dynamics. A vague claim that attention accumulates cannot be wrong, but a specific claim that log citations scale with log age at a particular elasticity can be, and the learning-curve screen tests exactly that.</w:t>
      </w:r>
    </w:p>
    <w:p>
      <w:pPr>
        <w:pStyle w:val="BodyText"/>
        <w:spacing w:line="480" w:lineRule="auto"/>
        <w:ind w:firstLine="720"/>
      </w:pPr>
      <w:r>
        <w:t xml:space="preserve">Measurement choices embed the caution the literature demands. Citation counts are treated as local index measures rather than universal totals, because that is what they are, and the venue coding is treated as ordinal rather than cardinal, because the spacing between venue families is not meaningful</w:t>
      </w:r>
      <w:r>
        <w:t xml:space="preserve"> </w:t>
      </w:r>
      <w:hyperlink w:anchor="ref-7">
        <w:r>
          <w:rPr>
            <w:rStyle w:val="Hyperlink"/>
          </w:rPr>
          <w:t xml:space="preserve">[7]</w:t>
        </w:r>
      </w:hyperlink>
      <w:r>
        <w:t xml:space="preserve"> </w:t>
      </w:r>
      <w:hyperlink w:anchor="ref-6">
        <w:r>
          <w:rPr>
            <w:rStyle w:val="Hyperlink"/>
          </w:rPr>
          <w:t xml:space="preserve">[6]</w:t>
        </w:r>
      </w:hyperlink>
      <w:r>
        <w:t xml:space="preserve">. The theory does not require these measures to be perfect. It requires them to be honest and to point in a predictable direction if the mechanism is real.</w:t>
      </w:r>
    </w:p>
    <w:bookmarkEnd w:id="82"/>
    <w:bookmarkStart w:id="83" w:name="the-recency-prediction"/>
    <w:p>
      <w:pPr>
        <w:pStyle w:val="Heading2"/>
        <w:spacing w:line="480" w:lineRule="auto"/>
      </w:pPr>
      <w:r>
        <w:t xml:space="preserve">3.3 The recency prediction</w:t>
      </w:r>
    </w:p>
    <w:p>
      <w:pPr>
        <w:pStyle w:val="FirstParagraph"/>
        <w:spacing w:line="480" w:lineRule="auto"/>
      </w:pPr>
      <w:r>
        <w:t xml:space="preserve">A first prediction concerns time. If the on-orbit nomenclature topic is maturing under operational pressure, then more recent sources should engage it more intensely, because the problem has become salient recently rather than uniformly across the historical record. The prediction is directional: the coefficient on the recency index in a model of the topic-signal score should be positive. A flat or negative coefficient would undercut the maturation story, suggesting either that engagement is a historical constant or that the topic is fading.</w:t>
      </w:r>
    </w:p>
    <w:p>
      <w:pPr>
        <w:pStyle w:val="BodyText"/>
        <w:spacing w:line="480" w:lineRule="auto"/>
        <w:ind w:firstLine="720"/>
      </w:pPr>
      <w:r>
        <w:t xml:space="preserve">This prediction is not naive about confounds. Recent sources also tend to appear in different venues than older ones, and they may carry different citation profiles simply because citations take time to accrue. The model therefore conditions on venue family and citation count, so that the recency coefficient reflects the association between time and engagement holding those two channels fixed. Isolating the recency channel this way is what lets the coefficient speak to the mechanism rather than to a tangle of correlated features.</w:t>
      </w:r>
    </w:p>
    <w:bookmarkEnd w:id="83"/>
    <w:bookmarkStart w:id="84" w:name="the-venue-prediction"/>
    <w:p>
      <w:pPr>
        <w:pStyle w:val="Heading2"/>
        <w:spacing w:line="480" w:lineRule="auto"/>
      </w:pPr>
      <w:r>
        <w:t xml:space="preserve">3.4 The venue prediction</w:t>
      </w:r>
    </w:p>
    <w:p>
      <w:pPr>
        <w:pStyle w:val="FirstParagraph"/>
        <w:spacing w:line="480" w:lineRule="auto"/>
      </w:pPr>
      <w:r>
        <w:t xml:space="preserve">A second prediction concerns venue. Under the maturation mechanism, a topic consolidating toward standardization should show a venue signature, because the migration from proceedings toward archival and policy outlets is part of what maturation means. The design does not prejudge the sign. One reading holds that engagement should rise with the venue score as the topic moves into archival journals. A competing reading holds that the densest, most concentrated theme engagement may still live in the proceedings and technical records where operational problems are first worked out, which would push the venue coefficient the other way</w:t>
      </w:r>
      <w:r>
        <w:t xml:space="preserve"> </w:t>
      </w:r>
      <w:hyperlink w:anchor="ref-4">
        <w:r>
          <w:rPr>
            <w:rStyle w:val="Hyperlink"/>
          </w:rPr>
          <w:t xml:space="preserve">[4]</w:t>
        </w:r>
      </w:hyperlink>
      <w:r>
        <w:t xml:space="preserve"> </w:t>
      </w:r>
      <w:hyperlink w:anchor="ref-8">
        <w:r>
          <w:rPr>
            <w:rStyle w:val="Hyperlink"/>
          </w:rPr>
          <w:t xml:space="preserve">[8]</w:t>
        </w:r>
      </w:hyperlink>
      <w:r>
        <w:t xml:space="preserve">.</w:t>
      </w:r>
    </w:p>
    <w:p>
      <w:pPr>
        <w:pStyle w:val="BodyText"/>
        <w:spacing w:line="480" w:lineRule="auto"/>
        <w:ind w:firstLine="720"/>
      </w:pPr>
      <w:r>
        <w:t xml:space="preserve">Leaving the venue sign open is deliberate. The theory predicts that venue carries information, meaning a nonzero coefficient, but it does not insist on a direction, because the two readings are both consistent with a maturing field at different phases. This is where the empirical screen does real work: the estimated venue coefficient adjudicates between a topic that has already migrated into archival venues and one whose sharpest engagement remains in the operational proceedings. Either outcome is informative, and neither is assumed in advance.</w:t>
      </w:r>
    </w:p>
    <w:bookmarkEnd w:id="84"/>
    <w:bookmarkStart w:id="85" w:name="the-attention-prediction"/>
    <w:p>
      <w:pPr>
        <w:pStyle w:val="Heading2"/>
        <w:spacing w:line="480" w:lineRule="auto"/>
      </w:pPr>
      <w:r>
        <w:t xml:space="preserve">3.5 The attention prediction</w:t>
      </w:r>
    </w:p>
    <w:p>
      <w:pPr>
        <w:pStyle w:val="FirstParagraph"/>
        <w:spacing w:line="480" w:lineRule="auto"/>
      </w:pPr>
      <w:r>
        <w:t xml:space="preserve">A third prediction concerns citation accumulation and is the subject of the second screen. Bibliometric theory holds that cumulative attention to a body of work follows a regular relationship with age, so that plotting log citations against log age should reveal a stable elasticity rather than noise. The learning-curve framing captures this: if attention accumulates in a structured, age-dependent way, the elasticity is detectably different from zero, and the implied progress ratio departs from one. If attention is essentially random with respect to age in this corpus, the elasticity collapses toward zero and the progress ratio sits near one.</w:t>
      </w:r>
    </w:p>
    <w:p>
      <w:pPr>
        <w:pStyle w:val="BodyText"/>
        <w:spacing w:line="480" w:lineRule="auto"/>
        <w:ind w:firstLine="720"/>
      </w:pPr>
      <w:r>
        <w:t xml:space="preserve">The attention prediction is the most demanding of the three, because the corpus is young and citation counts are sparse. Many records carry zero reported citations, which is why the outcome is specified as citations plus one so the log transform is defined. The theory anticipates that a young corpus may not yet have accumulated enough attention to display a strong age curve, and it treats a weak elasticity not as a failure of measurement but as evidence that the attention channel has not yet matured, even where the recency and venue channels have begun to move</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bookmarkEnd w:id="85"/>
    <w:bookmarkStart w:id="86" w:name="the-hypotheses"/>
    <w:p>
      <w:pPr>
        <w:pStyle w:val="Heading2"/>
        <w:spacing w:line="480" w:lineRule="auto"/>
      </w:pPr>
      <w:r>
        <w:t xml:space="preserve">3.6 The hypotheses</w:t>
      </w:r>
    </w:p>
    <w:p>
      <w:pPr>
        <w:pStyle w:val="FirstParagraph"/>
        <w:spacing w:line="480" w:lineRule="auto"/>
      </w:pPr>
      <w:r>
        <w:t xml:space="preserve">Together, the three predictions collapse into a single pair of hypotheses that the two screens jointly evaluate. The null holds that the topic-signal score is unrelated to publication recency, citation attention, and venue family across the retrieved corpus, and correspondingly that citation accumulation is unrelated to article age. The alternative holds that the topic-signal score is systematically related to those features, with recency expected positive, venue expected nonzero, and attention expected to follow a measurable age curve.</w:t>
      </w:r>
    </w:p>
    <w:p>
      <w:pPr>
        <w:pStyle w:val="BodyText"/>
        <w:spacing w:line="480" w:lineRule="auto"/>
        <w:ind w:firstLine="720"/>
      </w:pPr>
      <w:r>
        <w:t xml:space="preserve">Stated formally, H0 asserts that the modeled outcomes are unrelated to the specified predictors, and H1 asserts that they are systematically related. The design commits in advance to reading the results through this frame. A precise, correctly signed coefficient counts as structure and supports H1 on that channel. An imprecise coefficient counts as caution and supports H0 on that channel. The two screens can therefore return a mixed verdict, structure in one channel and quiet in another, which is exactly what a design-stage inquiry into a partially matured topic should be able to express. The chapters that follow specify the estimators, document the data, and report the verdict channel by channel</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86"/>
    <w:bookmarkStart w:id="87" w:name="Xe0efb52d4a5a80ee9e917a834002563eea5ee28"/>
    <w:p>
      <w:pPr>
        <w:pStyle w:val="Heading2"/>
        <w:spacing w:line="480" w:lineRule="auto"/>
      </w:pPr>
      <w:r>
        <w:t xml:space="preserve">3.7 Rival explanations the mechanism must beat</w:t>
      </w:r>
    </w:p>
    <w:p>
      <w:pPr>
        <w:pStyle w:val="FirstParagraph"/>
        <w:spacing w:line="480" w:lineRule="auto"/>
      </w:pPr>
      <w:r>
        <w:t xml:space="preserve">A mechanism is only persuasive if it survives comparison with the rival explanations that could produce the same data. Three rivals deserve explicit statement. The first is a pure supply effect: more sources are published recently simply because publication volume grows over time, and if the theme terms appear at a constant rate, recent sources will mechanically accumulate more theme hits. The design blunts this rival by building the topic-signal score from term density across fields rather than raw counts, and by conditioning on venue, but it cannot fully exclude a supply story, and Chapter 7 returns to it as a threat to validity</w:t>
      </w:r>
      <w:r>
        <w:t xml:space="preserve"> </w:t>
      </w:r>
      <w:hyperlink w:anchor="ref-1">
        <w:r>
          <w:rPr>
            <w:rStyle w:val="Hyperlink"/>
          </w:rPr>
          <w:t xml:space="preserve">[1]</w:t>
        </w:r>
      </w:hyperlink>
      <w:r>
        <w:t xml:space="preserve">.</w:t>
      </w:r>
    </w:p>
    <w:p>
      <w:pPr>
        <w:pStyle w:val="BodyText"/>
        <w:spacing w:line="480" w:lineRule="auto"/>
        <w:ind w:firstLine="720"/>
      </w:pPr>
      <w:r>
        <w:t xml:space="preserve">A second rival is a vocabulary-drift effect. The community’s preferred terminology may simply have shifted toward the theme vocabulary over the sampled window, so that recent sources score higher because they use fashionable words, not because they engage the underlying problem more deeply. This rival is genuinely difficult to separate from the maturation mechanism using metadata alone, and honesty requires naming it now rather than after the results are in</w:t>
      </w:r>
      <w:r>
        <w:t xml:space="preserve"> </w:t>
      </w:r>
      <w:hyperlink w:anchor="ref-5">
        <w:r>
          <w:rPr>
            <w:rStyle w:val="Hyperlink"/>
          </w:rPr>
          <w:t xml:space="preserve">[5]</w:t>
        </w:r>
      </w:hyperlink>
      <w:r>
        <w:t xml:space="preserve">. The maturation mechanism predicts substantive engagement; a vocabulary-drift rival predicts only lexical change, and the two can look identical in a term-count score.</w:t>
      </w:r>
    </w:p>
    <w:p>
      <w:pPr>
        <w:pStyle w:val="BodyText"/>
        <w:spacing w:line="480" w:lineRule="auto"/>
        <w:ind w:firstLine="720"/>
      </w:pPr>
      <w:r>
        <w:t xml:space="preserve">A third rival is a venue-composition effect. If the corpus happens to draw its recent sources disproportionately from one venue family and its older sources from another, then a recency coefficient could be picking up a venue difference in disguise. The design defends against this by entering venue family as a separate regressor, so that the recency coefficient is read holding venue fixed, but the defense is only as good as the venue coding, and a coarse ordinal coding leaves residual room for the rival to operate</w:t>
      </w:r>
      <w:r>
        <w:t xml:space="preserve"> </w:t>
      </w:r>
      <w:hyperlink w:anchor="ref-4">
        <w:r>
          <w:rPr>
            <w:rStyle w:val="Hyperlink"/>
          </w:rPr>
          <w:t xml:space="preserve">[4]</w:t>
        </w:r>
      </w:hyperlink>
      <w:r>
        <w:t xml:space="preserve"> </w:t>
      </w:r>
      <w:hyperlink w:anchor="ref-7">
        <w:r>
          <w:rPr>
            <w:rStyle w:val="Hyperlink"/>
          </w:rPr>
          <w:t xml:space="preserve">[7]</w:t>
        </w:r>
      </w:hyperlink>
      <w:r>
        <w:t xml:space="preserve">. Naming these three rivals in advance is part of what makes the mechanism testable: each one implies a different pattern, and the design is built so that the data can, at least partially, discriminate among them.</w:t>
      </w:r>
    </w:p>
    <w:bookmarkEnd w:id="87"/>
    <w:bookmarkStart w:id="88" w:name="X801dd9e827e873ad368ae2b806d118a9179076e"/>
    <w:p>
      <w:pPr>
        <w:pStyle w:val="Heading2"/>
        <w:spacing w:line="480" w:lineRule="auto"/>
      </w:pPr>
      <w:r>
        <w:t xml:space="preserve">3.8 The theoretical payoff of a mixed verdict</w:t>
      </w:r>
    </w:p>
    <w:p>
      <w:pPr>
        <w:pStyle w:val="FirstParagraph"/>
        <w:spacing w:line="480" w:lineRule="auto"/>
      </w:pPr>
      <w:r>
        <w:t xml:space="preserve">The framework is deliberately constructed so that a mixed verdict is meaningful rather than embarrassing. A naive test would treat any non-rejection of the null as failure, but a maturation process does not switch on all channels at once. Engagement responds first, because researchers can start working on a live problem immediately; venue migration follows, because moving work into archival journals takes a publication cycle or two; citation accumulation comes last, because citations require that other researchers have had time to read, use, and cite the consolidating work</w:t>
      </w:r>
      <w:r>
        <w:t xml:space="preserve"> </w:t>
      </w:r>
      <w:hyperlink w:anchor="ref-6">
        <w:r>
          <w:rPr>
            <w:rStyle w:val="Hyperlink"/>
          </w:rPr>
          <w:t xml:space="preserve">[6]</w:t>
        </w:r>
      </w:hyperlink>
      <w:r>
        <w:t xml:space="preserve"> </w:t>
      </w:r>
      <w:hyperlink w:anchor="ref-2">
        <w:r>
          <w:rPr>
            <w:rStyle w:val="Hyperlink"/>
          </w:rPr>
          <w:t xml:space="preserve">[2]</w:t>
        </w:r>
      </w:hyperlink>
      <w:r>
        <w:t xml:space="preserve">. The theory therefore predicts a temporal ordering of the channels, and a mixed verdict is the expected observation for a topic caught mid-maturation.</w:t>
      </w:r>
    </w:p>
    <w:p>
      <w:pPr>
        <w:pStyle w:val="BodyText"/>
        <w:spacing w:line="480" w:lineRule="auto"/>
        <w:ind w:firstLine="720"/>
      </w:pPr>
      <w:r>
        <w:t xml:space="preserve">This is where the framework earns its keep. By specifying in advance that recency should light up before venue and venue before attention, the theory turns a partial result into a positioned result. A finding of recency structure with a quiet attention channel does not merely fail to reject part of the null; it locates the topic at a specific, early-to-middle phase of the maturation trajectory. That positioning is the theoretical payoff, and it is only available because the framework committed to an ordering of the channels before the estimators were run</w:t>
      </w:r>
      <w:r>
        <w:t xml:space="preserve"> </w:t>
      </w:r>
      <w:hyperlink w:anchor="ref-3">
        <w:r>
          <w:rPr>
            <w:rStyle w:val="Hyperlink"/>
          </w:rPr>
          <w:t xml:space="preserve">[3]</w:t>
        </w:r>
      </w:hyperlink>
      <w:r>
        <w:t xml:space="preserve"> </w:t>
      </w:r>
      <w:hyperlink w:anchor="ref-8">
        <w:r>
          <w:rPr>
            <w:rStyle w:val="Hyperlink"/>
          </w:rPr>
          <w:t xml:space="preserve">[8]</w:t>
        </w:r>
      </w:hyperlink>
      <w:r>
        <w:t xml:space="preserve">.</w:t>
      </w:r>
    </w:p>
    <w:bookmarkEnd w:id="88"/>
    <w:bookmarkStart w:id="89" w:name="the-operational-pull-premise"/>
    <w:p>
      <w:pPr>
        <w:pStyle w:val="Heading2"/>
        <w:spacing w:line="480" w:lineRule="auto"/>
      </w:pPr>
      <w:r>
        <w:t xml:space="preserve">3.9 The operational-pull premise</w:t>
      </w:r>
    </w:p>
    <w:p>
      <w:pPr>
        <w:pStyle w:val="FirstParagraph"/>
        <w:spacing w:line="480" w:lineRule="auto"/>
      </w:pPr>
      <w:r>
        <w:t xml:space="preserve">The maturation mechanism rests on a premise that deserves to be made explicit and defended: that there is a real operational pull creating present-tense demand for a machine-readable nomenclature. Without such a pull, the recency prediction loses its footing, because there would be no reason for engagement to rise recently rather than to drift at a constant rate. The premise is not assumed; it is grounded in the operational literature. Co-located constellations resolving conjunctions under onboard autonomy generate a continuous stream of events that must be labeled consistently across operators, and the coordination burden documented in that work is exactly the kind of pressure that pulls research toward standardized naming</w:t>
      </w:r>
      <w:r>
        <w:t xml:space="preserve"> </w:t>
      </w:r>
      <w:hyperlink w:anchor="ref-3">
        <w:r>
          <w:rPr>
            <w:rStyle w:val="Hyperlink"/>
          </w:rPr>
          <w:t xml:space="preserve">[3]</w:t>
        </w:r>
      </w:hyperlink>
      <w:r>
        <w:t xml:space="preserve">.</w:t>
      </w:r>
    </w:p>
    <w:p>
      <w:pPr>
        <w:pStyle w:val="BodyText"/>
        <w:spacing w:line="480" w:lineRule="auto"/>
        <w:ind w:firstLine="720"/>
      </w:pPr>
      <w:r>
        <w:t xml:space="preserve">A second source of pull comes from the density-modeling community. A landscape crowded with operations-ready models, each with its own conventions, creates friction at every interface, and the survey that catalogs this crowding reads as a standing demand for common reference conventions</w:t>
      </w:r>
      <w:r>
        <w:t xml:space="preserve"> </w:t>
      </w:r>
      <w:hyperlink w:anchor="ref-1">
        <w:r>
          <w:rPr>
            <w:rStyle w:val="Hyperlink"/>
          </w:rPr>
          <w:t xml:space="preserve">[1]</w:t>
        </w:r>
      </w:hyperlink>
      <w:r>
        <w:t xml:space="preserve">. Assimilation frameworks that achieve operational readiness by fixing input and output conventions demonstrate that the field already responds to this demand where it can, standardizing interfaces to make components swappable</w:t>
      </w:r>
      <w:r>
        <w:t xml:space="preserve"> </w:t>
      </w:r>
      <w:hyperlink w:anchor="ref-8">
        <w:r>
          <w:rPr>
            <w:rStyle w:val="Hyperlink"/>
          </w:rPr>
          <w:t xml:space="preserve">[8]</w:t>
        </w:r>
      </w:hyperlink>
      <w:r>
        <w:t xml:space="preserve">. The nomenclature layer is simply the next interface in line, and the theory predicts that the same pull that standardized model interfaces will, in time, pull the naming layer toward consolidation as well.</w:t>
      </w:r>
    </w:p>
    <w:p>
      <w:pPr>
        <w:pStyle w:val="BodyText"/>
        <w:spacing w:line="480" w:lineRule="auto"/>
        <w:ind w:firstLine="720"/>
      </w:pPr>
      <w:r>
        <w:t xml:space="preserve">This premise has a testable implication that the design exploits. If the operational pull is real and recent, then engagement with the naming theme should be recent too, concentrated in the years when the pull became acute rather than spread evenly across the historical record. The recency prediction is, at bottom, a test of the operational-pull premise: a positive recency coefficient is consistent with a field responding to a recent and growing operational demand, while a flat coefficient would suggest either that no such pull exists or that the literature has not yet begun to answer it</w:t>
      </w:r>
      <w:r>
        <w:t xml:space="preserve"> </w:t>
      </w:r>
      <w:hyperlink w:anchor="ref-4">
        <w:r>
          <w:rPr>
            <w:rStyle w:val="Hyperlink"/>
          </w:rPr>
          <w:t xml:space="preserve">[4]</w:t>
        </w:r>
      </w:hyperlink>
      <w:r>
        <w:t xml:space="preserve">. The premise and the prediction are thus tightly coupled, which is what allows a single coefficient to speak to the underlying mechanism.</w:t>
      </w:r>
    </w:p>
    <w:bookmarkEnd w:id="89"/>
    <w:bookmarkStart w:id="90" w:name="boundary-conditions-of-the-theory"/>
    <w:p>
      <w:pPr>
        <w:pStyle w:val="Heading2"/>
        <w:spacing w:line="480" w:lineRule="auto"/>
      </w:pPr>
      <w:r>
        <w:t xml:space="preserve">3.10 Boundary conditions of the theory</w:t>
      </w:r>
    </w:p>
    <w:p>
      <w:pPr>
        <w:pStyle w:val="FirstParagraph"/>
        <w:spacing w:line="480" w:lineRule="auto"/>
      </w:pPr>
      <w:r>
        <w:t xml:space="preserve">Every theory has boundary conditions, and stating them protects the framework from being applied where it does not hold. The maturation mechanism assumes that the retrieved corpus is a fair trace of the field’s engagement with the topic, so that structure in the corpus reflects structure in the field rather than an artifact of retrieval. Where the retrieval is biased, toward one venue, one vocabulary, or one period, the predicted signatures could appear or vanish for reasons unrelated to maturation, and the theory’s predictions would not apply cleanly. Chapter 5 documents the corpus precisely so this boundary condition can be assessed, and Chapter 7 returns to it as an external-validity threat</w:t>
      </w:r>
      <w:r>
        <w:t xml:space="preserve"> </w:t>
      </w:r>
      <w:hyperlink w:anchor="ref-5">
        <w:r>
          <w:rPr>
            <w:rStyle w:val="Hyperlink"/>
          </w:rPr>
          <w:t xml:space="preserve">[5]</w:t>
        </w:r>
      </w:hyperlink>
      <w:r>
        <w:t xml:space="preserve">.</w:t>
      </w:r>
    </w:p>
    <w:p>
      <w:pPr>
        <w:pStyle w:val="BodyText"/>
        <w:spacing w:line="480" w:lineRule="auto"/>
        <w:ind w:firstLine="720"/>
      </w:pPr>
      <w:r>
        <w:t xml:space="preserve">The theory also assumes that the three channels respond on the timescale the ordering predicts, engagement fastest, venue next, attention slowest. That ordering is a reasonable generalization from bibliometric experience, but it is not a law, and a field with unusual publication or citation dynamics could violate it. The framework is honest that its temporal ordering is a modeling assumption rather than a certainty, and it treats a result that violates the ordering, were one to appear, as informative about the field rather than as a failure of measurement</w:t>
      </w:r>
      <w:r>
        <w:t xml:space="preserve"> </w:t>
      </w:r>
      <w:hyperlink w:anchor="ref-6">
        <w:r>
          <w:rPr>
            <w:rStyle w:val="Hyperlink"/>
          </w:rPr>
          <w:t xml:space="preserve">[6]</w:t>
        </w:r>
      </w:hyperlink>
      <w:r>
        <w:t xml:space="preserve"> </w:t>
      </w:r>
      <w:hyperlink w:anchor="ref-2">
        <w:r>
          <w:rPr>
            <w:rStyle w:val="Hyperlink"/>
          </w:rPr>
          <w:t xml:space="preserve">[2]</w:t>
        </w:r>
      </w:hyperlink>
      <w:r>
        <w:t xml:space="preserve">. Naming these boundary conditions completes the theoretical framework: it specifies not only what the mechanism predicts, but the conditions under which those predictions can be trusted, and the conditions under which a careful reader should suspend them.</w:t>
      </w:r>
    </w:p>
    <w:bookmarkEnd w:id="90"/>
    <w:bookmarkStart w:id="91" w:name="X7890ecc585aca52b77a14a166332b3067f240a4"/>
    <w:p>
      <w:pPr>
        <w:pStyle w:val="Heading2"/>
        <w:spacing w:line="480" w:lineRule="auto"/>
      </w:pPr>
      <w:r>
        <w:t xml:space="preserve">3.11 The theory expressed as a chain of reasoning</w:t>
      </w:r>
    </w:p>
    <w:p>
      <w:pPr>
        <w:pStyle w:val="FirstParagraph"/>
        <w:spacing w:line="480" w:lineRule="auto"/>
      </w:pPr>
      <w:r>
        <w:t xml:space="preserve">The framework can be compressed into a chain of reasoning that makes its logic auditable, which is fitting for a dissertation that prizes traceability. The chain begins with a warrant drawn from the operational literature: co-located autonomy and model fragmentation create a present-tense demand for shared, machine-readable labels</w:t>
      </w:r>
      <w:r>
        <w:t xml:space="preserve"> </w:t>
      </w:r>
      <w:hyperlink w:anchor="ref-3">
        <w:r>
          <w:rPr>
            <w:rStyle w:val="Hyperlink"/>
          </w:rPr>
          <w:t xml:space="preserve">[3]</w:t>
        </w:r>
      </w:hyperlink>
      <w:r>
        <w:t xml:space="preserve"> </w:t>
      </w:r>
      <w:hyperlink w:anchor="ref-1">
        <w:r>
          <w:rPr>
            <w:rStyle w:val="Hyperlink"/>
          </w:rPr>
          <w:t xml:space="preserve">[1]</w:t>
        </w:r>
      </w:hyperlink>
      <w:r>
        <w:t xml:space="preserve">. From that warrant follows a claim: a field under such demand will begin to work on the naming problem, and that work will appear in the recent literature rather than spread evenly across the historical record. From that claim follows a prediction: the topic-signal score will rise with recency, holding the other channels fixed.</w:t>
      </w:r>
    </w:p>
    <w:p>
      <w:pPr>
        <w:pStyle w:val="BodyText"/>
        <w:spacing w:line="480" w:lineRule="auto"/>
        <w:ind w:firstLine="720"/>
      </w:pPr>
      <w:r>
        <w:t xml:space="preserve">This chain continues on the venue channel. Because maturing work tends to migrate across publication cultures, the venue family in which theme engagement concentrates carries information about how far the topic has traveled, which grounds the prediction that the venue coefficient is nonzero, with a direction the data will resolve</w:t>
      </w:r>
      <w:r>
        <w:t xml:space="preserve"> </w:t>
      </w:r>
      <w:hyperlink w:anchor="ref-4">
        <w:r>
          <w:rPr>
            <w:rStyle w:val="Hyperlink"/>
          </w:rPr>
          <w:t xml:space="preserve">[4]</w:t>
        </w:r>
      </w:hyperlink>
      <w:r>
        <w:t xml:space="preserve">. And it continues on the attention channel: because cumulative attention follows a regular relationship with age, the topic’s citation dynamics should either display a measurable age curve or, in a corpus too young to have accumulated attention, fail to, which grounds the learning-curve prediction and its anticipated weakness in a young corpus</w:t>
      </w:r>
      <w:r>
        <w:t xml:space="preserve"> </w:t>
      </w:r>
      <w:hyperlink w:anchor="ref-6">
        <w:r>
          <w:rPr>
            <w:rStyle w:val="Hyperlink"/>
          </w:rPr>
          <w:t xml:space="preserve">[6]</w:t>
        </w:r>
      </w:hyperlink>
      <w:r>
        <w:t xml:space="preserve"> </w:t>
      </w:r>
      <w:hyperlink w:anchor="ref-2">
        <w:r>
          <w:rPr>
            <w:rStyle w:val="Hyperlink"/>
          </w:rPr>
          <w:t xml:space="preserve">[2]</w:t>
        </w:r>
      </w:hyperlink>
      <w:r>
        <w:t xml:space="preserve">.</w:t>
      </w:r>
    </w:p>
    <w:p>
      <w:pPr>
        <w:pStyle w:val="BodyText"/>
        <w:spacing w:line="480" w:lineRule="auto"/>
        <w:ind w:firstLine="720"/>
      </w:pPr>
      <w:r>
        <w:t xml:space="preserve">Laying the theory out as an explicit chain does two things. It exposes each link to challenge, so a reader who doubts the conclusion can locate the exact warrant, claim, or prediction they reject rather than dismissing the framework wholesale. And it ties the abstract mechanism to the concrete coefficients the estimators will produce, so that the results of Chapter 6 can be read as verdicts on specific links in a stated chain rather than as free-floating numbers. This is the same traceability discipline the dissertation applies to its data, extended to its theory: the reasoning from operational pull to predicted coefficient is written out step by step, and every step is available for inspection</w:t>
      </w:r>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bookmarkEnd w:id="91"/>
    <w:bookmarkStart w:id="92" w:name="X82df8166fbbf937ca951cf51708a5391da1722c"/>
    <w:p>
      <w:pPr>
        <w:pStyle w:val="Heading2"/>
        <w:spacing w:line="480" w:lineRule="auto"/>
      </w:pPr>
      <w:r>
        <w:t xml:space="preserve">3.12 Why falsifiability is the organizing virtue</w:t>
      </w:r>
    </w:p>
    <w:p>
      <w:pPr>
        <w:pStyle w:val="FirstParagraph"/>
        <w:spacing w:line="480" w:lineRule="auto"/>
      </w:pPr>
      <w:r>
        <w:t xml:space="preserve">The framework could have been built to accommodate any outcome, and it was deliberately not. A theory that predicts structure if structure appears and explains away flatness if it does not is unfalsifiable, and unfalsifiable theories accumulate the appearance of support without ever risking refutation. This framework instead commits to directional, precise predictions on each channel, and it commits in advance to reading an imprecise or wrongly-signed coefficient as evidence against the prediction rather than as noise to be reinterpreted. That commitment is what makes the single contribution scientific rather than merely plausible.</w:t>
      </w:r>
    </w:p>
    <w:p>
      <w:pPr>
        <w:pStyle w:val="BodyText"/>
        <w:spacing w:line="480" w:lineRule="auto"/>
        <w:ind w:firstLine="720"/>
      </w:pPr>
      <w:r>
        <w:t xml:space="preserve">Falsifiability also disciplines the interpretation that follows. Because the predictions were stated before the data were examined, a confirmed prediction is genuine evidence rather than a pattern found by searching, and a disconfirmed prediction is an honest null rather than a result to be buried. The mixed verdict the framework anticipates, structure on some channels and quiet on others, is only meaningful because each channel’s prediction could have failed independently. A framework that risks refutation on each channel earns the right to be believed where it survives, and that earned credibility is the organizing virtue the whole theoretical apparatus is built to secure</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92"/>
    <w:bookmarkEnd w:id="93"/>
    <w:bookmarkStart w:id="106" w:name="X940caaf6d3ac92c12a69529db0381ad3e868d7e"/>
    <w:p>
      <w:pPr>
        <w:pStyle w:val="Heading1"/>
        <w:spacing w:line="480" w:lineRule="auto"/>
      </w:pPr>
      <w:r>
        <w:t xml:space="preserve">Chapter 4. Methodology and Identification</w:t>
      </w:r>
    </w:p>
    <w:p>
      <w:pPr>
        <w:pStyle w:val="FirstParagraph"/>
        <w:spacing w:line="480" w:lineRule="auto"/>
      </w:pPr>
      <w:r>
        <w:t xml:space="preserve">The hypotheses of Chapter 3 demand estimators that are transparent, reproducible, and matched to the structure of a small corpus. This chapter specifies the two estimators, an ordinary least squares model of topic-signal intensity and a log-log learning-curve model of citation accumulation, and it defends the claim that these estimators identify the associations the theory cares about rather than artifacts of the data. Identification here is modest and honest. The design does not claim to recover a causal treatment effect. It claims to recover, from an auditable corpus, the conditional associations that the maturation mechanism predicts, and to report their precision faithfully.</w:t>
      </w:r>
    </w:p>
    <w:bookmarkStart w:id="94" w:name="why-two-estimators"/>
    <w:p>
      <w:pPr>
        <w:pStyle w:val="Heading2"/>
        <w:spacing w:line="480" w:lineRule="auto"/>
      </w:pPr>
      <w:r>
        <w:t xml:space="preserve">4.1 Why two estimators</w:t>
      </w:r>
    </w:p>
    <w:p>
      <w:pPr>
        <w:pStyle w:val="FirstParagraph"/>
        <w:spacing w:line="480" w:lineRule="auto"/>
      </w:pPr>
      <w:r>
        <w:t xml:space="preserve">A single estimator would answer only part of the question. The recency and venue predictions concern how topic engagement varies across sources, a cross-sectional pattern best captured by a regression of the topic-signal score on its hypothesized correlates. The attention prediction concerns how citation counts grow with age, a dynamic pattern best captured by a learning-curve model that regresses log citations on log age. The two questions have different outcomes and different functional forms, so they require different estimators. Forcing both into one specification would blur the distinct channels the theory separates. So the design keeps them apart.</w:t>
      </w:r>
    </w:p>
    <w:p>
      <w:pPr>
        <w:pStyle w:val="BodyText"/>
        <w:spacing w:line="480" w:lineRule="auto"/>
        <w:ind w:firstLine="720"/>
      </w:pPr>
      <w:r>
        <w:t xml:space="preserve">This division of labor is clean. The ordinary least squares screen carries the recency and venue hypotheses and conditions out citation attention as a control. The learning-curve screen carries the attention hypothesis directly, isolating the age-citation relationship in the functional form that bibliometric theory expects. Reporting both, rather than collapsing them, is what lets the dissertation return a channel-by-channel verdict instead of a single undifferentiated summary</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bookmarkEnd w:id="94"/>
    <w:bookmarkStart w:id="95" w:name="the-ordinary-least-squares-screen"/>
    <w:p>
      <w:pPr>
        <w:pStyle w:val="Heading2"/>
        <w:spacing w:line="480" w:lineRule="auto"/>
      </w:pPr>
      <w:r>
        <w:t xml:space="preserve">4.2 The ordinary least squares screen</w:t>
      </w:r>
    </w:p>
    <w:p>
      <w:pPr>
        <w:pStyle w:val="FirstParagraph"/>
        <w:spacing w:line="480" w:lineRule="auto"/>
      </w:pPr>
      <w:r>
        <w:t xml:space="preserve">The first estimator models the topic-signal score as a linear function of the recency index, the reported citation count, and the ordinal venue score. In compact form the specification is</w:t>
      </w:r>
    </w:p>
    <w:p>
      <w:pPr>
        <w:pStyle w:val="BodyText"/>
        <w:spacing w:line="480" w:lineRule="auto"/>
        <w:ind w:firstLine="720"/>
      </w:pPr>
      <w:r>
        <w:t xml:space="preserve">SignalScore_i = alpha + beta_1 RecencyIndex_i + beta_2 Cites_i + beta_3 VenueScore_i + epsilon_i,</w:t>
      </w:r>
    </w:p>
    <w:p>
      <w:pPr>
        <w:pStyle w:val="BodyText"/>
        <w:spacing w:line="480" w:lineRule="auto"/>
        <w:ind w:firstLine="720"/>
      </w:pPr>
      <w:r>
        <w:t xml:space="preserve">where the subscript i indexes retrieved source records. The coefficient beta_1 carries the recency prediction, beta_3 carries the venue prediction, and beta_2 conditions out citation attention so that the recency and venue coefficients are read holding attention fixed. The intercept alpha absorbs the baseline signal level for the reference venue at the anchored recency origin.</w:t>
      </w:r>
    </w:p>
    <w:p>
      <w:pPr>
        <w:pStyle w:val="BodyText"/>
        <w:spacing w:line="480" w:lineRule="auto"/>
        <w:ind w:firstLine="720"/>
      </w:pPr>
      <w:r>
        <w:t xml:space="preserve">Linearity is a deliberate choice for a corpus of this size. With thirty records and three predictors, a flexible functional form would chase noise, and the theory in any case predicts monotone directional associations rather than curvature. Ordinary least squares delivers coefficients that map one-to-one onto the directional hypotheses, which is what the falsifiability of the design requires. A positive, precise beta_1 supports the recency prediction; a nonzero, precise beta_3 supports the venue prediction; and imprecise coefficients are reported plainly as imprecise rather than reinterpreted.</w:t>
      </w:r>
    </w:p>
    <w:bookmarkEnd w:id="95"/>
    <w:bookmarkStart w:id="96" w:name="the-learning-curve-screen"/>
    <w:p>
      <w:pPr>
        <w:pStyle w:val="Heading2"/>
        <w:spacing w:line="480" w:lineRule="auto"/>
      </w:pPr>
      <w:r>
        <w:t xml:space="preserve">4.3 The learning-curve screen</w:t>
      </w:r>
    </w:p>
    <w:p>
      <w:pPr>
        <w:pStyle w:val="FirstParagraph"/>
        <w:spacing w:line="480" w:lineRule="auto"/>
      </w:pPr>
      <w:r>
        <w:t xml:space="preserve">The second estimator models citation accumulation as a log-log function of article age:</w:t>
      </w:r>
    </w:p>
    <w:p>
      <w:pPr>
        <w:pStyle w:val="BodyText"/>
        <w:spacing w:line="480" w:lineRule="auto"/>
        <w:ind w:firstLine="720"/>
      </w:pPr>
      <w:r>
        <w:t xml:space="preserve">ln(CitesPlus1_i) = alpha + beta_1 ln(AgeIndex_i) + epsilon_i.</w:t>
      </w:r>
    </w:p>
    <w:p>
      <w:pPr>
        <w:pStyle w:val="BodyText"/>
        <w:spacing w:line="480" w:lineRule="auto"/>
        <w:ind w:firstLine="720"/>
      </w:pPr>
      <w:r>
        <w:t xml:space="preserve">The outcome is the reported citation count plus one, a transformation that keeps the logarithm defined for the many records with zero reported citations, which are common in a young corpus. The single regressor is the log of the age index, computed as the reference year minus the publication year plus one. In this specification beta_1 is an elasticity: the proportional change in citations-plus-one associated with a proportional change in age. The implied progress ratio, two raised to the power beta_1, expresses how citation stock scales as age doubles.</w:t>
      </w:r>
    </w:p>
    <w:p>
      <w:pPr>
        <w:pStyle w:val="BodyText"/>
        <w:spacing w:line="480" w:lineRule="auto"/>
        <w:ind w:firstLine="720"/>
      </w:pPr>
      <w:r>
        <w:t xml:space="preserve">A learning-curve form is chosen because it matches the theoretical claim exactly. Bibliometric maturation predicts a regular power-law relationship between cumulative attention and age, and the log-log regression is the canonical way to estimate the exponent of such a relationship. An elasticity near zero, with a progress ratio near one, indicates that attention is essentially flat with respect to age in this corpus. An elasticity clearly different from zero indicates a structured age curve. The estimator is built so that either outcome is legible without post hoc adjustment</w:t>
      </w:r>
      <w:r>
        <w:t xml:space="preserve"> </w:t>
      </w:r>
      <w:hyperlink w:anchor="ref-6">
        <w:r>
          <w:rPr>
            <w:rStyle w:val="Hyperlink"/>
          </w:rPr>
          <w:t xml:space="preserve">[6]</w:t>
        </w:r>
      </w:hyperlink>
      <w:r>
        <w:t xml:space="preserve"> </w:t>
      </w:r>
      <w:hyperlink w:anchor="ref-7">
        <w:r>
          <w:rPr>
            <w:rStyle w:val="Hyperlink"/>
          </w:rPr>
          <w:t xml:space="preserve">[7]</w:t>
        </w:r>
      </w:hyperlink>
      <w:r>
        <w:t xml:space="preserve">. No tuning. No rescue.</w:t>
      </w:r>
    </w:p>
    <w:bookmarkEnd w:id="96"/>
    <w:bookmarkStart w:id="97" w:name="standard-errors-and-inference"/>
    <w:p>
      <w:pPr>
        <w:pStyle w:val="Heading2"/>
        <w:spacing w:line="480" w:lineRule="auto"/>
      </w:pPr>
      <w:r>
        <w:t xml:space="preserve">4.4 Standard errors and inference</w:t>
      </w:r>
    </w:p>
    <w:p>
      <w:pPr>
        <w:pStyle w:val="FirstParagraph"/>
        <w:spacing w:line="480" w:lineRule="auto"/>
      </w:pPr>
      <w:r>
        <w:t xml:space="preserve">Both estimators use heteroskedasticity-robust standard errors of the HC1 form. The choice is defensive. A composite topic-signal score built from term counts is unlikely to have constant error variance across sources of different length and venue, and citation counts are famously heteroskedastic. HC1 errors keep inference valid under that heteroskedasticity without imposing a variance structure the design cannot justify. In a small sample the robust correction is not a cure-all, but it is the conservative default, and it is stated in advance rather than selected after inspecting the residuals.</w:t>
      </w:r>
    </w:p>
    <w:p>
      <w:pPr>
        <w:pStyle w:val="BodyText"/>
        <w:spacing w:line="480" w:lineRule="auto"/>
        <w:ind w:firstLine="720"/>
      </w:pPr>
      <w:r>
        <w:t xml:space="preserve">Inference is read against the hypotheses of Chapter 3 with a fixed rule. A coefficient is treated as evidence of structure when it is both correctly signed relative to the prediction and precise enough that its p-value clears a conventional threshold. A coefficient that is imprecise is treated as evidence against a strong claim on that channel, consistent with the null. Committing to this rule before seeing the numbers is what prevents the interpretation in Chapter 6 from drifting toward whatever the data happen to show.</w:t>
      </w:r>
    </w:p>
    <w:bookmarkEnd w:id="97"/>
    <w:bookmarkStart w:id="98" w:name="X790a028d2f7e3cfe56fdc49c1c9f40a3f97b287"/>
    <w:p>
      <w:pPr>
        <w:pStyle w:val="Heading2"/>
        <w:spacing w:line="480" w:lineRule="auto"/>
      </w:pPr>
      <w:r>
        <w:t xml:space="preserve">4.5 What the design identifies, and what it does not</w:t>
      </w:r>
    </w:p>
    <w:p>
      <w:pPr>
        <w:pStyle w:val="FirstParagraph"/>
        <w:spacing w:line="480" w:lineRule="auto"/>
      </w:pPr>
      <w:r>
        <w:t xml:space="preserve">Identification claims should be stated plainly, including their limits. What the ordinary least squares screen identifies is the conditional association between topic engagement and each predictor within the retrieved corpus, holding the other predictors fixed. What the learning-curve screen identifies is the age elasticity of citation accumulation within that same corpus. These are population-of-sources statements about the retrieved literature, not statements about the universe of all space literature and not causal statements about what drives engagement.</w:t>
      </w:r>
    </w:p>
    <w:p>
      <w:pPr>
        <w:pStyle w:val="BodyText"/>
        <w:spacing w:line="480" w:lineRule="auto"/>
        <w:ind w:firstLine="720"/>
      </w:pPr>
      <w:r>
        <w:t xml:space="preserve">The design does not identify a causal effect of recency, attention, or venue on topic engagement, because nothing in it randomizes or instruments those variables. Recency, citations, and venue are correlated features of a source, and the regression disentangles their linear associations but cannot rule out an unobserved common cause. This is why the hypotheses speak of systematic relationship rather than causation, and why Chapter 7 returns to the confounds that a confirmatory design would have to address</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Nor does the design identify anything outside the corpus boundary. The retrieved records were selected to represent the candidate topic across venues and years, but they are a sample assembled by a retrieval process, and inference generalizes only insofar as that process is representative. The estimators are honest about the sample they are given; they cannot repair a sample that omits relevant work. Stating this limit is part of the identification argument, not an aside to it. Limits belong in the argument.</w:t>
      </w:r>
    </w:p>
    <w:bookmarkEnd w:id="98"/>
    <w:bookmarkStart w:id="99" w:name="X9b8c5f9b189975acf3f102d59962be7442dcfae"/>
    <w:p>
      <w:pPr>
        <w:pStyle w:val="Heading2"/>
        <w:spacing w:line="480" w:lineRule="auto"/>
      </w:pPr>
      <w:r>
        <w:t xml:space="preserve">4.6 Reproducibility as a methodological commitment</w:t>
      </w:r>
    </w:p>
    <w:p>
      <w:pPr>
        <w:pStyle w:val="FirstParagraph"/>
        <w:spacing w:line="480" w:lineRule="auto"/>
      </w:pPr>
      <w:r>
        <w:t xml:space="preserve">A final methodological point concerns reproducibility, which the design treats as a first-class requirement rather than a courtesy. Every variable is deterministic, computed from source metadata by a fixed rule, so that a second analyst starting from the same records would construct the same feature rows. Every estimator is a standard, well-understood procedure with no tuning parameters that could be adjusted to flatter the result. Every row preserves a source column, so that any coefficient can be traced back to the specific records that produce it.</w:t>
      </w:r>
    </w:p>
    <w:p>
      <w:pPr>
        <w:pStyle w:val="BodyText"/>
        <w:spacing w:line="480" w:lineRule="auto"/>
        <w:ind w:firstLine="720"/>
      </w:pPr>
      <w:r>
        <w:t xml:space="preserve">This commitment does real work for the argument. Because the pipeline is deterministic and inspectable, the single falsifiable claim can be checked by anyone who disagrees with it, at the level of the individual source if necessary. The estimators in Chapter 6 are not asked to be sophisticated. They are asked to be transparent, matched to the theory, and honest about their precision, and the identification logic of this chapter is what licenses reading their output as evidence about the readiness of a machine-ready on-orbit nomenclature</w:t>
      </w:r>
      <w:r>
        <w:t xml:space="preserve"> </w:t>
      </w:r>
      <w:hyperlink w:anchor="ref-8">
        <w:r>
          <w:rPr>
            <w:rStyle w:val="Hyperlink"/>
          </w:rPr>
          <w:t xml:space="preserve">[8]</w:t>
        </w:r>
      </w:hyperlink>
      <w:r>
        <w:t xml:space="preserve"> </w:t>
      </w:r>
      <w:hyperlink w:anchor="ref-5">
        <w:r>
          <w:rPr>
            <w:rStyle w:val="Hyperlink"/>
          </w:rPr>
          <w:t xml:space="preserve">[5]</w:t>
        </w:r>
      </w:hyperlink>
      <w:r>
        <w:t xml:space="preserve">.</w:t>
      </w:r>
    </w:p>
    <w:bookmarkEnd w:id="99"/>
    <w:bookmarkStart w:id="100" w:name="X3c5845a1c1111c8927bcac099fb8a2afcd65234"/>
    <w:p>
      <w:pPr>
        <w:pStyle w:val="Heading2"/>
        <w:spacing w:line="480" w:lineRule="auto"/>
      </w:pPr>
      <w:r>
        <w:t xml:space="preserve">4.7 Functional form and the small-sample regime</w:t>
      </w:r>
    </w:p>
    <w:p>
      <w:pPr>
        <w:pStyle w:val="FirstParagraph"/>
        <w:spacing w:line="480" w:lineRule="auto"/>
      </w:pPr>
      <w:r>
        <w:t xml:space="preserve">Both estimators are simple, and that simplicity is a considered response to the small-sample regime rather than a shortcut. With thirty observations, the effective degrees of freedom are few, and every additional parameter spends a scarce resource. A richer specification, with interactions or polynomial terms, would fit the sample more closely and generalize worse, chasing idiosyncrasies of these particular thirty records rather than the signal the theory predicts. The linear ordinary least squares form spends only four parameters, an intercept and three slopes, and each maps onto a directional hypothesis stated in advance, so no parameter is wasted on a relationship the theory does not name</w:t>
      </w:r>
      <w:r>
        <w:t xml:space="preserve"> </w:t>
      </w:r>
      <w:hyperlink w:anchor="ref-1">
        <w:r>
          <w:rPr>
            <w:rStyle w:val="Hyperlink"/>
          </w:rPr>
          <w:t xml:space="preserve">[1]</w:t>
        </w:r>
      </w:hyperlink>
      <w:r>
        <w:t xml:space="preserve">.</w:t>
      </w:r>
    </w:p>
    <w:p>
      <w:pPr>
        <w:pStyle w:val="BodyText"/>
        <w:spacing w:line="480" w:lineRule="auto"/>
        <w:ind w:firstLine="720"/>
      </w:pPr>
      <w:r>
        <w:t xml:space="preserve">Leaner still is the learning-curve form, spending two parameters on a single elasticity plus an intercept. Leanness matters most for the attention screen, because the citation data are sparse and a more flexible curve would find spurious structure in the handful of nonzero counts. Fixing the functional form to the log-log shape that bibliometric theory predicts means the estimator can only report the exponent that theory expects, not invent a curve the data cannot support</w:t>
      </w:r>
      <w:r>
        <w:t xml:space="preserve"> </w:t>
      </w:r>
      <w:hyperlink w:anchor="ref-6">
        <w:r>
          <w:rPr>
            <w:rStyle w:val="Hyperlink"/>
          </w:rPr>
          <w:t xml:space="preserve">[6]</w:t>
        </w:r>
      </w:hyperlink>
      <w:r>
        <w:t xml:space="preserve">. The choice trades flexibility for interpretability and honesty, which is the right trade when the sample is small and the theoretical prediction is specific.</w:t>
      </w:r>
    </w:p>
    <w:p>
      <w:pPr>
        <w:pStyle w:val="BodyText"/>
        <w:spacing w:line="480" w:lineRule="auto"/>
        <w:ind w:firstLine="720"/>
      </w:pPr>
      <w:r>
        <w:t xml:space="preserve">There is a further reason to keep the forms canonical. A reader evaluating the identification claim needs to understand exactly what the estimator does, and standard ordinary least squares and log-log regression are procedures whose behavior is fully understood and widely taught. An exotic estimator would introduce its own assumptions and failure modes, adding to the list of things a skeptic must trust. By staying with canonical forms, the design keeps the trust surface small: the reader has to accept only that the corpus is representative and that the variables are correctly constructed, both of which are inspectable, and not any hidden property of a bespoke estimator</w:t>
      </w:r>
      <w:r>
        <w:t xml:space="preserve"> </w:t>
      </w:r>
      <w:hyperlink w:anchor="ref-4">
        <w:r>
          <w:rPr>
            <w:rStyle w:val="Hyperlink"/>
          </w:rPr>
          <w:t xml:space="preserve">[4]</w:t>
        </w:r>
      </w:hyperlink>
      <w:r>
        <w:t xml:space="preserve"> </w:t>
      </w:r>
      <w:hyperlink w:anchor="ref-7">
        <w:r>
          <w:rPr>
            <w:rStyle w:val="Hyperlink"/>
          </w:rPr>
          <w:t xml:space="preserve">[7]</w:t>
        </w:r>
      </w:hyperlink>
      <w:r>
        <w:t xml:space="preserve">.</w:t>
      </w:r>
    </w:p>
    <w:bookmarkEnd w:id="100"/>
    <w:bookmarkStart w:id="101" w:name="X363511104d9dbdeeca86d7ad03d7aaca13a9e30"/>
    <w:p>
      <w:pPr>
        <w:pStyle w:val="Heading2"/>
        <w:spacing w:line="480" w:lineRule="auto"/>
      </w:pPr>
      <w:r>
        <w:t xml:space="preserve">4.8 How the two screens speak to the hypotheses jointly</w:t>
      </w:r>
    </w:p>
    <w:p>
      <w:pPr>
        <w:pStyle w:val="FirstParagraph"/>
        <w:spacing w:line="480" w:lineRule="auto"/>
      </w:pPr>
      <w:r>
        <w:t xml:space="preserve">The identification argument is completed by explaining how the two screens combine to address the hypotheses rather than answering them separately and leaving the reader to stitch the pieces together. The ordinary least squares screen tests the recency and venue predictions directly and tests the attention prediction indirectly, through the citation control coefficient. The learning-curve screen tests the attention prediction directly, in the functional form the theory specifies. When both the ordinary least squares citation control and the learning-curve elasticity return imprecise estimates, the convergent nulls reinforce one another: the attention channel is quiet under two different specifications, which is stronger evidence for the null on that channel than either screen alone would provide</w:t>
      </w:r>
      <w:r>
        <w:t xml:space="preserve"> </w:t>
      </w:r>
      <w:hyperlink w:anchor="ref-6">
        <w:r>
          <w:rPr>
            <w:rStyle w:val="Hyperlink"/>
          </w:rPr>
          <w:t xml:space="preserve">[6]</w:t>
        </w:r>
      </w:hyperlink>
      <w:r>
        <w:t xml:space="preserve"> </w:t>
      </w:r>
      <w:hyperlink w:anchor="ref-1">
        <w:r>
          <w:rPr>
            <w:rStyle w:val="Hyperlink"/>
          </w:rPr>
          <w:t xml:space="preserve">[1]</w:t>
        </w:r>
      </w:hyperlink>
      <w:r>
        <w:t xml:space="preserve">.</w:t>
      </w:r>
    </w:p>
    <w:p>
      <w:pPr>
        <w:pStyle w:val="BodyText"/>
        <w:spacing w:line="480" w:lineRule="auto"/>
        <w:ind w:firstLine="720"/>
      </w:pPr>
      <w:r>
        <w:t xml:space="preserve">Convergence works the other way too. If the recency coefficient in the ordinary least squares screen were significant while the learning-curve screen showed a strong age elasticity, the two would jointly describe a topic maturing on both the engagement and attention channels at once. The design is built so that the pattern across the two screens is itself interpretable, not just the coefficients within each. This joint reading is the final piece of the identification logic: the estimators are chosen and paired so that their combined output maps cleanly onto the channel-by-channel, temporally-ordered maturation story that Chapter 3 laid out, and so that Chapter 6 can report a verdict that is more than the sum of two isolated regressions</w:t>
      </w:r>
      <w:r>
        <w:t xml:space="preserve"> </w:t>
      </w:r>
      <w:hyperlink w:anchor="ref-3">
        <w:r>
          <w:rPr>
            <w:rStyle w:val="Hyperlink"/>
          </w:rPr>
          <w:t xml:space="preserve">[3]</w:t>
        </w:r>
      </w:hyperlink>
      <w:r>
        <w:t xml:space="preserve"> </w:t>
      </w:r>
      <w:hyperlink w:anchor="ref-8">
        <w:r>
          <w:rPr>
            <w:rStyle w:val="Hyperlink"/>
          </w:rPr>
          <w:t xml:space="preserve">[8]</w:t>
        </w:r>
      </w:hyperlink>
      <w:r>
        <w:t xml:space="preserve">.</w:t>
      </w:r>
    </w:p>
    <w:bookmarkEnd w:id="101"/>
    <w:bookmarkStart w:id="102" w:name="X470b955322aaef9c9c4859678352ae0c507711d"/>
    <w:p>
      <w:pPr>
        <w:pStyle w:val="Heading2"/>
        <w:spacing w:line="480" w:lineRule="auto"/>
      </w:pPr>
      <w:r>
        <w:t xml:space="preserve">4.9 The role of robust standard errors in a small sample</w:t>
      </w:r>
    </w:p>
    <w:p>
      <w:pPr>
        <w:pStyle w:val="FirstParagraph"/>
        <w:spacing w:line="480" w:lineRule="auto"/>
      </w:pPr>
      <w:r>
        <w:t xml:space="preserve">The choice of HC1 robust standard errors warrants a fuller defense, because in a thirty-record sample the treatment of the error structure is not a minor technicality. Classical ordinary least squares inference assumes homoskedastic errors, a constant variance across observations, and that assumption is implausible here. The topic-signal score is a composite built from term counts across metadata fields of varying length and richness, so its error variance almost certainly differs between a short proceedings abstract and a long journal article. Citation-based outcomes are heteroskedastic almost by definition, because the variance of a count grows with its mean. Ignoring this structure would produce standard errors that are wrong in an unknown direction, and inference built on them could not be trusted</w:t>
      </w:r>
      <w:r>
        <w:t xml:space="preserve"> </w:t>
      </w:r>
      <w:hyperlink w:anchor="ref-7">
        <w:r>
          <w:rPr>
            <w:rStyle w:val="Hyperlink"/>
          </w:rPr>
          <w:t xml:space="preserve">[7]</w:t>
        </w:r>
      </w:hyperlink>
      <w:r>
        <w:t xml:space="preserve">.</w:t>
      </w:r>
    </w:p>
    <w:p>
      <w:pPr>
        <w:pStyle w:val="BodyText"/>
        <w:spacing w:line="480" w:lineRule="auto"/>
        <w:ind w:firstLine="720"/>
      </w:pPr>
      <w:r>
        <w:t xml:space="preserve">An HC1 correction addresses this by estimating the variance of each coefficient without assuming constant error variance, using a finite-sample adjustment appropriate to modest samples. It is not a panacea. With thirty records, any standard-error estimate carries its own uncertainty, and the robust correction cannot manufacture precision the data lack. What it does is prevent the design from claiming precision it has not earned, which is the conservative posture the whole dissertation adopts. Stating the choice in advance, before the residuals are inspected, also forecloses the temptation to select an error structure that flatters the result</w:t>
      </w:r>
      <w:r>
        <w:t xml:space="preserve"> </w:t>
      </w:r>
      <w:hyperlink w:anchor="ref-1">
        <w:r>
          <w:rPr>
            <w:rStyle w:val="Hyperlink"/>
          </w:rPr>
          <w:t xml:space="preserve">[1]</w:t>
        </w:r>
      </w:hyperlink>
      <w:r>
        <w:t xml:space="preserve">.</w:t>
      </w:r>
    </w:p>
    <w:p>
      <w:pPr>
        <w:pStyle w:val="BodyText"/>
        <w:spacing w:line="480" w:lineRule="auto"/>
        <w:ind w:firstLine="720"/>
      </w:pPr>
      <w:r>
        <w:t xml:space="preserve">Worth making explicit is the interaction between robust errors and the fixed interpretive rule. Because the rule treats a coefficient as structure only when it is precise under these conservative errors, the bar for declaring structure is deliberately high. A coefficient that clears it, as the recency coefficient does in Chapter 6, has survived a demanding test rather than a lenient one, which strengthens the credibility of the positive finding. A coefficient that does not clear it is reported as caution, and the design does not reach for a more permissive error structure to rescue it. This discipline is part of what the identification argument buys: the significance claims that survive are conservative, and the null claims are honest rather than engineered</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02"/>
    <w:bookmarkStart w:id="103" w:name="why-not-a-single-combined-index"/>
    <w:p>
      <w:pPr>
        <w:pStyle w:val="Heading2"/>
        <w:spacing w:line="480" w:lineRule="auto"/>
      </w:pPr>
      <w:r>
        <w:t xml:space="preserve">4.10 Why not a single combined index</w:t>
      </w:r>
    </w:p>
    <w:p>
      <w:pPr>
        <w:pStyle w:val="FirstParagraph"/>
        <w:spacing w:line="480" w:lineRule="auto"/>
      </w:pPr>
      <w:r>
        <w:t xml:space="preserve">A reader might propose collapsing the several signals into one combined readiness index and regressing it on time, which would yield a tidy single number. The design rejects this for a reason that goes to the heart of the identification logic. Collapsing the channels would destroy exactly the information the theory cares about, namely which channels have begun to move and which have not. The maturation mechanism predicts a temporal ordering across channels, and only by keeping the channels separate can the estimators detect that ordering. A combined index would average a moving recency channel against a quiet attention channel and report a muddle that speaks to neither prediction cleanly</w:t>
      </w:r>
      <w:r>
        <w:t xml:space="preserve"> </w:t>
      </w:r>
      <w:hyperlink w:anchor="ref-3">
        <w:r>
          <w:rPr>
            <w:rStyle w:val="Hyperlink"/>
          </w:rPr>
          <w:t xml:space="preserve">[3]</w:t>
        </w:r>
      </w:hyperlink>
      <w:r>
        <w:t xml:space="preserve">.</w:t>
      </w:r>
    </w:p>
    <w:p>
      <w:pPr>
        <w:pStyle w:val="BodyText"/>
        <w:spacing w:line="480" w:lineRule="auto"/>
        <w:ind w:firstLine="720"/>
      </w:pPr>
      <w:r>
        <w:t xml:space="preserve">Keeping the channels separate also preserves falsifiability at the level of each prediction. A combined index can be wrong only in aggregate; separate coefficients can be wrong one at a time, which means each of the three predictions can be individually rejected or supported. That granularity is what lets Chapter 6 return a positioned verdict, structure on recency, marginal on venue, null on attention, rather than a single undifferentiated summary. The refusal to collapse the signals is therefore not a stylistic preference but a methodological requirement, dictated by a theory that makes distinct predictions on distinct channels and by a design committed to testing each one on its own terms</w:t>
      </w:r>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bookmarkEnd w:id="103"/>
    <w:bookmarkStart w:id="104" w:name="the-identification-argument-in-summary"/>
    <w:p>
      <w:pPr>
        <w:pStyle w:val="Heading2"/>
        <w:spacing w:line="480" w:lineRule="auto"/>
      </w:pPr>
      <w:r>
        <w:t xml:space="preserve">4.11 The identification argument in summary</w:t>
      </w:r>
    </w:p>
    <w:p>
      <w:pPr>
        <w:pStyle w:val="FirstParagraph"/>
        <w:spacing w:line="480" w:lineRule="auto"/>
      </w:pPr>
      <w:r>
        <w:t xml:space="preserve">The identification argument of this chapter can be stated compactly. The ordinary least squares screen identifies the conditional association between topic engagement and each of recency, citation attention, and venue family, holding the others fixed, within the retrieved corpus. The learning-curve screen identifies the age elasticity of citation accumulation within the same corpus. Neither identifies a causal effect, because nothing randomizes or instruments the predictors, and neither identifies anything beyond the corpus boundary, because inference generalizes only as far as the retrieval is representative. These are precise, limited identification claims, and the chapter has defended each one.</w:t>
      </w:r>
    </w:p>
    <w:p>
      <w:pPr>
        <w:pStyle w:val="BodyText"/>
        <w:spacing w:line="480" w:lineRule="auto"/>
        <w:ind w:firstLine="720"/>
      </w:pPr>
      <w:r>
        <w:t xml:space="preserve">This defense rests on four pillars. First, the estimators are matched to the theory, so their coefficients map directly onto the directional predictions of Chapter 3 rather than onto some unrelated quantity</w:t>
      </w:r>
      <w:r>
        <w:t xml:space="preserve"> </w:t>
      </w:r>
      <w:hyperlink w:anchor="ref-3">
        <w:r>
          <w:rPr>
            <w:rStyle w:val="Hyperlink"/>
          </w:rPr>
          <w:t xml:space="preserve">[3]</w:t>
        </w:r>
      </w:hyperlink>
      <w:r>
        <w:t xml:space="preserve">. Second, the functional forms are canonical and lean, so they behave sensibly in a small sample and introduce no bespoke assumptions a skeptic must trust</w:t>
      </w:r>
      <w:r>
        <w:t xml:space="preserve"> </w:t>
      </w:r>
      <w:hyperlink w:anchor="ref-1">
        <w:r>
          <w:rPr>
            <w:rStyle w:val="Hyperlink"/>
          </w:rPr>
          <w:t xml:space="preserve">[1]</w:t>
        </w:r>
      </w:hyperlink>
      <w:r>
        <w:t xml:space="preserve">. Third, the standard errors are robust and conservative, so significance claims survive a demanding test and null claims are honest rather than engineered</w:t>
      </w:r>
      <w:r>
        <w:t xml:space="preserve"> </w:t>
      </w:r>
      <w:hyperlink w:anchor="ref-7">
        <w:r>
          <w:rPr>
            <w:rStyle w:val="Hyperlink"/>
          </w:rPr>
          <w:t xml:space="preserve">[7]</w:t>
        </w:r>
      </w:hyperlink>
      <w:r>
        <w:t xml:space="preserve">. Fourth, the entire pipeline is deterministic and auditable, so any coefficient can be traced to the records that produce it and any disagreement can be grounded in the data</w:t>
      </w:r>
      <w:r>
        <w:t xml:space="preserve"> </w:t>
      </w:r>
      <w:hyperlink w:anchor="ref-5">
        <w:r>
          <w:rPr>
            <w:rStyle w:val="Hyperlink"/>
          </w:rPr>
          <w:t xml:space="preserve">[5]</w:t>
        </w:r>
      </w:hyperlink>
      <w:r>
        <w:t xml:space="preserve">.</w:t>
      </w:r>
    </w:p>
    <w:p>
      <w:pPr>
        <w:pStyle w:val="BodyText"/>
        <w:spacing w:line="480" w:lineRule="auto"/>
        <w:ind w:firstLine="720"/>
      </w:pPr>
      <w:r>
        <w:t xml:space="preserve">Together these pillars license the reading that Chapter 6 will give: that a precise, correctly signed coefficient is evidence of structure on its channel, and an imprecise coefficient is evidence of caution. The identification argument does not claim more than this, and claiming exactly this, no more and no less, is what keeps the dissertation’s single falsifiable contribution intact from theory through method to result. The estimators are the instrument; the identification logic is what makes their output legible as evidence about the readiness of a machine-ready on-orbit nomenclature</w:t>
      </w:r>
      <w:r>
        <w:t xml:space="preserve"> </w:t>
      </w:r>
      <w:hyperlink w:anchor="ref-8">
        <w:r>
          <w:rPr>
            <w:rStyle w:val="Hyperlink"/>
          </w:rPr>
          <w:t xml:space="preserve">[8]</w:t>
        </w:r>
      </w:hyperlink>
      <w:r>
        <w:t xml:space="preserve"> </w:t>
      </w:r>
      <w:hyperlink w:anchor="ref-6">
        <w:r>
          <w:rPr>
            <w:rStyle w:val="Hyperlink"/>
          </w:rPr>
          <w:t xml:space="preserve">[6]</w:t>
        </w:r>
      </w:hyperlink>
      <w:r>
        <w:t xml:space="preserve">.</w:t>
      </w:r>
    </w:p>
    <w:bookmarkEnd w:id="104"/>
    <w:bookmarkStart w:id="105" w:name="a-note-on-replication"/>
    <w:p>
      <w:pPr>
        <w:pStyle w:val="Heading2"/>
        <w:spacing w:line="480" w:lineRule="auto"/>
      </w:pPr>
      <w:r>
        <w:t xml:space="preserve">4.12 A note on replication</w:t>
      </w:r>
    </w:p>
    <w:p>
      <w:pPr>
        <w:pStyle w:val="FirstParagraph"/>
        <w:spacing w:line="480" w:lineRule="auto"/>
      </w:pPr>
      <w:r>
        <w:t xml:space="preserve">Replication is the ultimate test of any empirical claim, and the design is built to make it straightforward. Because every variable is computed by a fixed deterministic rule from source metadata, a second analyst can reconstruct the estimation file from the same records and confirm the numbers. Because the estimators are standard procedures with no tuning parameters, the same inputs must produce the same outputs on any competent implementation. And because the source column anchors every row, a replicator can verify not just the coefficients but the provenance of each observation that produces them</w:t>
      </w:r>
      <w:r>
        <w:t xml:space="preserve"> </w:t>
      </w:r>
      <w:hyperlink w:anchor="ref-4">
        <w:r>
          <w:rPr>
            <w:rStyle w:val="Hyperlink"/>
          </w:rPr>
          <w:t xml:space="preserve">[4]</w:t>
        </w:r>
      </w:hyperlink>
      <w:r>
        <w:t xml:space="preserve">.</w:t>
      </w:r>
    </w:p>
    <w:p>
      <w:pPr>
        <w:pStyle w:val="BodyText"/>
        <w:spacing w:line="480" w:lineRule="auto"/>
        <w:ind w:firstLine="720"/>
      </w:pPr>
      <w:r>
        <w:t xml:space="preserve">A stronger form of replication also becomes possible here, replication with improvement. A successor study can keep the pipeline intact while substituting a richer outcome measure or a larger corpus, testing whether the recency finding survives a sharper instrument. This is replication that advances the science rather than merely confirming a number, and it is available precisely because the frame is transparent and modular. The identification logic of this chapter is therefore not only a defense of the present claim but an invitation to the next study, which can inherit the method, upgrade the measurement, and test the finding under conditions the present design deliberately deferred</w:t>
      </w:r>
      <w:r>
        <w:t xml:space="preserve"> </w:t>
      </w:r>
      <w:hyperlink w:anchor="ref-5">
        <w:r>
          <w:rPr>
            <w:rStyle w:val="Hyperlink"/>
          </w:rPr>
          <w:t xml:space="preserve">[5]</w:t>
        </w:r>
      </w:hyperlink>
      <w:r>
        <w:t xml:space="preserve"> </w:t>
      </w:r>
      <w:hyperlink w:anchor="ref-1">
        <w:r>
          <w:rPr>
            <w:rStyle w:val="Hyperlink"/>
          </w:rPr>
          <w:t xml:space="preserve">[1]</w:t>
        </w:r>
      </w:hyperlink>
      <w:r>
        <w:t xml:space="preserve">.</w:t>
      </w:r>
    </w:p>
    <w:bookmarkEnd w:id="105"/>
    <w:bookmarkEnd w:id="106"/>
    <w:bookmarkStart w:id="118" w:name="chapter-5.-data-and-measurement"/>
    <w:p>
      <w:pPr>
        <w:pStyle w:val="Heading1"/>
        <w:spacing w:line="480" w:lineRule="auto"/>
      </w:pPr>
      <w:r>
        <w:t xml:space="preserve">Chapter 5. Data and Measurement</w:t>
      </w:r>
    </w:p>
    <w:p>
      <w:pPr>
        <w:pStyle w:val="FirstParagraph"/>
        <w:spacing w:line="480" w:lineRule="auto"/>
      </w:pPr>
      <w:r>
        <w:t xml:space="preserve">Evidence is only as trustworthy as the data behind it, and this chapter documents the data in full: where the records come from, how many there are, and exactly how each variable is built from raw metadata. The design rests on a single estimation file of thirty retrieved source records, and every quantity the estimators consume is a deterministic function of fields in those records. Nothing is imputed by judgment, and nothing is smoothed. The file is what it is. The chapter walks through the corpus, the outcome variables, the predictors, and the provenance discipline that keeps the file auditable end to end.</w:t>
      </w:r>
    </w:p>
    <w:bookmarkStart w:id="107" w:name="the-corpus"/>
    <w:p>
      <w:pPr>
        <w:pStyle w:val="Heading2"/>
        <w:spacing w:line="480" w:lineRule="auto"/>
      </w:pPr>
      <w:r>
        <w:t xml:space="preserve">5.1 The corpus</w:t>
      </w:r>
    </w:p>
    <w:p>
      <w:pPr>
        <w:pStyle w:val="FirstParagraph"/>
        <w:spacing w:line="480" w:lineRule="auto"/>
      </w:pPr>
      <w:r>
        <w:t xml:space="preserve">The estimation file contains thirty rows, one per retrieved source record, drawn from the candidate-specific local source corpus. The records span two decades of publication years, from the mid-2000s through 2026, and they range across the technical, operational, and governance material that frames the on-orbit nomenclature topic. At one end sit early sensor and debris-observation records, including proceedings-style work on geosynchronous debris attribution and early space-experiment first light</w:t>
      </w:r>
      <w:r>
        <w:t xml:space="preserve"> </w:t>
      </w:r>
      <w:hyperlink w:anchor="ref-6">
        <w:r>
          <w:rPr>
            <w:rStyle w:val="Hyperlink"/>
          </w:rPr>
          <w:t xml:space="preserve">[6]</w:t>
        </w:r>
      </w:hyperlink>
      <w:r>
        <w:t xml:space="preserve"> </w:t>
      </w:r>
      <w:hyperlink w:anchor="ref-2">
        <w:r>
          <w:rPr>
            <w:rStyle w:val="Hyperlink"/>
          </w:rPr>
          <w:t xml:space="preserve">[2]</w:t>
        </w:r>
      </w:hyperlink>
      <w:r>
        <w:t xml:space="preserve">. At the other end sit recent archival journal articles and policy-oriented working material that engage the theme directly.</w:t>
      </w:r>
    </w:p>
    <w:p>
      <w:pPr>
        <w:pStyle w:val="BodyText"/>
        <w:spacing w:line="480" w:lineRule="auto"/>
        <w:ind w:firstLine="720"/>
      </w:pPr>
      <w:r>
        <w:t xml:space="preserve">A spread across venues is what makes the venue variable informative. Roughly the first half of the corpus consists of proceedings-family technical records, the AMOS-style operational literature that includes density-model surveys, taxonomy proposals, and sensor and characterization studies</w:t>
      </w:r>
      <w:r>
        <w:t xml:space="preserve"> </w:t>
      </w:r>
      <w:hyperlink w:anchor="ref-1">
        <w:r>
          <w:rPr>
            <w:rStyle w:val="Hyperlink"/>
          </w:rPr>
          <w:t xml:space="preserve">[1]</w:t>
        </w:r>
      </w:hyperlink>
      <w:r>
        <w:t xml:space="preserve"> </w:t>
      </w:r>
      <w:hyperlink w:anchor="ref-5">
        <w:r>
          <w:rPr>
            <w:rStyle w:val="Hyperlink"/>
          </w:rPr>
          <w:t xml:space="preserve">[5]</w:t>
        </w:r>
      </w:hyperlink>
      <w:r>
        <w:t xml:space="preserve"> </w:t>
      </w:r>
      <w:hyperlink w:anchor="ref-7">
        <w:r>
          <w:rPr>
            <w:rStyle w:val="Hyperlink"/>
          </w:rPr>
          <w:t xml:space="preserve">[7]</w:t>
        </w:r>
      </w:hyperlink>
      <w:r>
        <w:t xml:space="preserve">. A second block consists of archival journal articles, the Acta Astronautica family, covering additive manufacturing, propulsion, de-orbiting, and related engineering topics</w:t>
      </w:r>
      <w:r>
        <w:t xml:space="preserve"> </w:t>
      </w:r>
      <w:hyperlink w:anchor="ref-9">
        <w:r>
          <w:rPr>
            <w:rStyle w:val="Hyperlink"/>
          </w:rPr>
          <w:t xml:space="preserve">[9]</w:t>
        </w:r>
      </w:hyperlink>
      <w:r>
        <w:t xml:space="preserve"> </w:t>
      </w:r>
      <w:hyperlink w:anchor="ref-12">
        <w:r>
          <w:rPr>
            <w:rStyle w:val="Hyperlink"/>
          </w:rPr>
          <w:t xml:space="preserve">[12]</w:t>
        </w:r>
      </w:hyperlink>
      <w:r>
        <w:t xml:space="preserve">. A third block consists of governance and commons-oriented records that treat orbital space as a shared resource. The three families give the venue score its range and let the corpus represent a topic distributed across, rather than confined to, a single publication culture.</w:t>
      </w:r>
    </w:p>
    <w:p>
      <w:pPr>
        <w:pStyle w:val="BodyText"/>
        <w:spacing w:line="480" w:lineRule="auto"/>
        <w:ind w:firstLine="720"/>
      </w:pPr>
      <w:r>
        <w:t xml:space="preserve">Thirty records is a small sample, and the chapter does not pretend otherwise. Thirty is thirty. The number is a feature of a design-stage inquiry that prizes traceability over volume: every one of the thirty can be inspected, and the corpus is small enough that a reader can hold its structure in view. The estimators of Chapter 4 are chosen precisely to behave sensibly at this scale, and the interpretation in Chapter 6 is calibrated to what thirty records can honestly support.</w:t>
      </w:r>
    </w:p>
    <w:bookmarkEnd w:id="107"/>
    <w:bookmarkStart w:id="108" w:name="the-outcome-variables"/>
    <w:p>
      <w:pPr>
        <w:pStyle w:val="Heading2"/>
        <w:spacing w:line="480" w:lineRule="auto"/>
      </w:pPr>
      <w:r>
        <w:t xml:space="preserve">5.2 The outcome variables</w:t>
      </w:r>
    </w:p>
    <w:p>
      <w:pPr>
        <w:pStyle w:val="FirstParagraph"/>
        <w:spacing w:line="480" w:lineRule="auto"/>
      </w:pPr>
      <w:r>
        <w:t xml:space="preserve">Two outcomes appear in the file, one per screen. The first is the topic-signal score, the outcome for the ordinary least squares screen. It is a deterministic composite built from candidate-theme term hits across four metadata fields of each source: the title, the snippet, the keyword field, and the author metadata. A record that mentions the on-orbit nomenclature theme repeatedly across those fields scores high; a record that touches it glancingly scores low. Across the corpus the score ranges from one, for records that barely engage the theme, up to ten for the single most theme-dense record, with most records clustered in the low single digits.</w:t>
      </w:r>
    </w:p>
    <w:p>
      <w:pPr>
        <w:pStyle w:val="BodyText"/>
        <w:spacing w:line="480" w:lineRule="auto"/>
        <w:ind w:firstLine="720"/>
      </w:pPr>
      <w:r>
        <w:t xml:space="preserve">A second outcome is citations-plus-one, which the learning-curve screen consumes. It is the reported citation count from the local brain index plus one, the added unit ensuring the logarithm is defined for the many uncited records. Reported citation counts in this corpus are low and sparse. Most records report zero citations, a handful report between one and three, and two records stand out with reported counts of seven and nine. This sparsity is expected for a young, recently active corpus, and it shapes what the attention screen can detect, as Chapter 6 makes clear. Sparse data limits sparse claims.</w:t>
      </w:r>
    </w:p>
    <w:bookmarkEnd w:id="108"/>
    <w:bookmarkStart w:id="109" w:name="the-predictors"/>
    <w:p>
      <w:pPr>
        <w:pStyle w:val="Heading2"/>
        <w:spacing w:line="480" w:lineRule="auto"/>
      </w:pPr>
      <w:r>
        <w:t xml:space="preserve">5.3 The predictors</w:t>
      </w:r>
    </w:p>
    <w:p>
      <w:pPr>
        <w:pStyle w:val="FirstParagraph"/>
        <w:spacing w:line="480" w:lineRule="auto"/>
      </w:pPr>
      <w:r>
        <w:t xml:space="preserve">Three predictors feed the ordinary least squares screen, and one feeds the learning-curve screen. The recency index is computed as a source’s publication year minus the minimum publication year in the sample plus one, so that the earliest record anchors the scale at one and the most recent records reach into the low twenties. This construction turns absolute years into a clean, one-based measure of how late in the sampled window a source appears, which is the quantity the recency prediction concerns.</w:t>
      </w:r>
    </w:p>
    <w:p>
      <w:pPr>
        <w:pStyle w:val="BodyText"/>
        <w:spacing w:line="480" w:lineRule="auto"/>
        <w:ind w:firstLine="720"/>
      </w:pPr>
      <w:r>
        <w:t xml:space="preserve">The citation predictor in the ordinary least squares screen is the reported citation count from the local index, entered directly and set to zero where the index reported no count. It enters as a control, conditioning out attention so that the recency and venue coefficients are read holding attention fixed. The venue score is ordinal, coded so that AMOS-family proceedings take the value one, Acta Astronautica archival articles take two, and the space-economy and commons-oriented governance records take three. The coding reflects a rough progression across publication cultures and is treated, per Chapter 3, as ordinal information rather than a cardinal scale.</w:t>
      </w:r>
    </w:p>
    <w:p>
      <w:pPr>
        <w:pStyle w:val="BodyText"/>
        <w:spacing w:line="480" w:lineRule="auto"/>
        <w:ind w:firstLine="720"/>
      </w:pPr>
      <w:r>
        <w:t xml:space="preserve">The learning-curve screen uses a single predictor, the age index, computed as 2026 minus a source’s publication year plus one. A 2026 record has age one, a 2025 record age two, and the oldest record in the corpus reaches an age in the low twenties. Age and recency are mirror images by construction, but they serve different screens with different outcomes and functional forms, so both are carried explicitly rather than derived on the fly. Keeping each screen’s inputs self-contained is part of the reproducibility discipline of Chapter 4.</w:t>
      </w:r>
    </w:p>
    <w:bookmarkEnd w:id="109"/>
    <w:bookmarkStart w:id="110" w:name="Xee78599b71369b54c0346a1c1617ebce4f58eea"/>
    <w:p>
      <w:pPr>
        <w:pStyle w:val="Heading2"/>
        <w:spacing w:line="480" w:lineRule="auto"/>
      </w:pPr>
      <w:r>
        <w:t xml:space="preserve">5.4 Measurement choices and their justification</w:t>
      </w:r>
    </w:p>
    <w:p>
      <w:pPr>
        <w:pStyle w:val="FirstParagraph"/>
        <w:spacing w:line="480" w:lineRule="auto"/>
      </w:pPr>
      <w:r>
        <w:t xml:space="preserve">Every measurement choice trades richness for reproducibility, and the trades are made in the same direction throughout. The topic-signal score counts term hits rather than judging relevance, because a count is reproducible and a judgment is not. The citation measure takes the local index at face value rather than reconciling it against external databases, because the local index is the auditable source of record for this design and external reconciliation would introduce a dependency the pipeline cannot verify row by row. The venue score compresses a messy publication landscape into three ordered families, because a coarse ordinal captures the maturation signal the theory predicts without pretending to a precision the data lack.</w:t>
      </w:r>
    </w:p>
    <w:p>
      <w:pPr>
        <w:pStyle w:val="BodyText"/>
        <w:spacing w:line="480" w:lineRule="auto"/>
        <w:ind w:firstLine="720"/>
      </w:pPr>
      <w:r>
        <w:t xml:space="preserve">These choices have consequences that the design accepts openly. A term-count signal score can miss a source that engages the theme conceptually without using its vocabulary, and it can overweight a source that name-drops the terms without substantive engagement. A local citation count understates the true attention a source has received in the wider literature. An ordinal venue score cannot distinguish gradations within a family. None of these is fatal, because the hypotheses are directional and the estimators are honest about precision, but each is a real limitation that Chapter 7 revisits when it weighs threats to validity</w:t>
      </w:r>
      <w:r>
        <w:t xml:space="preserve"> </w:t>
      </w:r>
      <w:hyperlink w:anchor="ref-7">
        <w:r>
          <w:rPr>
            <w:rStyle w:val="Hyperlink"/>
          </w:rPr>
          <w:t xml:space="preserve">[7]</w:t>
        </w:r>
      </w:hyperlink>
      <w:r>
        <w:t xml:space="preserve"> </w:t>
      </w:r>
      <w:hyperlink w:anchor="ref-4">
        <w:r>
          <w:rPr>
            <w:rStyle w:val="Hyperlink"/>
          </w:rPr>
          <w:t xml:space="preserve">[4]</w:t>
        </w:r>
      </w:hyperlink>
      <w:r>
        <w:t xml:space="preserve">.</w:t>
      </w:r>
    </w:p>
    <w:bookmarkEnd w:id="110"/>
    <w:bookmarkStart w:id="111" w:name="provenance-and-auditability"/>
    <w:p>
      <w:pPr>
        <w:pStyle w:val="Heading2"/>
        <w:spacing w:line="480" w:lineRule="auto"/>
      </w:pPr>
      <w:r>
        <w:t xml:space="preserve">5.5 Provenance and auditability</w:t>
      </w:r>
    </w:p>
    <w:p>
      <w:pPr>
        <w:pStyle w:val="FirstParagraph"/>
        <w:spacing w:line="480" w:lineRule="auto"/>
      </w:pPr>
      <w:r>
        <w:t xml:space="preserve">Provenance is the organizing discipline of the data. Every row in the estimation file preserves a source column that records where the record came from, whether a digital object identifier, a proceedings URL, or a descriptive citation string for governance material. That column is not decoration. It is what lets any coefficient in Chapter 6 be traced back to the specific records that generate it, and it is what makes the single falsifiable claim checkable at the level of the individual source.</w:t>
      </w:r>
    </w:p>
    <w:p>
      <w:pPr>
        <w:pStyle w:val="BodyText"/>
        <w:spacing w:line="480" w:lineRule="auto"/>
        <w:ind w:firstLine="720"/>
      </w:pPr>
      <w:r>
        <w:t xml:space="preserve">This provenance discipline also guards against a subtle failure mode. In a small corpus, a single mislabeled or miscoded record can move a coefficient, so the ability to inspect each row is a safeguard, not a formality. A skeptical reader can pull any row, confirm its year, its venue family, its citation count, and its theme-term hits against the cited source, and thereby confirm or challenge the variable construction directly. The governance records illustrate the value of this discipline: material such as commons-oriented working papers and source-sink modeling frameworks carries descriptive provenance strings rather than digital object identifiers, and preserving those strings keeps even the non-indexed records auditable</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What results is an estimation file that is small by design and transparent by construction. Thirty records, two outcomes, four predictors, and a source column on every row: this is the empirical spine on which Chapter 6 reports the estimator output exactly as produced, and on which the rest of the dissertation builds its bounded, falsifiable interpretation of whether a machine-ready on-orbit nomenclature is visible, yet, in the structure of the literature that would have to support it</w:t>
      </w:r>
      <w:r>
        <w:t xml:space="preserve"> </w:t>
      </w:r>
      <w:hyperlink w:anchor="ref-1">
        <w:r>
          <w:rPr>
            <w:rStyle w:val="Hyperlink"/>
          </w:rPr>
          <w:t xml:space="preserve">[1]</w:t>
        </w:r>
      </w:hyperlink>
      <w:r>
        <w:t xml:space="preserve"> </w:t>
      </w:r>
      <w:hyperlink w:anchor="ref-8">
        <w:r>
          <w:rPr>
            <w:rStyle w:val="Hyperlink"/>
          </w:rPr>
          <w:t xml:space="preserve">[8]</w:t>
        </w:r>
      </w:hyperlink>
      <w:r>
        <w:t xml:space="preserve">.</w:t>
      </w:r>
    </w:p>
    <w:bookmarkEnd w:id="111"/>
    <w:bookmarkStart w:id="112" w:name="X6eef564a7a3aa704740a614c8b0f7843e25ff85"/>
    <w:p>
      <w:pPr>
        <w:pStyle w:val="Heading2"/>
        <w:spacing w:line="480" w:lineRule="auto"/>
      </w:pPr>
      <w:r>
        <w:t xml:space="preserve">5.6 A closer look at the distribution of the variables</w:t>
      </w:r>
    </w:p>
    <w:p>
      <w:pPr>
        <w:pStyle w:val="FirstParagraph"/>
        <w:spacing w:line="480" w:lineRule="auto"/>
      </w:pPr>
      <w:r>
        <w:t xml:space="preserve">It helps to see how the variables actually distribute across the thirty records, because the shape of the data governs what the estimators can find. The topic-signal score is right-skewed. Most records sit at one, two, or three, a cluster of low-engagement sources that touch the theme only lightly, while a small number reach higher, and a single record attains the maximum of ten. This skew is consequential. A right-skewed outcome with a thin upper tail means that a handful of high-signal records carry much of the leverage in the ordinary least squares fit, so the provenance discipline that lets a reader inspect those specific records is not a formality but a direct check on the result</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p>
      <w:pPr>
        <w:pStyle w:val="BodyText"/>
        <w:spacing w:line="480" w:lineRule="auto"/>
        <w:ind w:firstLine="720"/>
      </w:pPr>
      <w:r>
        <w:t xml:space="preserve">By contrast, the recency index spreads more evenly, because the corpus was assembled to span the sampled window rather than to cluster in any single year. Records appear across the full range from the earliest anchor through the most recent years, with a visible concentration toward the recent end that reflects the growth of relevant publication activity over the window. This spread is what gives the recency coefficient the variation it needs to be identified; a corpus bunched in a single period would leave the recency channel underdetermined regardless of the underlying mechanism</w:t>
      </w:r>
      <w:r>
        <w:t xml:space="preserve"> </w:t>
      </w:r>
      <w:hyperlink w:anchor="ref-1">
        <w:r>
          <w:rPr>
            <w:rStyle w:val="Hyperlink"/>
          </w:rPr>
          <w:t xml:space="preserve">[1]</w:t>
        </w:r>
      </w:hyperlink>
      <w:r>
        <w:t xml:space="preserve">.</w:t>
      </w:r>
    </w:p>
    <w:p>
      <w:pPr>
        <w:pStyle w:val="BodyText"/>
        <w:spacing w:line="480" w:lineRule="auto"/>
        <w:ind w:firstLine="720"/>
      </w:pPr>
      <w:r>
        <w:t xml:space="preserve">Sparsest and most degenerate of the four is the citation variable. The overwhelming majority of records report zero citations, a small number report between one and three, and only two records report counts as high as seven and nine. A variable with this little spread carries little information, and its near-degeneracy is the single most important fact about the data for understanding why the attention channel comes back quiet in Chapter 6. The venue score, by contrast, takes all three of its coded values with meaningful frequency, so the venue channel is at least well populated even where its interpretation is constrained by the coarseness of the ordinal coding</w:t>
      </w:r>
      <w:r>
        <w:t xml:space="preserve"> </w:t>
      </w:r>
      <w:hyperlink w:anchor="ref-6">
        <w:r>
          <w:rPr>
            <w:rStyle w:val="Hyperlink"/>
          </w:rPr>
          <w:t xml:space="preserve">[6]</w:t>
        </w:r>
      </w:hyperlink>
      <w:r>
        <w:t xml:space="preserve"> </w:t>
      </w:r>
      <w:hyperlink w:anchor="ref-2">
        <w:r>
          <w:rPr>
            <w:rStyle w:val="Hyperlink"/>
          </w:rPr>
          <w:t xml:space="preserve">[2]</w:t>
        </w:r>
      </w:hyperlink>
      <w:r>
        <w:t xml:space="preserve">.</w:t>
      </w:r>
    </w:p>
    <w:bookmarkEnd w:id="112"/>
    <w:bookmarkStart w:id="113" w:name="alternatives-considered-and-rejected"/>
    <w:p>
      <w:pPr>
        <w:pStyle w:val="Heading2"/>
        <w:spacing w:line="480" w:lineRule="auto"/>
      </w:pPr>
      <w:r>
        <w:t xml:space="preserve">5.7 Alternatives considered and rejected</w:t>
      </w:r>
    </w:p>
    <w:p>
      <w:pPr>
        <w:pStyle w:val="FirstParagraph"/>
        <w:spacing w:line="480" w:lineRule="auto"/>
      </w:pPr>
      <w:r>
        <w:t xml:space="preserve">Several richer measurement choices were considered and set aside, and stating why clarifies the design’s priorities. A continuous, model-scored relevance measure could have replaced the term-count topic-signal score, capturing conceptual engagement that vocabulary counts miss. It was rejected for this design-stage inquiry because it would introduce a scoring model whose behavior a reader could not audit row by row, trading the very transparency that justifies the small corpus. Chapter 7 recommends exactly this richer measure for a confirmatory study, where the trade would be worth making, but it does not belong in a pipeline whose central virtue is inspectability</w:t>
      </w:r>
      <w:r>
        <w:t xml:space="preserve"> </w:t>
      </w:r>
      <w:hyperlink w:anchor="ref-5">
        <w:r>
          <w:rPr>
            <w:rStyle w:val="Hyperlink"/>
          </w:rPr>
          <w:t xml:space="preserve">[5]</w:t>
        </w:r>
      </w:hyperlink>
      <w:r>
        <w:t xml:space="preserve"> </w:t>
      </w:r>
      <w:hyperlink w:anchor="ref-4">
        <w:r>
          <w:rPr>
            <w:rStyle w:val="Hyperlink"/>
          </w:rPr>
          <w:t xml:space="preserve">[4]</w:t>
        </w:r>
      </w:hyperlink>
      <w:r>
        <w:t xml:space="preserve">.</w:t>
      </w:r>
    </w:p>
    <w:p>
      <w:pPr>
        <w:pStyle w:val="BodyText"/>
        <w:spacing w:line="480" w:lineRule="auto"/>
        <w:ind w:firstLine="720"/>
      </w:pPr>
      <w:r>
        <w:t xml:space="preserve">A reconciled, multi-index citation count was likewise considered and rejected for the present design. Pulling counts from several external databases would deepen the attention variable, but it would also make each row depend on an external service whose state cannot be frozen and verified alongside the local file. For a design that stakes its credibility on being checkable at the level of the individual record, the local index is the honest source of record, even though its sparsity limits what the attention channel can show. A finer venue coding, with more than three families or with within-family gradations, was set aside for a parallel reason: the coarse ordinal captures the maturation signal the theory predicts without asserting distinctions the small corpus cannot support</w:t>
      </w:r>
      <w:r>
        <w:t xml:space="preserve"> </w:t>
      </w:r>
      <w:hyperlink w:anchor="ref-7">
        <w:r>
          <w:rPr>
            <w:rStyle w:val="Hyperlink"/>
          </w:rPr>
          <w:t xml:space="preserve">[7]</w:t>
        </w:r>
      </w:hyperlink>
      <w:r>
        <w:t xml:space="preserve"> </w:t>
      </w:r>
      <w:hyperlink w:anchor="ref-1">
        <w:r>
          <w:rPr>
            <w:rStyle w:val="Hyperlink"/>
          </w:rPr>
          <w:t xml:space="preserve">[1]</w:t>
        </w:r>
      </w:hyperlink>
      <w:r>
        <w:t xml:space="preserve">. Each rejected alternative would have bought richness at the cost of auditability, and for this stage of the inquiry auditability wins.</w:t>
      </w:r>
    </w:p>
    <w:bookmarkEnd w:id="113"/>
    <w:bookmarkStart w:id="114" w:name="the-three-venue-families-in-detail"/>
    <w:p>
      <w:pPr>
        <w:pStyle w:val="Heading2"/>
        <w:spacing w:line="480" w:lineRule="auto"/>
      </w:pPr>
      <w:r>
        <w:t xml:space="preserve">5.8 The three venue families in detail</w:t>
      </w:r>
    </w:p>
    <w:p>
      <w:pPr>
        <w:pStyle w:val="FirstParagraph"/>
        <w:spacing w:line="480" w:lineRule="auto"/>
      </w:pPr>
      <w:r>
        <w:t xml:space="preserve">Because the venue score carries one of the three theoretical channels, its construction deserves a closer look at each family in turn. The first family, coded lowest, is the proceedings-style operational literature. These records come from the technical conference tradition and cover the working edge of space situational awareness: density-model surveys, sensor and characterization studies, debris attribution, and taxonomy proposals</w:t>
      </w:r>
      <w:r>
        <w:t xml:space="preserve"> </w:t>
      </w:r>
      <w:hyperlink w:anchor="ref-1">
        <w:r>
          <w:rPr>
            <w:rStyle w:val="Hyperlink"/>
          </w:rPr>
          <w:t xml:space="preserve">[1]</w:t>
        </w:r>
      </w:hyperlink>
      <w:r>
        <w:t xml:space="preserve"> </w:t>
      </w:r>
      <w:hyperlink w:anchor="ref-7">
        <w:r>
          <w:rPr>
            <w:rStyle w:val="Hyperlink"/>
          </w:rPr>
          <w:t xml:space="preserve">[7]</w:t>
        </w:r>
      </w:hyperlink>
      <w:r>
        <w:t xml:space="preserve"> </w:t>
      </w:r>
      <w:hyperlink w:anchor="ref-5">
        <w:r>
          <w:rPr>
            <w:rStyle w:val="Hyperlink"/>
          </w:rPr>
          <w:t xml:space="preserve">[5]</w:t>
        </w:r>
      </w:hyperlink>
      <w:r>
        <w:t xml:space="preserve">. This is where operational problems are first named and worked out, often before the surrounding theory has settled, and it is the family in which the on-orbit nomenclature question would most naturally first appear if the operational-pull premise of Chapter 3 holds.</w:t>
      </w:r>
    </w:p>
    <w:p>
      <w:pPr>
        <w:pStyle w:val="BodyText"/>
        <w:spacing w:line="480" w:lineRule="auto"/>
        <w:ind w:firstLine="720"/>
      </w:pPr>
      <w:r>
        <w:t xml:space="preserve">A second family, coded in the middle, is the archival journal literature, represented by the Acta Astronautica records. These cover a broad span of space engineering, from additive manufacturing of spacecraft components to low-thrust de-orbiting and propulsion system design</w:t>
      </w:r>
      <w:r>
        <w:t xml:space="preserve"> </w:t>
      </w:r>
      <w:hyperlink w:anchor="ref-9">
        <w:r>
          <w:rPr>
            <w:rStyle w:val="Hyperlink"/>
          </w:rPr>
          <w:t xml:space="preserve">[9]</w:t>
        </w:r>
      </w:hyperlink>
      <w:r>
        <w:t xml:space="preserve"> </w:t>
      </w:r>
      <w:hyperlink w:anchor="ref-12">
        <w:r>
          <w:rPr>
            <w:rStyle w:val="Hyperlink"/>
          </w:rPr>
          <w:t xml:space="preserve">[12]</w:t>
        </w:r>
      </w:hyperlink>
      <w:r>
        <w:t xml:space="preserve">. Archival journals signal a degree of durability and peer scrutiny that proceedings do not, and a topic that migrates into this family is, by the maturation logic, further along its trajectory. The presence of this family in the corpus is what gives the venue variable its middle rung, and the contrast between it and the proceedings family is what the venue coefficient is built to detect.</w:t>
      </w:r>
    </w:p>
    <w:p>
      <w:pPr>
        <w:pStyle w:val="BodyText"/>
        <w:spacing w:line="480" w:lineRule="auto"/>
        <w:ind w:firstLine="720"/>
      </w:pPr>
      <w:r>
        <w:t xml:space="preserve">A third family, coded highest, is the governance and commons-oriented literature. These records treat orbital space as a shared resource and engage the policy and institutional dimensions of space activity, including source-sink modeling frameworks and commons-oriented working material. Several of these records carry descriptive provenance strings rather than digital object identifiers, reflecting their working-paper and framework character, and preserving those strings is what keeps them auditable alongside the indexed records</w:t>
      </w:r>
      <w:r>
        <w:t xml:space="preserve"> </w:t>
      </w:r>
      <w:hyperlink w:anchor="ref-6">
        <w:r>
          <w:rPr>
            <w:rStyle w:val="Hyperlink"/>
          </w:rPr>
          <w:t xml:space="preserve">[6]</w:t>
        </w:r>
      </w:hyperlink>
      <w:r>
        <w:t xml:space="preserve">. This family represents the institutional end of the topic’s life, where technical readiness meets governance, and its inclusion lets the venue channel span the full arc from operational proceedings through archival journals to governance material.</w:t>
      </w:r>
    </w:p>
    <w:bookmarkEnd w:id="114"/>
    <w:bookmarkStart w:id="115" w:name="data-integrity-and-the-audit-trail"/>
    <w:p>
      <w:pPr>
        <w:pStyle w:val="Heading2"/>
        <w:spacing w:line="480" w:lineRule="auto"/>
      </w:pPr>
      <w:r>
        <w:t xml:space="preserve">5.9 Data integrity and the audit trail</w:t>
      </w:r>
    </w:p>
    <w:p>
      <w:pPr>
        <w:pStyle w:val="FirstParagraph"/>
        <w:spacing w:line="480" w:lineRule="auto"/>
      </w:pPr>
      <w:r>
        <w:t xml:space="preserve">A final word on integrity. The estimation file is constructed so that its integrity can be verified rather than merely asserted, and the verification runs through the source column that anchors every row. Each record’s publication year can be checked against its cited source, each venue-family code can be confirmed by inspecting the venue the source appears in, and each theme-term count can in principle be recomputed from the source metadata by anyone applying the same deterministic rule. This is what it means for the file to be auditable end to end: no quantity in it is a matter of the analyst’s private judgment, and every quantity is reconstructable from public or locally-held inputs.</w:t>
      </w:r>
    </w:p>
    <w:p>
      <w:pPr>
        <w:pStyle w:val="BodyText"/>
        <w:spacing w:line="480" w:lineRule="auto"/>
        <w:ind w:firstLine="720"/>
      </w:pPr>
      <w:r>
        <w:t xml:space="preserve">The audit trail does more than build trust; it changes what a disagreement looks like. A reader who doubts the recency finding cannot simply assert that the corpus is unrepresentative or the coding is wrong. The reader can point to specific rows, name the specific years or venue codes or term counts in dispute, and thereby ground the disagreement in the data rather than in impression. That is the standard of argument the design aims to make possible, and it is why the provenance discipline is treated as a first-class feature of the data rather than as record-keeping overhead. The thirty-record file is small enough to inspect exhaustively and structured so that inspection is decisive, which is precisely the combination a bounded, falsifiable inquiry requires</w:t>
      </w:r>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bookmarkEnd w:id="115"/>
    <w:bookmarkStart w:id="116" w:name="how-the-two-estimation-files-relate"/>
    <w:p>
      <w:pPr>
        <w:pStyle w:val="Heading2"/>
        <w:spacing w:line="480" w:lineRule="auto"/>
      </w:pPr>
      <w:r>
        <w:t xml:space="preserve">5.10 How the two estimation files relate</w:t>
      </w:r>
    </w:p>
    <w:p>
      <w:pPr>
        <w:pStyle w:val="FirstParagraph"/>
        <w:spacing w:line="480" w:lineRule="auto"/>
      </w:pPr>
      <w:r>
        <w:t xml:space="preserve">The design uses two estimation files, one per screen, and their relationship is worth documenting because it affects how the results should be read together. Both files draw on the same thirty source records, so the corpus is identical across screens, but each file carries the variables its screen needs. The ordinary least squares file carries the topic-signal score, the recency index, the citation count, and the venue score. The learning-curve file carries citations-plus-one and the age index. The shared corpus means the two screens speak about the same population of sources, so their verdicts can be read jointly rather than as evidence about two different samples</w:t>
      </w:r>
      <w:r>
        <w:t xml:space="preserve"> </w:t>
      </w:r>
      <w:hyperlink w:anchor="ref-1">
        <w:r>
          <w:rPr>
            <w:rStyle w:val="Hyperlink"/>
          </w:rPr>
          <w:t xml:space="preserve">[1]</w:t>
        </w:r>
      </w:hyperlink>
      <w:r>
        <w:t xml:space="preserve">.</w:t>
      </w:r>
    </w:p>
    <w:p>
      <w:pPr>
        <w:pStyle w:val="BodyText"/>
        <w:spacing w:line="480" w:lineRule="auto"/>
        <w:ind w:firstLine="720"/>
      </w:pPr>
      <w:r>
        <w:t xml:space="preserve">Both files also share the citation information, entered differently in each. In the ordinary least squares file the raw citation count enters as a control, while in the learning-curve file the citation count plus one enters as the logged outcome. This shared but differently-transformed citation variable is what lets the attention channel be tested twice, once as a control that conditions out attention from the recency and venue coefficients, and once as the direct outcome of the learning-curve screen. When both tests return quiet estimates, as Chapter 6 reports, the agreement across two treatments of the same underlying variable strengthens the null on the attention channel</w:t>
      </w:r>
      <w:r>
        <w:t xml:space="preserve"> </w:t>
      </w:r>
      <w:hyperlink w:anchor="ref-7">
        <w:r>
          <w:rPr>
            <w:rStyle w:val="Hyperlink"/>
          </w:rPr>
          <w:t xml:space="preserve">[7]</w:t>
        </w:r>
      </w:hyperlink>
      <w:r>
        <w:t xml:space="preserve"> </w:t>
      </w:r>
      <w:hyperlink w:anchor="ref-6">
        <w:r>
          <w:rPr>
            <w:rStyle w:val="Hyperlink"/>
          </w:rPr>
          <w:t xml:space="preserve">[6]</w:t>
        </w:r>
      </w:hyperlink>
      <w:r>
        <w:t xml:space="preserve">.</w:t>
      </w:r>
    </w:p>
    <w:p>
      <w:pPr>
        <w:pStyle w:val="BodyText"/>
        <w:spacing w:line="480" w:lineRule="auto"/>
        <w:ind w:firstLine="720"/>
      </w:pPr>
      <w:r>
        <w:t xml:space="preserve">Keeping the files separate rather than merging them into one wide table is a reproducibility choice consistent with the rest of the design. Each screen’s inputs are self-contained, so a replicator can run either screen without carrying variables it does not use, and the mapping from file to estimator to result stays clean. The age index and the recency index, mirror images by construction, live in their respective files rather than being derived on the fly, so that each file fully specifies its own screen. This modularity is the data-level counterpart of the modular estimator design in Chapter 4, and together they make the whole pipeline something a successor study can take apart and reassemble with confidence</w:t>
      </w:r>
      <w:r>
        <w:t xml:space="preserve"> </w:t>
      </w:r>
      <w:hyperlink w:anchor="ref-4">
        <w:r>
          <w:rPr>
            <w:rStyle w:val="Hyperlink"/>
          </w:rPr>
          <w:t xml:space="preserve">[4]</w:t>
        </w:r>
      </w:hyperlink>
      <w:r>
        <w:t xml:space="preserve"> </w:t>
      </w:r>
      <w:hyperlink w:anchor="ref-8">
        <w:r>
          <w:rPr>
            <w:rStyle w:val="Hyperlink"/>
          </w:rPr>
          <w:t xml:space="preserve">[8]</w:t>
        </w:r>
      </w:hyperlink>
      <w:r>
        <w:t xml:space="preserve">.</w:t>
      </w:r>
    </w:p>
    <w:bookmarkEnd w:id="116"/>
    <w:bookmarkStart w:id="117" w:name="the-corpus-as-a-snapshot-in-time"/>
    <w:p>
      <w:pPr>
        <w:pStyle w:val="Heading2"/>
        <w:spacing w:line="480" w:lineRule="auto"/>
      </w:pPr>
      <w:r>
        <w:t xml:space="preserve">5.11 The corpus as a snapshot in time</w:t>
      </w:r>
    </w:p>
    <w:p>
      <w:pPr>
        <w:pStyle w:val="FirstParagraph"/>
        <w:spacing w:line="480" w:lineRule="auto"/>
      </w:pPr>
      <w:r>
        <w:t xml:space="preserve">One property of the data deserves emphasis before the results: the corpus is a snapshot, assembled at a particular moment, and its citation counts in particular are frozen at the state of the local index when the file was built. This matters most for the attention channel. Citations accumulate continuously, so the sparse counts recorded here understate the attention these sources will eventually receive, and a corpus assembled a few years later would carry a richer citation record even for the same sources</w:t>
      </w:r>
      <w:r>
        <w:t xml:space="preserve"> </w:t>
      </w:r>
      <w:hyperlink w:anchor="ref-6">
        <w:r>
          <w:rPr>
            <w:rStyle w:val="Hyperlink"/>
          </w:rPr>
          <w:t xml:space="preserve">[6]</w:t>
        </w:r>
      </w:hyperlink>
      <w:r>
        <w:t xml:space="preserve">. The snapshot nature of the data is thus a direct contributor to the attention channel’s weakness, and reading the results requires holding that temporal framing in view.</w:t>
      </w:r>
    </w:p>
    <w:p>
      <w:pPr>
        <w:pStyle w:val="BodyText"/>
        <w:spacing w:line="480" w:lineRule="auto"/>
        <w:ind w:firstLine="720"/>
      </w:pPr>
      <w:r>
        <w:t xml:space="preserve">This snapshot framing also clarifies what a replication or extension would change and what it would not. The recency and venue variables are stable properties of a source, its publication year and its venue family, and would not shift in a later snapshot, so the recency and venue channels are robust to when the corpus is assembled. The citation variable, by contrast, is a moving quantity captured at one instant, so the attention channel is the one most sensitive to the timing of data collection. A successor study assembling a later snapshot would test the same recency and venue relationships on stable variables while giving the attention channel the accumulated citations it currently lacks, which is exactly the upgrade Chapter 7 recommends and Chapter 8 folds into future work</w:t>
      </w:r>
      <w:r>
        <w:t xml:space="preserve"> </w:t>
      </w:r>
      <w:hyperlink w:anchor="ref-7">
        <w:r>
          <w:rPr>
            <w:rStyle w:val="Hyperlink"/>
          </w:rPr>
          <w:t xml:space="preserve">[7]</w:t>
        </w:r>
      </w:hyperlink>
      <w:r>
        <w:t xml:space="preserve"> </w:t>
      </w:r>
      <w:hyperlink w:anchor="ref-1">
        <w:r>
          <w:rPr>
            <w:rStyle w:val="Hyperlink"/>
          </w:rPr>
          <w:t xml:space="preserve">[1]</w:t>
        </w:r>
      </w:hyperlink>
      <w:r>
        <w:t xml:space="preserve">.</w:t>
      </w:r>
    </w:p>
    <w:bookmarkEnd w:id="117"/>
    <w:bookmarkEnd w:id="118"/>
    <w:bookmarkStart w:id="127" w:name="chapter-6.-results"/>
    <w:p>
      <w:pPr>
        <w:pStyle w:val="Heading1"/>
        <w:spacing w:line="480" w:lineRule="auto"/>
      </w:pPr>
      <w:r>
        <w:t xml:space="preserve">Chapter 6. Results</w:t>
      </w:r>
    </w:p>
    <w:p>
      <w:pPr>
        <w:pStyle w:val="FirstParagraph"/>
        <w:spacing w:line="480" w:lineRule="auto"/>
      </w:pPr>
      <w:r>
        <w:t xml:space="preserve">This chapter reports what the two estimators returned, exactly as they returned it, and interprets the signs and magnitudes without inflating them. The discipline established in the previous chapters governs the reading here. A coefficient that is correctly signed and precise counts as structure. A coefficient that is imprecise counts as caution. The numbers below are the deterministic output of the two workbooks applied to the thirty-record estimation file, and they are presented before any interpretation so that the interpretation can be checked against them. Numbers first. Reading second.</w:t>
      </w:r>
    </w:p>
    <w:bookmarkStart w:id="119" w:name="the-ordinary-least-squares-screen-1"/>
    <w:p>
      <w:pPr>
        <w:pStyle w:val="Heading2"/>
        <w:spacing w:line="480" w:lineRule="auto"/>
      </w:pPr>
      <w:r>
        <w:t xml:space="preserve">6.1 The ordinary least squares screen</w:t>
      </w:r>
    </w:p>
    <w:p>
      <w:pPr>
        <w:pStyle w:val="FirstParagraph"/>
        <w:spacing w:line="480" w:lineRule="auto"/>
      </w:pPr>
      <w:r>
        <w:t xml:space="preserve">The ordinary least squares model regresses the topic-signal score on the recency index, the reported citation count, and the ordinal venue score, using heteroskedasticity-robust HC1 standard errors. The fit summary is as follows. The model is estimated on N=30 records. The coefficient of determination is R2=0.12661037676116482, with adjusted R2_adj=0.02583465100283766. The overall F statistic is F=1.899068829079275, with an associated p-value of F_p=0.1545582956359392.</w:t>
      </w:r>
    </w:p>
    <w:p>
      <w:pPr>
        <w:pStyle w:val="BodyText"/>
        <w:spacing w:line="480" w:lineRule="auto"/>
        <w:ind w:firstLine="720"/>
      </w:pPr>
      <w:r>
        <w:t xml:space="preserve">Four term-level estimates follow. The intercept is const coef=1.1511174290135693 with p=0.12139665501208521. The recency coefficient is recency_index coef=0.13524669809623202 with p=0.03215461509379793. The citation coefficient is cites_num coef=-0.10459372488333873 with p=0.23242379938120405. The venue coefficient is venue_score coef=-0.5414978227228566 with p=0.10553020087481926.</w:t>
      </w:r>
    </w:p>
    <w:p>
      <w:pPr>
        <w:pStyle w:val="BodyText"/>
        <w:spacing w:line="480" w:lineRule="auto"/>
        <w:ind w:firstLine="720"/>
      </w:pPr>
      <w:r>
        <w:t xml:space="preserve">One of these four stands apart. Only the recency coefficient clears the conventional threshold. The rest fall short.</w:t>
      </w:r>
    </w:p>
    <w:p>
      <w:pPr>
        <w:pStyle w:val="BodyText"/>
        <w:spacing w:line="480" w:lineRule="auto"/>
        <w:ind w:firstLine="720"/>
      </w:pPr>
      <w:r>
        <w:t xml:space="preserve">Read against the hypotheses of Chapter 3, the results are mixed in an informative way. The recency coefficient is positive and its p-value clears the conventional five percent threshold, so it counts as structure. Holding citation attention and venue family fixed, more recent sources engage the on-orbit nomenclature theme more intensely, which is precisely the recency prediction the maturation mechanism made. The magnitude is legible: each one-unit increase in the recency index is associated with roughly a tenth of a point higher topic-signal score, so that a source near the recent end of the sampled window, some twenty index units above the earliest, carries on the order of two-and-a-half additional points of theme engagement relative to the oldest records, a substantial share of a score whose typical value sits in the low single digits.</w:t>
      </w:r>
    </w:p>
    <w:p>
      <w:pPr>
        <w:pStyle w:val="BodyText"/>
        <w:spacing w:line="480" w:lineRule="auto"/>
        <w:ind w:firstLine="720"/>
      </w:pPr>
      <w:r>
        <w:t xml:space="preserve">Negative and imprecise, the citation coefficient tells a quieter story. With cites_num coef=-0.10459372488333873 and p=0.23242379938120405, the estimate does not clear any conventional threshold, so it counts as caution rather than structure. The design does not read a negative sign into a claim that citations suppress engagement. It reads the imprecision as evidence against any strong statement about the attention channel in this screen, consistent with the sparse, low citation counts documented in Chapter 5, where most records report zero citations and the reported counts carry little variance to identify an association</w:t>
      </w:r>
      <w:r>
        <w:t xml:space="preserve"> </w:t>
      </w:r>
      <w:hyperlink w:anchor="ref-7">
        <w:r>
          <w:rPr>
            <w:rStyle w:val="Hyperlink"/>
          </w:rPr>
          <w:t xml:space="preserve">[7]</w:t>
        </w:r>
      </w:hyperlink>
      <w:r>
        <w:t xml:space="preserve">.</w:t>
      </w:r>
    </w:p>
    <w:p>
      <w:pPr>
        <w:pStyle w:val="BodyText"/>
        <w:spacing w:line="480" w:lineRule="auto"/>
        <w:ind w:firstLine="720"/>
      </w:pPr>
      <w:r>
        <w:t xml:space="preserve">Negative and marginal, the venue coefficient sits at the edge of significance. At venue_score coef=-0.5414978227228566 with p=0.10553020087481926, it sits just above the conventional threshold, close enough to be suggestive but not precise enough to count as structure under the fixed rule. Its sign is the theoretically interesting part. Chapter 3 left the venue direction open, noting that the densest theme engagement might still live in the operational proceedings where nomenclature problems are first worked out rather than in the archival journals a topic migrates toward as it matures. The negative point estimate is consistent with exactly that reading: within this corpus, the AMOS-family proceedings, coded lowest on the venue scale, tend to carry higher topic-signal scores than the higher-coded archival and governance families</w:t>
      </w:r>
      <w:r>
        <w:t xml:space="preserve"> </w:t>
      </w:r>
      <w:hyperlink w:anchor="ref-4">
        <w:r>
          <w:rPr>
            <w:rStyle w:val="Hyperlink"/>
          </w:rPr>
          <w:t xml:space="preserve">[4]</w:t>
        </w:r>
      </w:hyperlink>
      <w:r>
        <w:t xml:space="preserve"> </w:t>
      </w:r>
      <w:hyperlink w:anchor="ref-1">
        <w:r>
          <w:rPr>
            <w:rStyle w:val="Hyperlink"/>
          </w:rPr>
          <w:t xml:space="preserve">[1]</w:t>
        </w:r>
      </w:hyperlink>
      <w:r>
        <w:t xml:space="preserve">. The imprecision means the dissertation offers this as a direction worth confirming, not as an established fact.</w:t>
      </w:r>
    </w:p>
    <w:p>
      <w:pPr>
        <w:pStyle w:val="BodyText"/>
        <w:spacing w:line="480" w:lineRule="auto"/>
        <w:ind w:firstLine="720"/>
      </w:pPr>
      <w:r>
        <w:t xml:space="preserve">An honest word about the overall fit is owed here. With R2=0.12661037676116482, the three predictors jointly account for a modest share of the variation in topic-signal scores, and the adjusted R2_adj=0.02583465100283766 is small, as is expected when three predictors are asked to explain a noisy composite over thirty records. The joint F=1.899068829079275, with F_p=0.1545582956359392, does not reject the null of no joint relationship at conventional levels. This matters for calibration. The recency channel shows individually significant structure, but the model as a whole is not carrying a strong joint signal, and the interpretation is scaled accordingly: one clear channel, one marginal channel, and one quiet channel, inside a model of modest overall explanatory power</w:t>
      </w:r>
      <w:r>
        <w:t xml:space="preserve"> </w:t>
      </w:r>
      <w:hyperlink w:anchor="ref-5">
        <w:r>
          <w:rPr>
            <w:rStyle w:val="Hyperlink"/>
          </w:rPr>
          <w:t xml:space="preserve">[5]</w:t>
        </w:r>
      </w:hyperlink>
      <w:r>
        <w:t xml:space="preserve">.</w:t>
      </w:r>
    </w:p>
    <w:bookmarkEnd w:id="119"/>
    <w:bookmarkStart w:id="120" w:name="the-learning-curve-screen-1"/>
    <w:p>
      <w:pPr>
        <w:pStyle w:val="Heading2"/>
        <w:spacing w:line="480" w:lineRule="auto"/>
      </w:pPr>
      <w:r>
        <w:t xml:space="preserve">6.2 The learning-curve screen</w:t>
      </w:r>
    </w:p>
    <w:p>
      <w:pPr>
        <w:pStyle w:val="FirstParagraph"/>
        <w:spacing w:line="480" w:lineRule="auto"/>
      </w:pPr>
      <w:r>
        <w:t xml:space="preserve">The second estimator is the log-log learning-curve model, regressing the natural log of citations-plus-one on the natural log of the age index, again with HC1 robust standard errors. The fit summary is as follows. The model is estimated on N=30 records. The coefficient of determination is R2=0.01006354565008527. The estimated elasticity is elasticity_b=-0.0743432038839363, and the implied progress ratio is progress_ratio_2^b=0.9497744133986172.</w:t>
      </w:r>
    </w:p>
    <w:p>
      <w:pPr>
        <w:pStyle w:val="BodyText"/>
        <w:spacing w:line="480" w:lineRule="auto"/>
        <w:ind w:firstLine="720"/>
      </w:pPr>
      <w:r>
        <w:t xml:space="preserve">The term-level estimates are these. The intercept is const coef=0.4082493356068123 with p=0.00481290430470312. The age elasticity is _ln_x coef=-0.0743432038839363 with p=0.31674458630983615.</w:t>
      </w:r>
    </w:p>
    <w:p>
      <w:pPr>
        <w:pStyle w:val="BodyText"/>
        <w:spacing w:line="480" w:lineRule="auto"/>
        <w:ind w:firstLine="720"/>
      </w:pPr>
      <w:r>
        <w:t xml:space="preserve">On the attention channel the verdict is clear and, given the corpus, unsurprising. The elasticity is small and imprecise. At _ln_x coef=-0.0743432038839363 with p=0.31674458630983615, it does not clear any conventional threshold, so under the fixed rule it counts as caution, not structure. The implied progress ratio of progress_ratio_2^b=0.9497744133986172 sits close to one, meaning that as article age doubles, citation stock in this corpus barely moves. There is no measurable age-based attention curve here. None. The corpus is too young. The R2=0.01006354565008527 confirms the reading: age explains essentially none of the variation in log citations across these records.</w:t>
      </w:r>
    </w:p>
    <w:p>
      <w:pPr>
        <w:pStyle w:val="BodyText"/>
        <w:spacing w:line="480" w:lineRule="auto"/>
        <w:ind w:firstLine="720"/>
      </w:pPr>
      <w:r>
        <w:t xml:space="preserve">This is a null on the attention prediction, and the design treats it as informative rather than disappointing. A null is a finding. Chapter 3 anticipated exactly this possibility, reasoning that a young corpus may not yet have accumulated the citation history a learning curve needs, so that the attention channel could stay quiet even while the recency and venue channels begin to move. The data bear that out. With most records reporting zero citations and only two carrying reported counts as high as seven and nine, there is too little accumulated attention, and too little spread across ages, for a stable elasticity to emerge</w:t>
      </w:r>
      <w:r>
        <w:t xml:space="preserve"> </w:t>
      </w:r>
      <w:hyperlink w:anchor="ref-6">
        <w:r>
          <w:rPr>
            <w:rStyle w:val="Hyperlink"/>
          </w:rPr>
          <w:t xml:space="preserve">[6]</w:t>
        </w:r>
      </w:hyperlink>
      <w:r>
        <w:t xml:space="preserve"> </w:t>
      </w:r>
      <w:hyperlink w:anchor="ref-2">
        <w:r>
          <w:rPr>
            <w:rStyle w:val="Hyperlink"/>
          </w:rPr>
          <w:t xml:space="preserve">[2]</w:t>
        </w:r>
      </w:hyperlink>
      <w:r>
        <w:t xml:space="preserve">. The intercept is precisely estimated, at const coef=0.4082493356068123 with p=0.00481290430470312, but a precise intercept in the absence of a slope only confirms that the average log-citation level is well determined while its dependence on age is not.</w:t>
      </w:r>
    </w:p>
    <w:bookmarkEnd w:id="120"/>
    <w:bookmarkStart w:id="121" w:name="reading-the-two-screens-together"/>
    <w:p>
      <w:pPr>
        <w:pStyle w:val="Heading2"/>
        <w:spacing w:line="480" w:lineRule="auto"/>
      </w:pPr>
      <w:r>
        <w:t xml:space="preserve">6.3 Reading the two screens together</w:t>
      </w:r>
    </w:p>
    <w:p>
      <w:pPr>
        <w:pStyle w:val="FirstParagraph"/>
        <w:spacing w:line="480" w:lineRule="auto"/>
      </w:pPr>
      <w:r>
        <w:t xml:space="preserve">Taken together, the two screens return the mixed verdict the design was built to be able to express. On the recency channel, the ordinary least squares screen finds significant positive structure: recent sources engage the nomenclature theme more intensely, consistent with a topic maturing under recent operational pressure</w:t>
      </w:r>
      <w:r>
        <w:t xml:space="preserve"> </w:t>
      </w:r>
      <w:hyperlink w:anchor="ref-3">
        <w:r>
          <w:rPr>
            <w:rStyle w:val="Hyperlink"/>
          </w:rPr>
          <w:t xml:space="preserve">[3]</w:t>
        </w:r>
      </w:hyperlink>
      <w:r>
        <w:t xml:space="preserve">. On the venue channel, the same screen finds a marginal negative association whose direction suggests that the sharpest theme engagement still resides in the operational proceedings rather than the archival journals, a direction the design flags for confirmation rather than asserting</w:t>
      </w:r>
      <w:r>
        <w:t xml:space="preserve"> </w:t>
      </w:r>
      <w:hyperlink w:anchor="ref-4">
        <w:r>
          <w:rPr>
            <w:rStyle w:val="Hyperlink"/>
          </w:rPr>
          <w:t xml:space="preserve">[4]</w:t>
        </w:r>
      </w:hyperlink>
      <w:r>
        <w:t xml:space="preserve">. On the attention channel, both the ordinary least squares control and the learning-curve screen come back quiet, indicating that citation accumulation carries no detectable structure in this young corpus</w:t>
      </w:r>
      <w:r>
        <w:t xml:space="preserve"> </w:t>
      </w:r>
      <w:hyperlink w:anchor="ref-7">
        <w:r>
          <w:rPr>
            <w:rStyle w:val="Hyperlink"/>
          </w:rPr>
          <w:t xml:space="preserve">[7]</w:t>
        </w:r>
      </w:hyperlink>
      <w:r>
        <w:t xml:space="preserve">.</w:t>
      </w:r>
    </w:p>
    <w:p>
      <w:pPr>
        <w:pStyle w:val="BodyText"/>
        <w:spacing w:line="480" w:lineRule="auto"/>
        <w:ind w:firstLine="720"/>
      </w:pPr>
      <w:r>
        <w:t xml:space="preserve">This pattern is coherent. A topic in the early-to-middle phase of maturation should light up the recency channel first, because engagement responds to a live operational problem before the citation record has time to consolidate around it, and it should show its venue signature while much of the work is still being done in proceedings. That is what these two screens, read jointly, describe. The single significant coefficient, recency_index coef=0.13524669809623202 with p=0.03215461509379793, is the empirical heart of the finding, and everything else in the results calibrates how far that finding can be pushed.</w:t>
      </w:r>
    </w:p>
    <w:p>
      <w:pPr>
        <w:pStyle w:val="BodyText"/>
        <w:spacing w:line="480" w:lineRule="auto"/>
        <w:ind w:firstLine="720"/>
      </w:pPr>
      <w:r>
        <w:t xml:space="preserve">What the results do not deliver is equally important to state. They do not reject the joint null in the ordinary least squares screen, they do not establish a venue effect at conventional precision, and they find no age-based attention curve at all. The dissertation therefore does not claim that the on-orbit nomenclature topic has fully matured, nor that its literature has migrated into archival venues, nor that its attention dynamics follow a stable curve. It claims, and only claims, that recency is systematically and significantly related to topic engagement in the retrieved corpus, with a suggestive venue direction and a quiet attention channel around it.</w:t>
      </w:r>
    </w:p>
    <w:bookmarkEnd w:id="121"/>
    <w:bookmarkStart w:id="122" w:name="magnitude-not-just-significance"/>
    <w:p>
      <w:pPr>
        <w:pStyle w:val="Heading2"/>
        <w:spacing w:line="480" w:lineRule="auto"/>
      </w:pPr>
      <w:r>
        <w:t xml:space="preserve">6.4 Magnitude, not just significance</w:t>
      </w:r>
    </w:p>
    <w:p>
      <w:pPr>
        <w:pStyle w:val="FirstParagraph"/>
        <w:spacing w:line="480" w:lineRule="auto"/>
      </w:pPr>
      <w:r>
        <w:t xml:space="preserve">Statistical significance answers whether an association exists; magnitude answers whether it matters, and the recency coefficient deserves reading on both. At recency_index coef=0.13524669809623202, the association is not merely detectable but materially sized relative to the outcome. The topic-signal score across the corpus typically runs in the low single digits, so a coefficient of roughly one-eighth of a point per recency unit accumulates into a meaningful difference across the two-decade span the recency index covers. Moving from the earliest anchor to the most recent end of the window, a span of about twenty index units, implies a predicted increase on the order of two-and-a-half points of topic engagement, holding citations and venue fixed. Against a score whose median sits near two, that is a large predicted swing, not a trivial one.</w:t>
      </w:r>
    </w:p>
    <w:p>
      <w:pPr>
        <w:pStyle w:val="BodyText"/>
        <w:spacing w:line="480" w:lineRule="auto"/>
        <w:ind w:firstLine="720"/>
      </w:pPr>
      <w:r>
        <w:t xml:space="preserve">Larger still in raw terms is the venue magnitude, at venue_score coef=-0.5414978227228566, though its imprecision means the size must be read with care. Taken at face value, each step up the ordinal venue scale, from proceedings toward archival toward governance material, is associated with roughly half a point lower topic-signal score. If that magnitude held at conventional precision, it would say the venue channel moves the outcome about as much across its three-step range as recency moves it across its full two-decade span, which would make venue composition a first-order feature of where theme engagement concentrates</w:t>
      </w:r>
      <w:r>
        <w:t xml:space="preserve"> </w:t>
      </w:r>
      <w:hyperlink w:anchor="ref-4">
        <w:r>
          <w:rPr>
            <w:rStyle w:val="Hyperlink"/>
          </w:rPr>
          <w:t xml:space="preserve">[4]</w:t>
        </w:r>
      </w:hyperlink>
      <w:r>
        <w:t xml:space="preserve">. The design does not assert this, because the coefficient sits above the conventional threshold, but the magnitude is worth flagging: the venue direction is not a negligible wobble, it is a substantively sized association that happens to be estimated imprecisely in a small corpus.</w:t>
      </w:r>
    </w:p>
    <w:p>
      <w:pPr>
        <w:pStyle w:val="BodyText"/>
        <w:spacing w:line="480" w:lineRule="auto"/>
        <w:ind w:firstLine="720"/>
      </w:pPr>
      <w:r>
        <w:t xml:space="preserve">The citation and elasticity magnitudes, by contrast, are both small and imprecise, which is a coherent combination. A citation coefficient of cites_num coef=-0.10459372488333873 and an age elasticity of _ln_x coef=-0.0743432038839363 are each close enough to zero that neither their sign nor their size supports interpretation, and their imprecision confirms that reading. When a coefficient is both small and imprecise, the honest conclusion is a null, and both attention estimates meet that description</w:t>
      </w:r>
      <w:r>
        <w:t xml:space="preserve"> </w:t>
      </w:r>
      <w:hyperlink w:anchor="ref-7">
        <w:r>
          <w:rPr>
            <w:rStyle w:val="Hyperlink"/>
          </w:rPr>
          <w:t xml:space="preserve">[7]</w:t>
        </w:r>
      </w:hyperlink>
      <w:r>
        <w:t xml:space="preserve"> </w:t>
      </w:r>
      <w:hyperlink w:anchor="ref-6">
        <w:r>
          <w:rPr>
            <w:rStyle w:val="Hyperlink"/>
          </w:rPr>
          <w:t xml:space="preserve">[6]</w:t>
        </w:r>
      </w:hyperlink>
      <w:r>
        <w:t xml:space="preserve">.</w:t>
      </w:r>
    </w:p>
    <w:bookmarkEnd w:id="122"/>
    <w:bookmarkStart w:id="123" w:name="robustness-of-the-reading"/>
    <w:p>
      <w:pPr>
        <w:pStyle w:val="Heading2"/>
        <w:spacing w:line="480" w:lineRule="auto"/>
      </w:pPr>
      <w:r>
        <w:t xml:space="preserve">6.5 Robustness of the reading</w:t>
      </w:r>
    </w:p>
    <w:p>
      <w:pPr>
        <w:pStyle w:val="FirstParagraph"/>
        <w:spacing w:line="480" w:lineRule="auto"/>
      </w:pPr>
      <w:r>
        <w:t xml:space="preserve">A skeptic might ask whether the recency finding is an artifact of the small sample or the particular records that carry leverage. Several features of the output argue against that worry. The recency coefficient’s p-value of p=0.03215461509379793 clears the conventional five percent threshold under HC1 robust standard errors, which are the conservative choice for a heteroskedastic outcome, so the significance does not depend on an optimistic error assumption. The result is also directionally consistent with the maturation mechanism specified before the data were examined, so it is a confirmed prediction rather than a pattern discovered by searching, which lowers the risk that it is a chance fluctuation dressed up as a finding</w:t>
      </w:r>
      <w:r>
        <w:t xml:space="preserve"> </w:t>
      </w:r>
      <w:hyperlink w:anchor="ref-1">
        <w:r>
          <w:rPr>
            <w:rStyle w:val="Hyperlink"/>
          </w:rPr>
          <w:t xml:space="preserve">[1]</w:t>
        </w:r>
      </w:hyperlink>
      <w:r>
        <w:t xml:space="preserve">.</w:t>
      </w:r>
    </w:p>
    <w:p>
      <w:pPr>
        <w:pStyle w:val="BodyText"/>
        <w:spacing w:line="480" w:lineRule="auto"/>
        <w:ind w:firstLine="720"/>
      </w:pPr>
      <w:r>
        <w:t xml:space="preserve">At the same time, the modest overall fit is a genuine constraint on how hard the recency result can be pushed, and the reading respects it. With R2=0.12661037676116482 and a joint test that does not reject at F_p=0.1545582956359392, the model as a whole is not a strong predictor of topic engagement, and the recency channel is one significant thread inside an otherwise loosely fitting model. The dissertation neither hides this nor lets it erase the recency result. Both facts are true together: the recency coefficient is individually significant and materially sized, and the model’s joint and overall explanatory power is modest. Holding both in view at once is exactly the calibrated reading the design demanded, and it is the reading Chapter 7 carries forward into its assessment of validity</w:t>
      </w:r>
      <w:r>
        <w:t xml:space="preserve"> </w:t>
      </w:r>
      <w:hyperlink w:anchor="ref-8">
        <w:r>
          <w:rPr>
            <w:rStyle w:val="Hyperlink"/>
          </w:rPr>
          <w:t xml:space="preserve">[8]</w:t>
        </w:r>
      </w:hyperlink>
      <w:r>
        <w:t xml:space="preserve"> </w:t>
      </w:r>
      <w:hyperlink w:anchor="ref-5">
        <w:r>
          <w:rPr>
            <w:rStyle w:val="Hyperlink"/>
          </w:rPr>
          <w:t xml:space="preserve">[5]</w:t>
        </w:r>
      </w:hyperlink>
      <w:r>
        <w:t xml:space="preserve">.</w:t>
      </w:r>
    </w:p>
    <w:bookmarkEnd w:id="123"/>
    <w:bookmarkStart w:id="124" w:name="the-estimates-set-against-the-hypotheses"/>
    <w:p>
      <w:pPr>
        <w:pStyle w:val="Heading2"/>
        <w:spacing w:line="480" w:lineRule="auto"/>
      </w:pPr>
      <w:r>
        <w:t xml:space="preserve">6.6 The estimates set against the hypotheses</w:t>
      </w:r>
    </w:p>
    <w:p>
      <w:pPr>
        <w:pStyle w:val="FirstParagraph"/>
        <w:spacing w:line="480" w:lineRule="auto"/>
      </w:pPr>
      <w:r>
        <w:t xml:space="preserve">It is worth walking the estimates back through the hypotheses of Chapter 3 one channel at a time, so the mapping from prediction to result is explicit. The recency prediction held that the coefficient on the recency index should be positive if the topic is maturing under operational pull. The estimate is recency_index coef=0.13524669809623202 with p=0.03215461509379793, positive and precise, so the recency prediction is supported and H1 is favored on that channel. This is the one channel where the data speak clearly, and the clarity is exactly where the temporal-ordering logic of Chapter 3 predicted it would first appear, on the fastest-responding channel</w:t>
      </w:r>
      <w:r>
        <w:t xml:space="preserve"> </w:t>
      </w:r>
      <w:hyperlink w:anchor="ref-3">
        <w:r>
          <w:rPr>
            <w:rStyle w:val="Hyperlink"/>
          </w:rPr>
          <w:t xml:space="preserve">[3]</w:t>
        </w:r>
      </w:hyperlink>
      <w:r>
        <w:t xml:space="preserve">.</w:t>
      </w:r>
    </w:p>
    <w:p>
      <w:pPr>
        <w:pStyle w:val="BodyText"/>
        <w:spacing w:line="480" w:lineRule="auto"/>
        <w:ind w:firstLine="720"/>
      </w:pPr>
      <w:r>
        <w:t xml:space="preserve">The venue prediction held that the venue coefficient should be nonzero, with the direction left open between an archival-migration reading and a proceedings-concentration reading. The estimate is venue_score coef=-0.5414978227228566 with p=0.10553020087481926, negative and marginal. The negative sign favors the proceedings-concentration reading, that the densest theme engagement still lives in the operational venues, but the imprecision means the design records this as a direction to confirm rather than a supported hypothesis</w:t>
      </w:r>
      <w:r>
        <w:t xml:space="preserve"> </w:t>
      </w:r>
      <w:hyperlink w:anchor="ref-4">
        <w:r>
          <w:rPr>
            <w:rStyle w:val="Hyperlink"/>
          </w:rPr>
          <w:t xml:space="preserve">[4]</w:t>
        </w:r>
      </w:hyperlink>
      <w:r>
        <w:t xml:space="preserve">. On the fixed rule, this channel counts as caution, sitting just short of the threshold for structure.</w:t>
      </w:r>
    </w:p>
    <w:p>
      <w:pPr>
        <w:pStyle w:val="BodyText"/>
        <w:spacing w:line="480" w:lineRule="auto"/>
        <w:ind w:firstLine="720"/>
      </w:pPr>
      <w:r>
        <w:t xml:space="preserve">The attention prediction held that citation accumulation should follow a measurable age curve, with an elasticity detectably different from zero and a progress ratio departing from one. The estimates are _ln_x coef=-0.0743432038839363 with p=0.31674458630983615, and progress_ratio_2^b=0.9497744133986172. The elasticity is small and imprecise and the progress ratio sits near one, so the attention prediction is not supported and H0 is favored on that channel. The ordinary least squares citation control agrees, at cites_num coef=-0.10459372488333873 with p=0.23242379938120405, giving two convergent nulls on attention</w:t>
      </w:r>
      <w:r>
        <w:t xml:space="preserve"> </w:t>
      </w:r>
      <w:hyperlink w:anchor="ref-7">
        <w:r>
          <w:rPr>
            <w:rStyle w:val="Hyperlink"/>
          </w:rPr>
          <w:t xml:space="preserve">[7]</w:t>
        </w:r>
      </w:hyperlink>
      <w:r>
        <w:t xml:space="preserve"> </w:t>
      </w:r>
      <w:hyperlink w:anchor="ref-6">
        <w:r>
          <w:rPr>
            <w:rStyle w:val="Hyperlink"/>
          </w:rPr>
          <w:t xml:space="preserve">[6]</w:t>
        </w:r>
      </w:hyperlink>
      <w:r>
        <w:t xml:space="preserve">.</w:t>
      </w:r>
    </w:p>
    <w:p>
      <w:pPr>
        <w:pStyle w:val="BodyText"/>
        <w:spacing w:line="480" w:lineRule="auto"/>
        <w:ind w:firstLine="720"/>
      </w:pPr>
      <w:r>
        <w:t xml:space="preserve">Precise and positioned, the channel-by-channel verdict reads: support for H1 on recency, caution on venue with a suggestive negative direction, and support for H0 on attention across two convergent tests. This is the mixed verdict the design was built to be able to express, and it locates the topic exactly where the temporal-ordering logic predicted a mid-maturation topic should sit, engaged and recent, not yet venue-migrated at precision, and not yet citation-consolidated</w:t>
      </w:r>
      <w:r>
        <w:t xml:space="preserve"> </w:t>
      </w:r>
      <w:hyperlink w:anchor="ref-1">
        <w:r>
          <w:rPr>
            <w:rStyle w:val="Hyperlink"/>
          </w:rPr>
          <w:t xml:space="preserve">[1]</w:t>
        </w:r>
      </w:hyperlink>
      <w:r>
        <w:t xml:space="preserve"> </w:t>
      </w:r>
      <w:hyperlink w:anchor="ref-8">
        <w:r>
          <w:rPr>
            <w:rStyle w:val="Hyperlink"/>
          </w:rPr>
          <w:t xml:space="preserve">[8]</w:t>
        </w:r>
      </w:hyperlink>
      <w:r>
        <w:t xml:space="preserve">.</w:t>
      </w:r>
    </w:p>
    <w:bookmarkEnd w:id="124"/>
    <w:bookmarkStart w:id="125" w:name="reading-the-fit-statistics-honestly"/>
    <w:p>
      <w:pPr>
        <w:pStyle w:val="Heading2"/>
        <w:spacing w:line="480" w:lineRule="auto"/>
      </w:pPr>
      <w:r>
        <w:t xml:space="preserve">6.7 Reading the fit statistics honestly</w:t>
      </w:r>
    </w:p>
    <w:p>
      <w:pPr>
        <w:pStyle w:val="FirstParagraph"/>
        <w:spacing w:line="480" w:lineRule="auto"/>
      </w:pPr>
      <w:r>
        <w:t xml:space="preserve">The two fit statistics, R2=0.12661037676116482 for the ordinary least squares screen and R2=0.01006354565008527 for the learning-curve screen, deserve honest interpretation rather than either apology or spin. Low coefficients of determination are the norm, not the exception, when a noisy social or bibliometric outcome is modeled with a handful of predictors over a small sample, and a low R2 does not by itself invalidate a significant coefficient within the model. The recency coefficient’s significance at p=0.03215461509379793 stands regardless of the modest overall fit, because significance and explained variance answer different questions: one asks whether an association is distinguishable from zero, the other asks how much of the outcome’s variation the model captures</w:t>
      </w:r>
      <w:r>
        <w:t xml:space="preserve"> </w:t>
      </w:r>
      <w:hyperlink w:anchor="ref-1">
        <w:r>
          <w:rPr>
            <w:rStyle w:val="Hyperlink"/>
          </w:rPr>
          <w:t xml:space="preserve">[1]</w:t>
        </w:r>
      </w:hyperlink>
      <w:r>
        <w:t xml:space="preserve">.</w:t>
      </w:r>
    </w:p>
    <w:p>
      <w:pPr>
        <w:pStyle w:val="BodyText"/>
        <w:spacing w:line="480" w:lineRule="auto"/>
        <w:ind w:firstLine="720"/>
      </w:pPr>
      <w:r>
        <w:t xml:space="preserve">A learning-curve fit of R2=0.01006354565008527 is essentially zero, and that near-zero fit is itself the finding on the attention channel. It says that article age explains almost none of the variation in log citations across these records, which is the quantitative signature of the flat elasticity and near-unity progress ratio. A reader should not treat this as a defective model but as a faithful report that the attention channel carries no age structure in this corpus, for the measurement reasons Chapter 5 documented. The fit statistic and the elasticity tell the same story from two angles, and their agreement is what makes the attention null well characterized rather than merely asserted</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The ordinary least squares fit of R2=0.12661037676116482, modest but nonzero, is consistent with a model in which one channel carries real structure while the others are quiet or marginal. A single significant predictor among three, inside a small sample, produces exactly this kind of modest explained variance, and the adjusted R2_adj=0.02583465100283766 correctly penalizes the two predictors that contribute little. Reading these statistics honestly means neither inflating the recency finding to suggest the model explains more than it does, nor dismissing it because the model as a whole is not a strong predictor. Both are true at once, and Chapter 6 has held both in view throughout</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25"/>
    <w:bookmarkStart w:id="126" w:name="X9d7b6ac06ce23b6514b1e8f7ed00d6ea02cce03"/>
    <w:p>
      <w:pPr>
        <w:pStyle w:val="Heading2"/>
        <w:spacing w:line="480" w:lineRule="auto"/>
      </w:pPr>
      <w:r>
        <w:t xml:space="preserve">6.8 The single result that anchors the dissertation</w:t>
      </w:r>
    </w:p>
    <w:p>
      <w:pPr>
        <w:pStyle w:val="FirstParagraph"/>
        <w:spacing w:line="480" w:lineRule="auto"/>
      </w:pPr>
      <w:r>
        <w:t xml:space="preserve">Stripped to its essentials, the empirical contribution of this dissertation is one coefficient: recency_index coef=0.13524669809623202, significant at p=0.03215461509379793, estimated on N=30 records under robust standard errors. Everything else in the results, the marginal venue direction, the two convergent attention nulls, the modest fits, calibrates how far that single result can be pushed and marks the boundaries around it. This is the disciplined heart of a design-stage inquiry: one clean, replicable, correctly signed association, reported exactly as the estimator produced it, wrapped in an honest account of the channels where the data stay quiet</w:t>
      </w:r>
      <w:r>
        <w:t xml:space="preserve"> </w:t>
      </w:r>
      <w:hyperlink w:anchor="ref-3">
        <w:r>
          <w:rPr>
            <w:rStyle w:val="Hyperlink"/>
          </w:rPr>
          <w:t xml:space="preserve">[3]</w:t>
        </w:r>
      </w:hyperlink>
      <w:r>
        <w:t xml:space="preserve">.</w:t>
      </w:r>
    </w:p>
    <w:p>
      <w:pPr>
        <w:pStyle w:val="BodyText"/>
        <w:spacing w:line="480" w:lineRule="auto"/>
        <w:ind w:firstLine="720"/>
      </w:pPr>
      <w:r>
        <w:t xml:space="preserve">That the whole dissertation rests on one significant coefficient is not a weakness but the point. A bounded, falsifiable contribution is supposed to make one checkable claim, and this is it: within the retrieved corpus, engagement with the on-orbit nomenclature theme rises with recency, holding attention and venue fixed. The claim can be wrong, it can be replicated, and it can be sharpened by a better outcome measure, and its precise numerical form is available for any of those tests. The chapters that follow interpret this anchor result and specify what a stronger study must do, but the result itself, reported here exactly as computed, is the fixed point around which the rest of the argument turns</w:t>
      </w:r>
      <w:r>
        <w:t xml:space="preserve"> </w:t>
      </w:r>
      <w:hyperlink w:anchor="ref-8">
        <w:r>
          <w:rPr>
            <w:rStyle w:val="Hyperlink"/>
          </w:rPr>
          <w:t xml:space="preserve">[8]</w:t>
        </w:r>
      </w:hyperlink>
      <w:r>
        <w:t xml:space="preserve"> </w:t>
      </w:r>
      <w:hyperlink w:anchor="ref-5">
        <w:r>
          <w:rPr>
            <w:rStyle w:val="Hyperlink"/>
          </w:rPr>
          <w:t xml:space="preserve">[5]</w:t>
        </w:r>
      </w:hyperlink>
      <w:r>
        <w:t xml:space="preserve">.</w:t>
      </w:r>
    </w:p>
    <w:p>
      <w:pPr>
        <w:pStyle w:val="BodyText"/>
        <w:spacing w:line="480" w:lineRule="auto"/>
        <w:ind w:firstLine="720"/>
      </w:pPr>
      <w:r>
        <w:t xml:space="preserve">Chapter 7 takes up what that bounded finding means, and what threats to validity qualify it, before Chapter 8 connects it to the broader case for a validated, machine-ready code</w:t>
      </w:r>
      <w:r>
        <w:t xml:space="preserve"> </w:t>
      </w:r>
      <w:hyperlink w:anchor="ref-8">
        <w:r>
          <w:rPr>
            <w:rStyle w:val="Hyperlink"/>
          </w:rPr>
          <w:t xml:space="preserve">[8]</w:t>
        </w:r>
      </w:hyperlink>
      <w:r>
        <w:t xml:space="preserve"> </w:t>
      </w:r>
      <w:hyperlink w:anchor="ref-5">
        <w:r>
          <w:rPr>
            <w:rStyle w:val="Hyperlink"/>
          </w:rPr>
          <w:t xml:space="preserve">[5]</w:t>
        </w:r>
      </w:hyperlink>
      <w:r>
        <w:t xml:space="preserve">.</w:t>
      </w:r>
    </w:p>
    <w:bookmarkEnd w:id="126"/>
    <w:bookmarkEnd w:id="127"/>
    <w:bookmarkStart w:id="137" w:name="chapter-7.-discussion-and-limitations"/>
    <w:p>
      <w:pPr>
        <w:pStyle w:val="Heading1"/>
        <w:spacing w:line="480" w:lineRule="auto"/>
      </w:pPr>
      <w:r>
        <w:t xml:space="preserve">Chapter 7. Discussion and Limitations</w:t>
      </w:r>
    </w:p>
    <w:p>
      <w:pPr>
        <w:pStyle w:val="FirstParagraph"/>
        <w:spacing w:line="480" w:lineRule="auto"/>
      </w:pPr>
      <w:r>
        <w:t xml:space="preserve">The results of Chapter 6 are narrow by design, and this chapter says plainly what they mean, what they cannot mean, and where a careful reader should withhold assent. The central finding is a single significant, correctly signed coefficient: recency is positively and precisely associated with topic engagement in the retrieved corpus. Around that finding sit a marginal venue direction and a flat attention channel. The discussion below interprets this pattern against the maturation mechanism, then works through the threats to validity that qualify it, and closes by drawing the boundary of what this corpus can and cannot show.</w:t>
      </w:r>
    </w:p>
    <w:bookmarkStart w:id="128" w:name="what-the-finding-means"/>
    <w:p>
      <w:pPr>
        <w:pStyle w:val="Heading2"/>
        <w:spacing w:line="480" w:lineRule="auto"/>
      </w:pPr>
      <w:r>
        <w:t xml:space="preserve">7.1 What the finding means</w:t>
      </w:r>
    </w:p>
    <w:p>
      <w:pPr>
        <w:pStyle w:val="FirstParagraph"/>
        <w:spacing w:line="480" w:lineRule="auto"/>
      </w:pPr>
      <w:r>
        <w:t xml:space="preserve">Load-bearing among the outcomes is the recency result, and it means something specific. Within the retrieved literature, engagement with the on-orbit nomenclature theme rises with how recently a source appears, holding citation attention and venue family fixed. That is the signature the maturation mechanism predicted for a topic responding to a live operational problem. The prediction held. The operational pull is real and documented: co-located constellations now resolve conjunctions with onboard autonomy, and density-model pipelines strain toward common conventions, both of which create a present-tense reason to work on shared, machine-readable labels</w:t>
      </w:r>
      <w:r>
        <w:t xml:space="preserve"> </w:t>
      </w:r>
      <w:hyperlink w:anchor="ref-3">
        <w:r>
          <w:rPr>
            <w:rStyle w:val="Hyperlink"/>
          </w:rPr>
          <w:t xml:space="preserve">[3]</w:t>
        </w:r>
      </w:hyperlink>
      <w:r>
        <w:t xml:space="preserve"> </w:t>
      </w:r>
      <w:hyperlink w:anchor="ref-1">
        <w:r>
          <w:rPr>
            <w:rStyle w:val="Hyperlink"/>
          </w:rPr>
          <w:t xml:space="preserve">[1]</w:t>
        </w:r>
      </w:hyperlink>
      <w:r>
        <w:t xml:space="preserve">. The recency coefficient is consistent with a literature that is beginning to answer that pull.</w:t>
      </w:r>
    </w:p>
    <w:p>
      <w:pPr>
        <w:pStyle w:val="BodyText"/>
        <w:spacing w:line="480" w:lineRule="auto"/>
        <w:ind w:firstLine="720"/>
      </w:pPr>
      <w:r>
        <w:t xml:space="preserve">Though imprecise, the venue direction is interpretively suggestive and worth stating carefully. The negative point estimate on the venue score indicates that the densest theme engagement in this corpus tends to sit in the lower-coded proceedings family rather than the higher-coded archival and governance families. If that direction survives confirmation, it would say that the on-orbit nomenclature conversation is still being conducted primarily in the operational venues where the underlying problems are first encountered, and has not yet fully migrated into archival journals</w:t>
      </w:r>
      <w:r>
        <w:t xml:space="preserve"> </w:t>
      </w:r>
      <w:hyperlink w:anchor="ref-4">
        <w:r>
          <w:rPr>
            <w:rStyle w:val="Hyperlink"/>
          </w:rPr>
          <w:t xml:space="preserve">[4]</w:t>
        </w:r>
      </w:hyperlink>
      <w:r>
        <w:t xml:space="preserve"> </w:t>
      </w:r>
      <w:hyperlink w:anchor="ref-7">
        <w:r>
          <w:rPr>
            <w:rStyle w:val="Hyperlink"/>
          </w:rPr>
          <w:t xml:space="preserve">[7]</w:t>
        </w:r>
      </w:hyperlink>
      <w:r>
        <w:t xml:space="preserve">. That is a coherent picture of a topic in an early-to-middle maturation phase, not a late one.</w:t>
      </w:r>
    </w:p>
    <w:p>
      <w:pPr>
        <w:pStyle w:val="BodyText"/>
        <w:spacing w:line="480" w:lineRule="auto"/>
        <w:ind w:firstLine="720"/>
      </w:pPr>
      <w:r>
        <w:t xml:space="preserve">Rather than contradicting the picture, the attention null completes it. A topic can be recent and venue-structured while its citation record remains too thin to display an age curve, because citations lag engagement. The flat elasticity and near-unity progress ratio of the learning-curve screen are exactly what a young corpus should produce, and reading them as a null on the attention channel, rather than as a defect, is faithful to the design’s fixed interpretive rule</w:t>
      </w:r>
      <w:r>
        <w:t xml:space="preserve"> </w:t>
      </w:r>
      <w:hyperlink w:anchor="ref-6">
        <w:r>
          <w:rPr>
            <w:rStyle w:val="Hyperlink"/>
          </w:rPr>
          <w:t xml:space="preserve">[6]</w:t>
        </w:r>
      </w:hyperlink>
      <w:r>
        <w:t xml:space="preserve"> </w:t>
      </w:r>
      <w:hyperlink w:anchor="ref-2">
        <w:r>
          <w:rPr>
            <w:rStyle w:val="Hyperlink"/>
          </w:rPr>
          <w:t xml:space="preserve">[2]</w:t>
        </w:r>
      </w:hyperlink>
      <w:r>
        <w:t xml:space="preserve">. The three channels together sketch a topic that is stirring in the recent literature and in the operational venues, but has not yet consolidated the citation history that would mark full maturity.</w:t>
      </w:r>
    </w:p>
    <w:bookmarkEnd w:id="128"/>
    <w:bookmarkStart w:id="129" w:name="threats-to-internal-validity"/>
    <w:p>
      <w:pPr>
        <w:pStyle w:val="Heading2"/>
        <w:spacing w:line="480" w:lineRule="auto"/>
      </w:pPr>
      <w:r>
        <w:t xml:space="preserve">7.2 Threats to internal validity</w:t>
      </w:r>
    </w:p>
    <w:p>
      <w:pPr>
        <w:pStyle w:val="FirstParagraph"/>
        <w:spacing w:line="480" w:lineRule="auto"/>
      </w:pPr>
      <w:r>
        <w:t xml:space="preserve">Several threats qualify the recency finding, and each deserves a direct hearing. The first is confounding. Recency, citation count, and venue family are correlated features of a source, and although the ordinary least squares screen conditions on citations and venue, it cannot rule out an unobserved common cause that drives both recency and topic engagement. Newer sources differ from older ones in many ways beyond the three modeled channels, and any of those differences could carry part of the association the recency coefficient absorbs. The design identifies a conditional association, not a causal effect, and the recency result should be read within that limit</w:t>
      </w:r>
      <w:r>
        <w:t xml:space="preserve"> </w:t>
      </w:r>
      <w:hyperlink w:anchor="ref-4">
        <w:r>
          <w:rPr>
            <w:rStyle w:val="Hyperlink"/>
          </w:rPr>
          <w:t xml:space="preserve">[4]</w:t>
        </w:r>
      </w:hyperlink>
      <w:r>
        <w:t xml:space="preserve">.</w:t>
      </w:r>
    </w:p>
    <w:p>
      <w:pPr>
        <w:pStyle w:val="BodyText"/>
        <w:spacing w:line="480" w:lineRule="auto"/>
        <w:ind w:firstLine="720"/>
      </w:pPr>
      <w:r>
        <w:t xml:space="preserve">A second threat is measurement of the outcome. The topic-signal score counts theme-term hits across metadata fields, which rewards sources that use the theme’s vocabulary and can miss sources that engage the idea conceptually without the words. If recent sources happen to use the theme vocabulary more explicitly, for reasons of publishing convention rather than deeper engagement, the recency coefficient would partly reflect a vocabulary trend rather than a genuine rise in substantive attention. The score is reproducible, which is its virtue, but reproducibility is not the same as validity, and this gap between the two is a real caution</w:t>
      </w:r>
      <w:r>
        <w:t xml:space="preserve"> </w:t>
      </w:r>
      <w:hyperlink w:anchor="ref-5">
        <w:r>
          <w:rPr>
            <w:rStyle w:val="Hyperlink"/>
          </w:rPr>
          <w:t xml:space="preserve">[5]</w:t>
        </w:r>
      </w:hyperlink>
      <w:r>
        <w:t xml:space="preserve">.</w:t>
      </w:r>
    </w:p>
    <w:p>
      <w:pPr>
        <w:pStyle w:val="BodyText"/>
        <w:spacing w:line="480" w:lineRule="auto"/>
        <w:ind w:firstLine="720"/>
      </w:pPr>
      <w:r>
        <w:t xml:space="preserve">A third threat concerns the venue coding. The ordinal venue score compresses a heterogeneous publication landscape into three ordered families, and the ordering itself embeds an assumption about maturation that the data are then used to test. If the assumed ordering is wrong, or if the families are internally more varied than the single code admits, the venue coefficient becomes hard to interpret. The design mitigates this by treating the venue result as suggestive rather than established, but the coding assumption is a genuine limitation that a confirmatory study would need to relax</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p>
      <w:pPr>
        <w:pStyle w:val="BodyText"/>
        <w:spacing w:line="480" w:lineRule="auto"/>
        <w:ind w:firstLine="720"/>
      </w:pPr>
      <w:r>
        <w:t xml:space="preserve">A fourth threat is the citation measure. Reported counts come from the local index and are sparse, with most records at zero. Sparse, index-specific counts have little variance to identify an association, which is the most likely reason both the citation control and the learning-curve elasticity came back quiet. The attention null may therefore reflect the limits of the measure rather than a true absence of attention structure in the wider literature, and the two possibilities cannot be separated within this corpus</w:t>
      </w:r>
      <w:r>
        <w:t xml:space="preserve"> </w:t>
      </w:r>
      <w:hyperlink w:anchor="ref-7">
        <w:r>
          <w:rPr>
            <w:rStyle w:val="Hyperlink"/>
          </w:rPr>
          <w:t xml:space="preserve">[7]</w:t>
        </w:r>
      </w:hyperlink>
      <w:r>
        <w:t xml:space="preserve">.</w:t>
      </w:r>
    </w:p>
    <w:bookmarkEnd w:id="129"/>
    <w:bookmarkStart w:id="130" w:name="threats-to-external-validity"/>
    <w:p>
      <w:pPr>
        <w:pStyle w:val="Heading2"/>
        <w:spacing w:line="480" w:lineRule="auto"/>
      </w:pPr>
      <w:r>
        <w:t xml:space="preserve">7.3 Threats to external validity</w:t>
      </w:r>
    </w:p>
    <w:p>
      <w:pPr>
        <w:pStyle w:val="FirstParagraph"/>
        <w:spacing w:line="480" w:lineRule="auto"/>
      </w:pPr>
      <w:r>
        <w:t xml:space="preserve">Beyond internal validity, the finding’s reach is bounded by how the corpus was assembled. Thirty records selected by a retrieval process are a sample, and inference generalizes only insofar as that process is representative of the literature it stands for. A retrieval that over-samples proceedings, or that under-samples work using different vocabulary, would tilt the venue and recency channels in ways the estimators faithfully report but cannot correct. The dissertation does not claim to characterize the universe of space literature. It characterizes the retrieved corpus, and it is honest that the boundary of the corpus is the boundary of the claim</w:t>
      </w:r>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p>
      <w:pPr>
        <w:pStyle w:val="BodyText"/>
        <w:spacing w:line="480" w:lineRule="auto"/>
        <w:ind w:firstLine="720"/>
      </w:pPr>
      <w:r>
        <w:t xml:space="preserve">Small samples also carry ordinary sampling uncertainty that compounds these concerns. With thirty records, a single miscoded or unusual source can move a coefficient, which is why the provenance discipline of Chapter 5 matters as a safeguard rather than a formality. The recency result clears the conventional threshold, but its precision rests on a modest number of observations, and replication on a larger, independently retrieved corpus is the natural next step before the finding is treated as settled.</w:t>
      </w:r>
    </w:p>
    <w:bookmarkEnd w:id="130"/>
    <w:bookmarkStart w:id="131" w:name="what-the-data-cannot-show"/>
    <w:p>
      <w:pPr>
        <w:pStyle w:val="Heading2"/>
        <w:spacing w:line="480" w:lineRule="auto"/>
      </w:pPr>
      <w:r>
        <w:t xml:space="preserve">7.4 What the data cannot show</w:t>
      </w:r>
    </w:p>
    <w:p>
      <w:pPr>
        <w:pStyle w:val="FirstParagraph"/>
        <w:spacing w:line="480" w:lineRule="auto"/>
      </w:pPr>
      <w:r>
        <w:t xml:space="preserve">It is worth being explicit about the questions this design cannot answer, because a bounded contribution is credible only when its boundary is drawn honestly. The data cannot show that a validated, machine-ready nomenclature would work, would be adopted, or would improve downstream machine-learning performance. Those are questions about a designed artifact and its effects, and nothing in a bibliometric screen of the existing literature speaks to them. The screens speak to readiness signals in the literature, not to the performance of a code that has not yet been built</w:t>
      </w:r>
      <w:r>
        <w:t xml:space="preserve"> </w:t>
      </w:r>
      <w:hyperlink w:anchor="ref-3">
        <w:r>
          <w:rPr>
            <w:rStyle w:val="Hyperlink"/>
          </w:rPr>
          <w:t xml:space="preserve">[3]</w:t>
        </w:r>
      </w:hyperlink>
      <w:r>
        <w:t xml:space="preserve">.</w:t>
      </w:r>
    </w:p>
    <w:p>
      <w:pPr>
        <w:pStyle w:val="BodyText"/>
        <w:spacing w:line="480" w:lineRule="auto"/>
        <w:ind w:firstLine="720"/>
      </w:pPr>
      <w:r>
        <w:t xml:space="preserve">The data also cannot adjudicate the taxonomic content of a future code. Whether the right categories are those proposed in the artificial-space-object taxonomy tradition, or some revision of them, is a question of substantive classification that this design deliberately leaves untouched</w:t>
      </w:r>
      <w:r>
        <w:t xml:space="preserve"> </w:t>
      </w:r>
      <w:hyperlink w:anchor="ref-5">
        <w:r>
          <w:rPr>
            <w:rStyle w:val="Hyperlink"/>
          </w:rPr>
          <w:t xml:space="preserve">[5]</w:t>
        </w:r>
      </w:hyperlink>
      <w:r>
        <w:t xml:space="preserve">. And the data cannot establish causation on any channel, because the design neither randomizes nor instruments its predictors. The recency association is real within the corpus, but its interpretation as maturation is a reading supported by the mechanism, not a fact proven by the coefficient.</w:t>
      </w:r>
    </w:p>
    <w:p>
      <w:pPr>
        <w:pStyle w:val="BodyText"/>
        <w:spacing w:line="480" w:lineRule="auto"/>
        <w:ind w:firstLine="720"/>
      </w:pPr>
      <w:r>
        <w:t xml:space="preserve">Finally, the attention null cannot distinguish between two very different worlds: one in which the on-orbit nomenclature topic genuinely lacks age-structured attention, and one in which the local citation index is simply too coarse and too young to detect the structure that exists. Separating those worlds requires richer citation data than this design has, and that requirement is itself a finding, because it tells a confirmatory study exactly where to invest</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bookmarkEnd w:id="131"/>
    <w:bookmarkStart w:id="132" w:name="toward-a-stronger-design"/>
    <w:p>
      <w:pPr>
        <w:pStyle w:val="Heading2"/>
        <w:spacing w:line="480" w:lineRule="auto"/>
      </w:pPr>
      <w:r>
        <w:t xml:space="preserve">7.5 Toward a stronger design</w:t>
      </w:r>
    </w:p>
    <w:p>
      <w:pPr>
        <w:pStyle w:val="FirstParagraph"/>
        <w:spacing w:line="480" w:lineRule="auto"/>
      </w:pPr>
      <w:r>
        <w:t xml:space="preserve">These limitations point cleanly at what a confirmatory study should do. It should replace the term-count signal score with a validated document-coding scheme that captures conceptual engagement, not just vocabulary. It should draw a larger, independently retrieved corpus so that sampling uncertainty shrinks and the venue direction can be estimated with precision. It should source citation counts from a reconciled, multi-index measure so the attention channel is tested against real accumulated attention rather than a sparse local proxy. And it should, where possible, exploit variation that comes closer to identifying an effect rather than an association</w:t>
      </w:r>
      <w:r>
        <w:t xml:space="preserve"> </w:t>
      </w:r>
      <w:hyperlink w:anchor="ref-4">
        <w:r>
          <w:rPr>
            <w:rStyle w:val="Hyperlink"/>
          </w:rPr>
          <w:t xml:space="preserve">[4]</w:t>
        </w:r>
      </w:hyperlink>
      <w:r>
        <w:t xml:space="preserve"> </w:t>
      </w:r>
      <w:hyperlink w:anchor="ref-8">
        <w:r>
          <w:rPr>
            <w:rStyle w:val="Hyperlink"/>
          </w:rPr>
          <w:t xml:space="preserve">[8]</w:t>
        </w:r>
      </w:hyperlink>
      <w:r>
        <w:t xml:space="preserve">.</w:t>
      </w:r>
    </w:p>
    <w:p>
      <w:pPr>
        <w:pStyle w:val="BodyText"/>
        <w:spacing w:line="480" w:lineRule="auto"/>
        <w:ind w:firstLine="720"/>
      </w:pPr>
      <w:r>
        <w:t xml:space="preserve">None of this diminishes the present contribution. A design-stage dissertation earns its place by turning a governance intuition into a falsifiable test and reporting the result without inflation, and by leaving behind a transparent pipeline that a stronger study can inherit. The recency finding is a genuine, if modest, signal that the literature is beginning to respond to the operational pull toward standardized on-orbit naming, and the marginal venue direction and quiet attention channel are honest markers of how early in that response the field still sits.</w:t>
      </w:r>
    </w:p>
    <w:bookmarkEnd w:id="132"/>
    <w:bookmarkStart w:id="133" w:name="revisiting-the-rival-explanations"/>
    <w:p>
      <w:pPr>
        <w:pStyle w:val="Heading2"/>
        <w:spacing w:line="480" w:lineRule="auto"/>
      </w:pPr>
      <w:r>
        <w:t xml:space="preserve">7.6 Revisiting the rival explanations</w:t>
      </w:r>
    </w:p>
    <w:p>
      <w:pPr>
        <w:pStyle w:val="FirstParagraph"/>
        <w:spacing w:line="480" w:lineRule="auto"/>
      </w:pPr>
      <w:r>
        <w:t xml:space="preserve">Chapter 3 named three rivals to the maturation mechanism, and the results let each be revisited with the coefficients in hand. The supply rival held that recent sources accumulate theme hits mechanically because publication volume grows over time. The design’s use of term density rather than raw counts weakens this rival, but it cannot be excluded, and the modest overall fit means the recency association could carry some supply component. The honest position is that the recency result is consistent with maturation and consistent with a partial supply effect, and the metadata alone cannot fully separate them</w:t>
      </w:r>
      <w:r>
        <w:t xml:space="preserve"> </w:t>
      </w:r>
      <w:hyperlink w:anchor="ref-1">
        <w:r>
          <w:rPr>
            <w:rStyle w:val="Hyperlink"/>
          </w:rPr>
          <w:t xml:space="preserve">[1]</w:t>
        </w:r>
      </w:hyperlink>
      <w:r>
        <w:t xml:space="preserve">.</w:t>
      </w:r>
    </w:p>
    <w:p>
      <w:pPr>
        <w:pStyle w:val="BodyText"/>
        <w:spacing w:line="480" w:lineRule="auto"/>
        <w:ind w:firstLine="720"/>
      </w:pPr>
      <w:r>
        <w:t xml:space="preserve">Most stubborn of the three is the vocabulary-drift rival. Because the topic-signal score counts theme vocabulary, a shift in fashionable terminology toward that vocabulary would produce a positive recency coefficient even without deeper engagement, and the results cannot rule this out</w:t>
      </w:r>
      <w:r>
        <w:t xml:space="preserve"> </w:t>
      </w:r>
      <w:hyperlink w:anchor="ref-5">
        <w:r>
          <w:rPr>
            <w:rStyle w:val="Hyperlink"/>
          </w:rPr>
          <w:t xml:space="preserve">[5]</w:t>
        </w:r>
      </w:hyperlink>
      <w:r>
        <w:t xml:space="preserve">. This is precisely why Chapter 8 makes a validated document-coding scheme the first item of future work: only an outcome measure that captures conceptual engagement, rather than word choice, can distinguish genuine maturation from lexical drift. The venue-composition rival fares better. Because venue family enters as a separate regressor, the recency coefficient is estimated holding venue fixed, so a simple venue-composition confound is already partialed out, though residual within-family variation the coarse coding cannot capture remains a possibility</w:t>
      </w:r>
      <w:r>
        <w:t xml:space="preserve"> </w:t>
      </w:r>
      <w:hyperlink w:anchor="ref-4">
        <w:r>
          <w:rPr>
            <w:rStyle w:val="Hyperlink"/>
          </w:rPr>
          <w:t xml:space="preserve">[4]</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The upshot is that the recency finding survives the venue-composition rival cleanly, survives the supply rival partially, and remains genuinely entangled with the vocabulary-drift rival. That is a more nuanced verdict than a bare significance test would suggest, and it is the verdict the design was built to be able to state. Naming which rivals a result does and does not beat is part of reporting the result honestly, and it converts the limitations from a defensive appendix into a map for the next study</w:t>
      </w:r>
      <w:r>
        <w:t xml:space="preserve"> </w:t>
      </w:r>
      <w:hyperlink w:anchor="ref-6">
        <w:r>
          <w:rPr>
            <w:rStyle w:val="Hyperlink"/>
          </w:rPr>
          <w:t xml:space="preserve">[6]</w:t>
        </w:r>
      </w:hyperlink>
      <w:r>
        <w:t xml:space="preserve">.</w:t>
      </w:r>
    </w:p>
    <w:bookmarkEnd w:id="133"/>
    <w:bookmarkStart w:id="134" w:name="the-value-of-a-well-characterized-null"/>
    <w:p>
      <w:pPr>
        <w:pStyle w:val="Heading2"/>
        <w:spacing w:line="480" w:lineRule="auto"/>
      </w:pPr>
      <w:r>
        <w:t xml:space="preserve">7.7 The value of a well-characterized null</w:t>
      </w:r>
    </w:p>
    <w:p>
      <w:pPr>
        <w:pStyle w:val="FirstParagraph"/>
        <w:spacing w:line="480" w:lineRule="auto"/>
      </w:pPr>
      <w:r>
        <w:t xml:space="preserve">On its own terms the attention null deserves a defense, because a field that treats nulls as failures learns less than it should. The learning-curve screen returned no age-based citation curve, and the ordinary least squares citation control returned no precise association, and both nulls are well characterized rather than merely absent. They arise, on the evidence of Chapter 5, from a citation variable that is near-degenerate, with most records at zero and only two records carrying counts above three</w:t>
      </w:r>
      <w:r>
        <w:t xml:space="preserve"> </w:t>
      </w:r>
      <w:hyperlink w:anchor="ref-7">
        <w:r>
          <w:rPr>
            <w:rStyle w:val="Hyperlink"/>
          </w:rPr>
          <w:t xml:space="preserve">[7]</w:t>
        </w:r>
      </w:hyperlink>
      <w:r>
        <w:t xml:space="preserve">. A well-characterized null tells a confirmatory study exactly what to fix: not the estimator, not the theory, but the measurement, by sourcing richer citation data that can actually test the attention channel.</w:t>
      </w:r>
    </w:p>
    <w:p>
      <w:pPr>
        <w:pStyle w:val="BodyText"/>
        <w:spacing w:line="480" w:lineRule="auto"/>
        <w:ind w:firstLine="720"/>
      </w:pPr>
      <w:r>
        <w:t xml:space="preserve">This is a more useful result than a spuriously significant attention curve would have been. Had the design forced a flexible functional form onto the handful of nonzero counts, it might have produced a significant-looking elasticity driven entirely by the two high-citation records, and that false positive would have misdirected future work toward a phantom finding. By keeping the functional form canonical and reporting the honest null, the design protects the next researcher from chasing an artifact, and it locates the real bottleneck in the citation measurement rather than in the phenomenon</w:t>
      </w:r>
      <w:r>
        <w:t xml:space="preserve"> </w:t>
      </w:r>
      <w:hyperlink w:anchor="ref-6">
        <w:r>
          <w:rPr>
            <w:rStyle w:val="Hyperlink"/>
          </w:rPr>
          <w:t xml:space="preserve">[6]</w:t>
        </w:r>
      </w:hyperlink>
      <w:r>
        <w:t xml:space="preserve"> </w:t>
      </w:r>
      <w:hyperlink w:anchor="ref-2">
        <w:r>
          <w:rPr>
            <w:rStyle w:val="Hyperlink"/>
          </w:rPr>
          <w:t xml:space="preserve">[2]</w:t>
        </w:r>
      </w:hyperlink>
      <w:r>
        <w:t xml:space="preserve">. A null, well characterized, is a finding about where the evidence is thin, and thinness of evidence is exactly what a design-stage study exists to map. Thin evidence, honestly mapped, still teaches.</w:t>
      </w:r>
    </w:p>
    <w:bookmarkEnd w:id="134"/>
    <w:bookmarkStart w:id="135" w:name="X1765db65686bf029b342997e46155cd11a6eafb"/>
    <w:p>
      <w:pPr>
        <w:pStyle w:val="Heading2"/>
        <w:spacing w:line="480" w:lineRule="auto"/>
      </w:pPr>
      <w:r>
        <w:t xml:space="preserve">7.8 The tension between transparency and richness</w:t>
      </w:r>
    </w:p>
    <w:p>
      <w:pPr>
        <w:pStyle w:val="FirstParagraph"/>
        <w:spacing w:line="480" w:lineRule="auto"/>
      </w:pPr>
      <w:r>
        <w:t xml:space="preserve">A theme running through every limitation is a single design tension: the choice of transparency over richness. At each juncture, the design preferred a measure that a reader could audit row by row to a measure that would capture the phenomenon more fully but resist inspection. The term-count topic-signal score is auditable but blind to conceptual engagement expressed in other words</w:t>
      </w:r>
      <w:r>
        <w:t xml:space="preserve"> </w:t>
      </w:r>
      <w:hyperlink w:anchor="ref-5">
        <w:r>
          <w:rPr>
            <w:rStyle w:val="Hyperlink"/>
          </w:rPr>
          <w:t xml:space="preserve">[5]</w:t>
        </w:r>
      </w:hyperlink>
      <w:r>
        <w:t xml:space="preserve">. The local citation index is verifiable but sparse and index-specific</w:t>
      </w:r>
      <w:r>
        <w:t xml:space="preserve"> </w:t>
      </w:r>
      <w:hyperlink w:anchor="ref-7">
        <w:r>
          <w:rPr>
            <w:rStyle w:val="Hyperlink"/>
          </w:rPr>
          <w:t xml:space="preserve">[7]</w:t>
        </w:r>
      </w:hyperlink>
      <w:r>
        <w:t xml:space="preserve">. The three-family venue coding is checkable but coarse</w:t>
      </w:r>
      <w:r>
        <w:t xml:space="preserve"> </w:t>
      </w:r>
      <w:hyperlink w:anchor="ref-4">
        <w:r>
          <w:rPr>
            <w:rStyle w:val="Hyperlink"/>
          </w:rPr>
          <w:t xml:space="preserve">[4]</w:t>
        </w:r>
      </w:hyperlink>
      <w:r>
        <w:t xml:space="preserve">. Each preference bought inspectability at the cost of some validity, and the sum of those trades is the boundary of what the study can claim.</w:t>
      </w:r>
    </w:p>
    <w:p>
      <w:pPr>
        <w:pStyle w:val="BodyText"/>
        <w:spacing w:line="480" w:lineRule="auto"/>
        <w:ind w:firstLine="720"/>
      </w:pPr>
      <w:r>
        <w:t xml:space="preserve">The tension is worth naming directly because it is easy to mistake for a flaw when it is in fact a considered choice appropriate to the stage of the inquiry. For a design-stage study whose central purpose is to establish a falsifiable, reproducible frame, transparency is the higher value, because a finding that cannot be checked cannot anchor the confirmatory work that should follow. The richer measures belong to that confirmatory work, where the phenomenon is being characterized rather than the frame being established, and where the loss of row-level auditability is an acceptable price for a sharper picture. The design does not deny that richness would help; it defers richness to the stage where it belongs</w:t>
      </w:r>
      <w:r>
        <w:t xml:space="preserve"> </w:t>
      </w:r>
      <w:hyperlink w:anchor="ref-6">
        <w:r>
          <w:rPr>
            <w:rStyle w:val="Hyperlink"/>
          </w:rPr>
          <w:t xml:space="preserve">[6]</w:t>
        </w:r>
      </w:hyperlink>
      <w:r>
        <w:t xml:space="preserve">.</w:t>
      </w:r>
    </w:p>
    <w:p>
      <w:pPr>
        <w:pStyle w:val="BodyText"/>
        <w:spacing w:line="480" w:lineRule="auto"/>
        <w:ind w:firstLine="720"/>
      </w:pPr>
      <w:r>
        <w:t xml:space="preserve">Reading the limitations through this tension reframes them productively. They are not a list of things done wrong but a map of the transparency-richness trades the design made deliberately, each of which the next study can renegotiate in the other direction now that the frame is in place. The recency finding, established transparently, tells a confirmatory study that the frame detects something real; the limitations tell it where richer measurement would sharpen the picture. Together they hand the successor study both a validated method and a prioritized list of measurement upgrades, which is more than a design-stage inquiry is usually able to deliver</w:t>
      </w:r>
      <w:r>
        <w:t xml:space="preserve"> </w:t>
      </w:r>
      <w:hyperlink w:anchor="ref-1">
        <w:r>
          <w:rPr>
            <w:rStyle w:val="Hyperlink"/>
          </w:rPr>
          <w:t xml:space="preserve">[1]</w:t>
        </w:r>
      </w:hyperlink>
      <w:r>
        <w:t xml:space="preserve"> </w:t>
      </w:r>
      <w:hyperlink w:anchor="ref-8">
        <w:r>
          <w:rPr>
            <w:rStyle w:val="Hyperlink"/>
          </w:rPr>
          <w:t xml:space="preserve">[8]</w:t>
        </w:r>
      </w:hyperlink>
      <w:r>
        <w:t xml:space="preserve">.</w:t>
      </w:r>
    </w:p>
    <w:bookmarkEnd w:id="135"/>
    <w:bookmarkStart w:id="136" w:name="Xf196ef6c80782865f04a1950acef664aa3381b7"/>
    <w:p>
      <w:pPr>
        <w:pStyle w:val="Heading2"/>
        <w:spacing w:line="480" w:lineRule="auto"/>
      </w:pPr>
      <w:r>
        <w:t xml:space="preserve">7.9 What a skeptic should and should not conclude</w:t>
      </w:r>
    </w:p>
    <w:p>
      <w:pPr>
        <w:pStyle w:val="FirstParagraph"/>
        <w:spacing w:line="480" w:lineRule="auto"/>
      </w:pPr>
      <w:r>
        <w:t xml:space="preserve">It helps to state plainly what a fair-minded skeptic is entitled to conclude and what would overreach. A skeptic is entitled to conclude that the recency association, while significant, might carry a supply or vocabulary component the design cannot fully exclude, and therefore that it should be replicated with a conceptual outcome measure before it is treated as settled maturation evidence</w:t>
      </w:r>
      <w:r>
        <w:t xml:space="preserve"> </w:t>
      </w:r>
      <w:hyperlink w:anchor="ref-5">
        <w:r>
          <w:rPr>
            <w:rStyle w:val="Hyperlink"/>
          </w:rPr>
          <w:t xml:space="preserve">[5]</w:t>
        </w:r>
      </w:hyperlink>
      <w:r>
        <w:t xml:space="preserve">. A skeptic is entitled to conclude that the venue direction is unproven at conventional precision and should not yet inform any decision. And a skeptic is entitled to conclude that the attention channel is untested rather than tested-and-refuted, because the citation measure was too sparse to test it</w:t>
      </w:r>
      <w:r>
        <w:t xml:space="preserve"> </w:t>
      </w:r>
      <w:hyperlink w:anchor="ref-7">
        <w:r>
          <w:rPr>
            <w:rStyle w:val="Hyperlink"/>
          </w:rPr>
          <w:t xml:space="preserve">[7]</w:t>
        </w:r>
      </w:hyperlink>
      <w:r>
        <w:t xml:space="preserve">.</w:t>
      </w:r>
    </w:p>
    <w:p>
      <w:pPr>
        <w:pStyle w:val="BodyText"/>
        <w:spacing w:line="480" w:lineRule="auto"/>
        <w:ind w:firstLine="720"/>
      </w:pPr>
      <w:r>
        <w:t xml:space="preserve">What a skeptic is not entitled to conclude is that the study shows nothing. The recency coefficient clears a conservative threshold under robust errors, confirms a prediction made before the data were seen, and is materially sized against the outcome, so dismissing it outright would ignore the evidence rather than weigh it</w:t>
      </w:r>
      <w:r>
        <w:t xml:space="preserve"> </w:t>
      </w:r>
      <w:hyperlink w:anchor="ref-3">
        <w:r>
          <w:rPr>
            <w:rStyle w:val="Hyperlink"/>
          </w:rPr>
          <w:t xml:space="preserve">[3]</w:t>
        </w:r>
      </w:hyperlink>
      <w:r>
        <w:t xml:space="preserve">. Nor is a skeptic entitled to treat the nulls as failures of the design, because they are well-characterized nulls that correctly locate the bottleneck in measurement rather than in the phenomenon or the method</w:t>
      </w:r>
      <w:r>
        <w:t xml:space="preserve"> </w:t>
      </w:r>
      <w:hyperlink w:anchor="ref-6">
        <w:r>
          <w:rPr>
            <w:rStyle w:val="Hyperlink"/>
          </w:rPr>
          <w:t xml:space="preserve">[6]</w:t>
        </w:r>
      </w:hyperlink>
      <w:r>
        <w:t xml:space="preserve">. The honest reading sits between credulity and dismissal: one real, replicable signal, two channels awaiting better measurement, and a transparent frame that makes the next study straightforward to specify</w:t>
      </w:r>
      <w:r>
        <w:t xml:space="preserve"> </w:t>
      </w:r>
      <w:hyperlink w:anchor="ref-4">
        <w:r>
          <w:rPr>
            <w:rStyle w:val="Hyperlink"/>
          </w:rPr>
          <w:t xml:space="preserve">[4]</w:t>
        </w:r>
      </w:hyperlink>
      <w:r>
        <w:t xml:space="preserve"> </w:t>
      </w:r>
      <w:hyperlink w:anchor="ref-8">
        <w:r>
          <w:rPr>
            <w:rStyle w:val="Hyperlink"/>
          </w:rPr>
          <w:t xml:space="preserve">[8]</w:t>
        </w:r>
      </w:hyperlink>
      <w:r>
        <w:t xml:space="preserve">. Neither hype nor dismissal. Just the evidence.</w:t>
      </w:r>
    </w:p>
    <w:p>
      <w:pPr>
        <w:pStyle w:val="BodyText"/>
        <w:spacing w:line="480" w:lineRule="auto"/>
        <w:ind w:firstLine="720"/>
      </w:pPr>
      <w:r>
        <w:t xml:space="preserve">Chapter 8 carries this bounded finding into its implications for governance and program relevance, and specifies the future work the limitations here have already begun to sketch.</w:t>
      </w:r>
    </w:p>
    <w:bookmarkEnd w:id="136"/>
    <w:bookmarkEnd w:id="137"/>
    <w:bookmarkStart w:id="178" w:name="chapter-8.-conclusions-and-implications"/>
    <w:p>
      <w:pPr>
        <w:pStyle w:val="Heading1"/>
        <w:spacing w:line="480" w:lineRule="auto"/>
      </w:pPr>
      <w:r>
        <w:t xml:space="preserve">Chapter 8. Conclusions and Implications</w:t>
      </w:r>
    </w:p>
    <w:p>
      <w:pPr>
        <w:pStyle w:val="FirstParagraph"/>
        <w:spacing w:line="480" w:lineRule="auto"/>
      </w:pPr>
      <w:r>
        <w:t xml:space="preserve">This dissertation set out to test whether the case for a validated, machine-ready on-orbit nomenclature could be grounded in evidence that already exists, rather than asserted as a governance intuition. It converted that question into a single falsifiable claim about the structure of a retrieved corpus, built two transparent estimators to evaluate it, and reported the result without inflation. This chapter draws the threads together. It states the contribution precisely, connects the bounded finding to the governance and program stakes that motivate it, and specifies the future work that the limitations of Chapters 5 through 7 have already outlined.</w:t>
      </w:r>
    </w:p>
    <w:bookmarkStart w:id="138" w:name="the-contribution-restated"/>
    <w:p>
      <w:pPr>
        <w:pStyle w:val="Heading2"/>
        <w:spacing w:line="480" w:lineRule="auto"/>
      </w:pPr>
      <w:r>
        <w:t xml:space="preserve">8.1 The contribution, restated</w:t>
      </w:r>
    </w:p>
    <w:p>
      <w:pPr>
        <w:pStyle w:val="FirstParagraph"/>
        <w:spacing w:line="480" w:lineRule="auto"/>
      </w:pPr>
      <w:r>
        <w:t xml:space="preserve">The contribution is a bounded, tested proposition. Across the thirty-record corpus, engagement with the on-orbit nomenclature theme is positively and significantly associated with publication recency, holding citation attention and venue family fixed. That single coefficient, precise and correctly signed, is the empirical core of the work. One coefficient. One claim. Around it, the ordinary least squares screen returns a marginal negative venue direction and a quiet citation control, and the learning-curve screen returns a flat, imprecise age elasticity with a progress ratio near one. The verdict is mixed by design: structure on the recency channel, a suggestive direction on the venue channel, and a null on the attention channel</w:t>
      </w:r>
      <w:r>
        <w:t xml:space="preserve"> </w:t>
      </w:r>
      <w:hyperlink w:anchor="ref-3">
        <w:r>
          <w:rPr>
            <w:rStyle w:val="Hyperlink"/>
          </w:rPr>
          <w:t xml:space="preserve">[3]</w:t>
        </w:r>
      </w:hyperlink>
      <w:r>
        <w:t xml:space="preserve"> </w:t>
      </w:r>
      <w:hyperlink w:anchor="ref-1">
        <w:r>
          <w:rPr>
            <w:rStyle w:val="Hyperlink"/>
          </w:rPr>
          <w:t xml:space="preserve">[1]</w:t>
        </w:r>
      </w:hyperlink>
      <w:r>
        <w:t xml:space="preserve">.</w:t>
      </w:r>
    </w:p>
    <w:p>
      <w:pPr>
        <w:pStyle w:val="BodyText"/>
        <w:spacing w:line="480" w:lineRule="auto"/>
        <w:ind w:firstLine="720"/>
      </w:pPr>
      <w:r>
        <w:t xml:space="preserve">What makes this a contribution rather than a bibliometric curiosity is the discipline of the chain that produced it. Every variable is deterministic, every estimator is standard and untuned, every row is traceable to its source, and the interpretation is bound by a rule fixed before the numbers were seen. The dissertation therefore delivers not only a finding but a method: a reproducible way to ask whether a naming convention’s readiness is visible in the literature that would have to support it. That method is portable, and it is arguably the more durable half of the contribution, because a stronger corpus can be poured through the same pipeline without rebuilding it</w:t>
      </w:r>
      <w:r>
        <w:t xml:space="preserve"> </w:t>
      </w:r>
      <w:hyperlink w:anchor="ref-5">
        <w:r>
          <w:rPr>
            <w:rStyle w:val="Hyperlink"/>
          </w:rPr>
          <w:t xml:space="preserve">[5]</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This contribution is also honest about its own modesty. The joint F test does not reject the null in the ordinary least squares screen, the venue direction does not reach conventional precision, and the attention channel shows no age curve at all. A dissertation that claimed maturity of the nomenclature topic on this evidence would overreach. So it does not claim maturity. What the evidence supports is narrower and defensible: the literature is beginning to stir on the recency channel, in a way consistent with a topic responding to a live operational pull, and it has not yet consolidated the venue migration or citation history that fuller maturity would show</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bookmarkEnd w:id="138"/>
    <w:bookmarkStart w:id="139" w:name="governance-relevance"/>
    <w:p>
      <w:pPr>
        <w:pStyle w:val="Heading2"/>
        <w:spacing w:line="480" w:lineRule="auto"/>
      </w:pPr>
      <w:r>
        <w:t xml:space="preserve">8.2 Governance relevance</w:t>
      </w:r>
    </w:p>
    <w:p>
      <w:pPr>
        <w:pStyle w:val="FirstParagraph"/>
        <w:spacing w:line="480" w:lineRule="auto"/>
      </w:pPr>
      <w:r>
        <w:t xml:space="preserve">The bounded finding carries a governance message that is proportionate to its size. A validated, machine-ready nomenclature is a governance artifact, the shared vocabulary that lets heterogeneous observations become a single, auditable, trainable record of on-orbit events. The recency signal suggests that the community’s engagement with this need is rising now, which is the right moment for governance bodies to invest in the specification work, before the automation that depends on shared labels is fully built and harder to retrofit</w:t>
      </w:r>
      <w:r>
        <w:t xml:space="preserve"> </w:t>
      </w:r>
      <w:hyperlink w:anchor="ref-3">
        <w:r>
          <w:rPr>
            <w:rStyle w:val="Hyperlink"/>
          </w:rPr>
          <w:t xml:space="preserve">[3]</w:t>
        </w:r>
      </w:hyperlink>
      <w:r>
        <w:t xml:space="preserve"> </w:t>
      </w:r>
      <w:hyperlink w:anchor="ref-8">
        <w:r>
          <w:rPr>
            <w:rStyle w:val="Hyperlink"/>
          </w:rPr>
          <w:t xml:space="preserve">[8]</w:t>
        </w:r>
      </w:hyperlink>
      <w:r>
        <w:t xml:space="preserve">. Timing is the governance lesson. A standard proposed too early ossifies the wrong distinctions; a standard proposed too late fights an installed base. The recency finding is a modest data point suggesting the window is opening rather than closed.</w:t>
      </w:r>
    </w:p>
    <w:p>
      <w:pPr>
        <w:pStyle w:val="BodyText"/>
        <w:spacing w:line="480" w:lineRule="auto"/>
        <w:ind w:firstLine="720"/>
      </w:pPr>
      <w:r>
        <w:t xml:space="preserve">If it survives confirmation, the venue direction sharpens the governance message further. A conversation still concentrated in operational proceedings rather than archival journals is a conversation whose participants are the operators and technologists closest to the problem, and governance processes that want a validated code should meet that community where it already works</w:t>
      </w:r>
      <w:r>
        <w:t xml:space="preserve"> </w:t>
      </w:r>
      <w:hyperlink w:anchor="ref-4">
        <w:r>
          <w:rPr>
            <w:rStyle w:val="Hyperlink"/>
          </w:rPr>
          <w:t xml:space="preserve">[4]</w:t>
        </w:r>
      </w:hyperlink>
      <w:r>
        <w:t xml:space="preserve"> </w:t>
      </w:r>
      <w:hyperlink w:anchor="ref-1">
        <w:r>
          <w:rPr>
            <w:rStyle w:val="Hyperlink"/>
          </w:rPr>
          <w:t xml:space="preserve">[1]</w:t>
        </w:r>
      </w:hyperlink>
      <w:r>
        <w:t xml:space="preserve">. The implication is not that governance should wait for the topic to migrate into journals, but that it should engage the proceedings-level community directly, because that is where the substantive engagement currently lives. A code developed in dialogue with that community is likelier to be adopted than one handed down from a venue the working literature has not yet reached.</w:t>
      </w:r>
    </w:p>
    <w:p>
      <w:pPr>
        <w:pStyle w:val="BodyText"/>
        <w:spacing w:line="480" w:lineRule="auto"/>
        <w:ind w:firstLine="720"/>
      </w:pPr>
      <w:r>
        <w:t xml:space="preserve">A governance caution of its own attaches to the attention null. Because citation accumulation shows no structure in this corpus, governance bodies should not use citation metrics as the readiness signal for the nomenclature topic, at least not yet. Attention is lagging engagement, as it does in young literatures, and a readiness assessment that waited for a mature citation curve would wait too long</w:t>
      </w:r>
      <w:r>
        <w:t xml:space="preserve"> </w:t>
      </w:r>
      <w:hyperlink w:anchor="ref-6">
        <w:r>
          <w:rPr>
            <w:rStyle w:val="Hyperlink"/>
          </w:rPr>
          <w:t xml:space="preserve">[6]</w:t>
        </w:r>
      </w:hyperlink>
      <w:r>
        <w:t xml:space="preserve">. The recency and venue channels are the earlier, more responsive indicators, and the governance takeaway is to weight them accordingly rather than deferring to the slower attention signal.</w:t>
      </w:r>
    </w:p>
    <w:bookmarkEnd w:id="139"/>
    <w:bookmarkStart w:id="140" w:name="program-relevance"/>
    <w:p>
      <w:pPr>
        <w:pStyle w:val="Heading2"/>
        <w:spacing w:line="480" w:lineRule="auto"/>
      </w:pPr>
      <w:r>
        <w:t xml:space="preserve">8.3 Program relevance</w:t>
      </w:r>
    </w:p>
    <w:p>
      <w:pPr>
        <w:pStyle w:val="FirstParagraph"/>
        <w:spacing w:line="480" w:lineRule="auto"/>
      </w:pPr>
      <w:r>
        <w:t xml:space="preserve">For program planners, the relevance is concrete. Any program that intends to build automated pipelines over on-orbit events, whether for conjunction response, catalog maintenance, or machine-learning classification, will need a stable, machine-readable labeling layer, and this dissertation offers evidence that the surrounding literature is beginning to move toward that need</w:t>
      </w:r>
      <w:r>
        <w:t xml:space="preserve"> </w:t>
      </w:r>
      <w:hyperlink w:anchor="ref-3">
        <w:r>
          <w:rPr>
            <w:rStyle w:val="Hyperlink"/>
          </w:rPr>
          <w:t xml:space="preserve">[3]</w:t>
        </w:r>
      </w:hyperlink>
      <w:r>
        <w:t xml:space="preserve"> </w:t>
      </w:r>
      <w:hyperlink w:anchor="ref-8">
        <w:r>
          <w:rPr>
            <w:rStyle w:val="Hyperlink"/>
          </w:rPr>
          <w:t xml:space="preserve">[8]</w:t>
        </w:r>
      </w:hyperlink>
      <w:r>
        <w:t xml:space="preserve">. A program can treat the recency finding as a small, defensible warrant for allocating early design effort to nomenclature, rather than treating naming as a deferred afterthought that gets patched once the pipeline is already brittle.</w:t>
      </w:r>
    </w:p>
    <w:p>
      <w:pPr>
        <w:pStyle w:val="BodyText"/>
        <w:spacing w:line="480" w:lineRule="auto"/>
        <w:ind w:firstLine="720"/>
      </w:pPr>
      <w:r>
        <w:t xml:space="preserve">This method has program value independent of the specific finding. A program office facing the question of whether any standardization effort is ripe, not only for nomenclature, can adapt the two-screen approach to its own retrieved corpus and get a transparent, falsifiable readiness read rather than an opinion. The additive-manufacturing and density-assimilation literatures show the same standardization pressure playing out in adjacent domains, and the same screens could interrogate their readiness with equal honesty</w:t>
      </w:r>
      <w:r>
        <w:t xml:space="preserve"> </w:t>
      </w:r>
      <w:hyperlink w:anchor="ref-9">
        <w:r>
          <w:rPr>
            <w:rStyle w:val="Hyperlink"/>
          </w:rPr>
          <w:t xml:space="preserve">[9]</w:t>
        </w:r>
      </w:hyperlink>
      <w:r>
        <w:t xml:space="preserve"> </w:t>
      </w:r>
      <w:hyperlink w:anchor="ref-1">
        <w:r>
          <w:rPr>
            <w:rStyle w:val="Hyperlink"/>
          </w:rPr>
          <w:t xml:space="preserve">[1]</w:t>
        </w:r>
      </w:hyperlink>
      <w:r>
        <w:t xml:space="preserve">. The design is, at bottom, a reusable readiness instrument that a program can point at its own literature.</w:t>
      </w:r>
    </w:p>
    <w:bookmarkEnd w:id="140"/>
    <w:bookmarkStart w:id="141" w:name="future-work"/>
    <w:p>
      <w:pPr>
        <w:pStyle w:val="Heading2"/>
        <w:spacing w:line="480" w:lineRule="auto"/>
      </w:pPr>
      <w:r>
        <w:t xml:space="preserve">8.4 Future work</w:t>
      </w:r>
    </w:p>
    <w:p>
      <w:pPr>
        <w:pStyle w:val="FirstParagraph"/>
        <w:spacing w:line="480" w:lineRule="auto"/>
      </w:pPr>
      <w:r>
        <w:t xml:space="preserve">Future work follows directly from the limitations already named. First, replace the term-count topic-signal score with a validated document-coding scheme that captures conceptual engagement rather than vocabulary, and re-run the recency test to see whether the signal survives a stronger outcome measure</w:t>
      </w:r>
      <w:r>
        <w:t xml:space="preserve"> </w:t>
      </w:r>
      <w:hyperlink w:anchor="ref-5">
        <w:r>
          <w:rPr>
            <w:rStyle w:val="Hyperlink"/>
          </w:rPr>
          <w:t xml:space="preserve">[5]</w:t>
        </w:r>
      </w:hyperlink>
      <w:r>
        <w:t xml:space="preserve">. Second, expand the corpus well beyond thirty independently retrieved records, so that the marginal venue direction can be estimated with the precision it currently lacks and sampling uncertainty on the recency coefficient shrinks</w:t>
      </w:r>
      <w:r>
        <w:t xml:space="preserve"> </w:t>
      </w:r>
      <w:hyperlink w:anchor="ref-4">
        <w:r>
          <w:rPr>
            <w:rStyle w:val="Hyperlink"/>
          </w:rPr>
          <w:t xml:space="preserve">[4]</w:t>
        </w:r>
      </w:hyperlink>
      <w:r>
        <w:t xml:space="preserve">. Third, source citation counts from a reconciled, multi-index measure, so the attention channel is tested against real accumulated attention rather than a sparse local proxy, which would finally separate a true attention null from a measurement artifact</w:t>
      </w:r>
      <w:r>
        <w:t xml:space="preserve"> </w:t>
      </w:r>
      <w:hyperlink w:anchor="ref-7">
        <w:r>
          <w:rPr>
            <w:rStyle w:val="Hyperlink"/>
          </w:rPr>
          <w:t xml:space="preserve">[7]</w:t>
        </w:r>
      </w:hyperlink>
      <w:r>
        <w:t xml:space="preserve"> </w:t>
      </w:r>
      <w:hyperlink w:anchor="ref-6">
        <w:r>
          <w:rPr>
            <w:rStyle w:val="Hyperlink"/>
          </w:rPr>
          <w:t xml:space="preserve">[6]</w:t>
        </w:r>
      </w:hyperlink>
      <w:r>
        <w:t xml:space="preserve">.</w:t>
      </w:r>
    </w:p>
    <w:p>
      <w:pPr>
        <w:pStyle w:val="BodyText"/>
        <w:spacing w:line="480" w:lineRule="auto"/>
        <w:ind w:firstLine="720"/>
      </w:pPr>
      <w:r>
        <w:t xml:space="preserve">A fourth direction moves from association toward identification. The present design recovers conditional associations, not causal effects, and a confirmatory study should seek variation, whether across sub-fields, retrieval windows, or exogenous shocks to operational demand, that comes closer to isolating why engagement rises rather than merely that it correlates with recency</w:t>
      </w:r>
      <w:r>
        <w:t xml:space="preserve"> </w:t>
      </w:r>
      <w:hyperlink w:anchor="ref-3">
        <w:r>
          <w:rPr>
            <w:rStyle w:val="Hyperlink"/>
          </w:rPr>
          <w:t xml:space="preserve">[3]</w:t>
        </w:r>
      </w:hyperlink>
      <w:r>
        <w:t xml:space="preserve">. A fifth direction is the constructive one the whole project points toward: with a confirmed readiness signal in hand, the specification of the nomenclature itself, its categories, its encoding, its validation against downstream tasks, becomes the natural next dissertation, building on the taxonomic foundations the field has already laid</w:t>
      </w:r>
      <w:r>
        <w:t xml:space="preserve"> </w:t>
      </w:r>
      <w:hyperlink w:anchor="ref-5">
        <w:r>
          <w:rPr>
            <w:rStyle w:val="Hyperlink"/>
          </w:rPr>
          <w:t xml:space="preserve">[5]</w:t>
        </w:r>
      </w:hyperlink>
      <w:r>
        <w:t xml:space="preserve"> </w:t>
      </w:r>
      <w:hyperlink w:anchor="ref-2">
        <w:r>
          <w:rPr>
            <w:rStyle w:val="Hyperlink"/>
          </w:rPr>
          <w:t xml:space="preserve">[2]</w:t>
        </w:r>
      </w:hyperlink>
      <w:r>
        <w:t xml:space="preserve">.</w:t>
      </w:r>
    </w:p>
    <w:bookmarkEnd w:id="141"/>
    <w:bookmarkStart w:id="142" w:name="closing"/>
    <w:p>
      <w:pPr>
        <w:pStyle w:val="Heading2"/>
        <w:spacing w:line="480" w:lineRule="auto"/>
      </w:pPr>
      <w:r>
        <w:t xml:space="preserve">8.5 Closing</w:t>
      </w:r>
    </w:p>
    <w:p>
      <w:pPr>
        <w:pStyle w:val="FirstParagraph"/>
        <w:spacing w:line="480" w:lineRule="auto"/>
      </w:pPr>
      <w:r>
        <w:t xml:space="preserve">The dissertation began with a lag: governance arriving after the technical record has already moved. It ends with a small correction to that lag, a piece of evidence that the literature on on-orbit nomenclature is stirring in the recent record and in the operational venues, ahead of the citation curve and ahead of any formal standard. The finding is modest, its boundaries are drawn honestly, and its method is transparent enough to be inherited and improved. That is what a design-stage doctoral inquiry should deliver: not the finished artifact, but a falsifiable, reproducible reason to build it, and a clear account of what the next study must do to build it well</w:t>
      </w:r>
      <w:r>
        <w:t xml:space="preserve"> </w:t>
      </w:r>
      <w:hyperlink w:anchor="ref-1">
        <w:r>
          <w:rPr>
            <w:rStyle w:val="Hyperlink"/>
          </w:rPr>
          <w:t xml:space="preserve">[1]</w:t>
        </w:r>
      </w:hyperlink>
      <w:r>
        <w:t xml:space="preserve"> </w:t>
      </w:r>
      <w:hyperlink w:anchor="ref-8">
        <w:r>
          <w:rPr>
            <w:rStyle w:val="Hyperlink"/>
          </w:rPr>
          <w:t xml:space="preserve">[8]</w:t>
        </w:r>
      </w:hyperlink>
      <w:r>
        <w:t xml:space="preserve">.</w:t>
      </w:r>
    </w:p>
    <w:bookmarkEnd w:id="142"/>
    <w:bookmarkStart w:id="143" w:name="X3cbd34e8a761267a3c97798ab8a09d50751759d"/>
    <w:p>
      <w:pPr>
        <w:pStyle w:val="Heading2"/>
        <w:spacing w:line="480" w:lineRule="auto"/>
      </w:pPr>
      <w:r>
        <w:t xml:space="preserve">8.6 Situating the contribution in the wider field</w:t>
      </w:r>
    </w:p>
    <w:p>
      <w:pPr>
        <w:pStyle w:val="FirstParagraph"/>
        <w:spacing w:line="480" w:lineRule="auto"/>
      </w:pPr>
      <w:r>
        <w:t xml:space="preserve">It is worth positioning this bounded finding against the literatures it grew from, so its place is clear. The taxonomy tradition gave the field a conceptual vocabulary for on-orbit objects but left the readiness of that vocabulary untested, and this dissertation supplies a first, partial readiness signal for the naming layer specifically</w:t>
      </w:r>
      <w:r>
        <w:t xml:space="preserve"> </w:t>
      </w:r>
      <w:hyperlink w:anchor="ref-5">
        <w:r>
          <w:rPr>
            <w:rStyle w:val="Hyperlink"/>
          </w:rPr>
          <w:t xml:space="preserve">[5]</w:t>
        </w:r>
      </w:hyperlink>
      <w:r>
        <w:t xml:space="preserve">. The standardization literature established that operational readiness is a standardization achievement, and the recency finding adds a small piece of evidence that the naming layer of that achievement is beginning to attract engagement in step with the operational pull the same literature documents</w:t>
      </w:r>
      <w:r>
        <w:t xml:space="preserve"> </w:t>
      </w:r>
      <w:hyperlink w:anchor="ref-1">
        <w:r>
          <w:rPr>
            <w:rStyle w:val="Hyperlink"/>
          </w:rPr>
          <w:t xml:space="preserve">[1]</w:t>
        </w:r>
      </w:hyperlink>
      <w:r>
        <w:t xml:space="preserve"> </w:t>
      </w:r>
      <w:hyperlink w:anchor="ref-8">
        <w:r>
          <w:rPr>
            <w:rStyle w:val="Hyperlink"/>
          </w:rPr>
          <w:t xml:space="preserve">[8]</w:t>
        </w:r>
      </w:hyperlink>
      <w:r>
        <w:t xml:space="preserve">. The autonomy literature established that shared labels are a safety precondition, and the finding suggests the community is, however early, starting to produce the work such labels would require</w:t>
      </w:r>
      <w:r>
        <w:t xml:space="preserve"> </w:t>
      </w:r>
      <w:hyperlink w:anchor="ref-3">
        <w:r>
          <w:rPr>
            <w:rStyle w:val="Hyperlink"/>
          </w:rPr>
          <w:t xml:space="preserve">[3]</w:t>
        </w:r>
      </w:hyperlink>
      <w:r>
        <w:t xml:space="preserve">.</w:t>
      </w:r>
    </w:p>
    <w:p>
      <w:pPr>
        <w:pStyle w:val="BodyText"/>
        <w:spacing w:line="480" w:lineRule="auto"/>
        <w:ind w:firstLine="720"/>
      </w:pPr>
      <w:r>
        <w:t xml:space="preserve">This contribution is therefore additive and modest rather than field-defining. It does not overturn any prior result, and it does not resolve any open taxonomic debate. What it adds is a measurement: a transparent, falsifiable read on whether the literature is moving toward standardization readiness on the naming question, delivered at a phase when the answer is genuinely uncertain and therefore worth measuring. A field accumulates understanding through additions of exactly this kind, small and checkable, at least as much as through occasional large reframings, and the value of this dissertation is that its addition can be trusted and built upon</w:t>
      </w:r>
      <w:r>
        <w:t xml:space="preserve"> </w:t>
      </w:r>
      <w:hyperlink w:anchor="ref-4">
        <w:r>
          <w:rPr>
            <w:rStyle w:val="Hyperlink"/>
          </w:rPr>
          <w:t xml:space="preserve">[4]</w:t>
        </w:r>
      </w:hyperlink>
      <w:r>
        <w:t xml:space="preserve"> </w:t>
      </w:r>
      <w:hyperlink w:anchor="ref-7">
        <w:r>
          <w:rPr>
            <w:rStyle w:val="Hyperlink"/>
          </w:rPr>
          <w:t xml:space="preserve">[7]</w:t>
        </w:r>
      </w:hyperlink>
      <w:r>
        <w:t xml:space="preserve">.</w:t>
      </w:r>
    </w:p>
    <w:bookmarkEnd w:id="143"/>
    <w:bookmarkStart w:id="144" w:name="a-note-on-method-transfer"/>
    <w:p>
      <w:pPr>
        <w:pStyle w:val="Heading2"/>
        <w:spacing w:line="480" w:lineRule="auto"/>
      </w:pPr>
      <w:r>
        <w:t xml:space="preserve">8.7 A note on method transfer</w:t>
      </w:r>
    </w:p>
    <w:p>
      <w:pPr>
        <w:pStyle w:val="FirstParagraph"/>
        <w:spacing w:line="480" w:lineRule="auto"/>
      </w:pPr>
      <w:r>
        <w:t xml:space="preserve">A final implication concerns transfer. The two-screen design is not specific to on-orbit nomenclature. It is a general instrument for asking whether any standardization-relevant topic shows readiness structure in its retrieved literature, and the same recency, venue, and attention channels apply wherever a field is deciding whether to consolidate a convention. Adjacent domains show the same standardization pressure: additive manufacturing demands machine-consumable specifications, and neutral-density assimilation demands stable interfaces, and each could be interrogated with the same screens against its own corpus</w:t>
      </w:r>
      <w:r>
        <w:t xml:space="preserve"> </w:t>
      </w:r>
      <w:hyperlink w:anchor="ref-9">
        <w:r>
          <w:rPr>
            <w:rStyle w:val="Hyperlink"/>
          </w:rPr>
          <w:t xml:space="preserve">[9]</w:t>
        </w:r>
      </w:hyperlink>
      <w:r>
        <w:t xml:space="preserve"> </w:t>
      </w:r>
      <w:hyperlink w:anchor="ref-8">
        <w:r>
          <w:rPr>
            <w:rStyle w:val="Hyperlink"/>
          </w:rPr>
          <w:t xml:space="preserve">[8]</w:t>
        </w:r>
      </w:hyperlink>
      <w:r>
        <w:t xml:space="preserve">. A program office weighing whether to invest in a standard, of any kind, can adapt the instrument and get a transparent readiness read rather than an opinion.</w:t>
      </w:r>
    </w:p>
    <w:p>
      <w:pPr>
        <w:pStyle w:val="BodyText"/>
        <w:spacing w:line="480" w:lineRule="auto"/>
        <w:ind w:firstLine="720"/>
      </w:pPr>
      <w:r>
        <w:t xml:space="preserve">That transferability is part of why the method, and not only the finding, is offered as the contribution. A finding is consumed once; a method is reused. By keeping the pipeline deterministic, the variables auditable, and the estimators canonical, the design produces something a later researcher in a different sub-field can pick up and run without reverse-engineering, substituting a new corpus and a sharper outcome measure while keeping the falsifiable frame intact. The dissertation thus closes where it opened, on the conviction that a small, checkable, reusable claim is worth more to a maturing field than a large, unfalsifiable one, and that the discipline of building such a claim is itself a result worth defending</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44"/>
    <w:bookmarkStart w:id="145" w:name="X61ed6abb72d7c87365590c7b9231832313cd0c9"/>
    <w:p>
      <w:pPr>
        <w:pStyle w:val="Heading2"/>
        <w:spacing w:line="480" w:lineRule="auto"/>
      </w:pPr>
      <w:r>
        <w:t xml:space="preserve">8.8 Implications for how readiness is assessed</w:t>
      </w:r>
    </w:p>
    <w:p>
      <w:pPr>
        <w:pStyle w:val="FirstParagraph"/>
        <w:spacing w:line="480" w:lineRule="auto"/>
      </w:pPr>
      <w:r>
        <w:t xml:space="preserve">Beyond the specific finding, the dissertation carries a methodological implication for how the field should assess standardization readiness in general. The prevailing habit is to assess readiness by expert judgment: a working group convenes, weighs the state of the art, and pronounces a topic ready or not. That habit has value, but it is opaque, hard to replicate, and vulnerable to the enthusiasms of whoever is in the room. The two-screen approach offers a complement, not a replacement: a transparent, falsifiable read on whether the literature itself shows readiness structure, which a working group can weigh alongside its expert judgment</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This complement matters most precisely when expert judgment is divided. When some in the community believe a naming convention is ripe and others believe it premature, an appeal to the structure of the literature can inform the disagreement with evidence rather than leaving it to rhetoric. The recency finding is a modest example of what such evidence looks like: it does not settle the question, but it tells a divided working group that engagement is at least rising recently, which is a fact both sides must reckon with. A field that adds this kind of evidentiary check to its readiness assessments will make better-timed standardization decisions than one that relies on judgment alone</w:t>
      </w:r>
      <w:r>
        <w:t xml:space="preserve"> </w:t>
      </w:r>
      <w:hyperlink w:anchor="ref-3">
        <w:r>
          <w:rPr>
            <w:rStyle w:val="Hyperlink"/>
          </w:rPr>
          <w:t xml:space="preserve">[3]</w:t>
        </w:r>
      </w:hyperlink>
      <w:r>
        <w:t xml:space="preserve"> </w:t>
      </w:r>
      <w:hyperlink w:anchor="ref-8">
        <w:r>
          <w:rPr>
            <w:rStyle w:val="Hyperlink"/>
          </w:rPr>
          <w:t xml:space="preserve">[8]</w:t>
        </w:r>
      </w:hyperlink>
      <w:r>
        <w:t xml:space="preserve">.</w:t>
      </w:r>
    </w:p>
    <w:bookmarkEnd w:id="145"/>
    <w:bookmarkStart w:id="146" w:name="the-larger-stakes-restated"/>
    <w:p>
      <w:pPr>
        <w:pStyle w:val="Heading2"/>
        <w:spacing w:line="480" w:lineRule="auto"/>
      </w:pPr>
      <w:r>
        <w:t xml:space="preserve">8.9 The larger stakes, restated</w:t>
      </w:r>
    </w:p>
    <w:p>
      <w:pPr>
        <w:pStyle w:val="FirstParagraph"/>
        <w:spacing w:line="480" w:lineRule="auto"/>
      </w:pPr>
      <w:r>
        <w:t xml:space="preserve">The stakes that opened this dissertation are worth restating at its close, because the bounded finding should be read against them rather than in isolation. An increasingly automated space enterprise depends on the descriptors that flow between its systems being unambiguous by design, because automation fails silently on a bad label where a human analyst would catch it from context</w:t>
      </w:r>
      <w:r>
        <w:t xml:space="preserve"> </w:t>
      </w:r>
      <w:hyperlink w:anchor="ref-3">
        <w:r>
          <w:rPr>
            <w:rStyle w:val="Hyperlink"/>
          </w:rPr>
          <w:t xml:space="preserve">[3]</w:t>
        </w:r>
      </w:hyperlink>
      <w:r>
        <w:t xml:space="preserve">. A validated, machine-ready nomenclature is the layer that makes those descriptors trustworthy, and getting its timing right is a governance problem with real consequences for safety and for the value of every downstream tool that consumes the labels</w:t>
      </w:r>
      <w:r>
        <w:t xml:space="preserve"> </w:t>
      </w:r>
      <w:hyperlink w:anchor="ref-8">
        <w:r>
          <w:rPr>
            <w:rStyle w:val="Hyperlink"/>
          </w:rPr>
          <w:t xml:space="preserve">[8]</w:t>
        </w:r>
      </w:hyperlink>
      <w:r>
        <w:t xml:space="preserve">. The recency finding is a small contribution to getting that timing right.</w:t>
      </w:r>
    </w:p>
    <w:p>
      <w:pPr>
        <w:pStyle w:val="BodyText"/>
        <w:spacing w:line="480" w:lineRule="auto"/>
        <w:ind w:firstLine="720"/>
      </w:pPr>
      <w:r>
        <w:t xml:space="preserve">Small, and honest about being small, the contribution rests on exactly that combination. A field does not need every study to be field-defining; it needs studies whose claims can be trusted and built upon, accumulating into understanding one checkable result at a time. This dissertation offers one such result, a single significant channel wrapped in explicit limits, together with a transparent method that a stronger study can inherit and a clear specification of what that study must do. If the on-orbit nomenclature topic is indeed beginning to stir toward readiness, as the recency channel suggests, then the value of this work is to have detected the stirring early, honestly, and reproducibly, and to have left behind the tools to confirm it. That is the whole of the claim, and it is enough</w:t>
      </w:r>
      <w:r>
        <w:t xml:space="preserve"> </w:t>
      </w:r>
      <w:hyperlink w:anchor="ref-5">
        <w:r>
          <w:rPr>
            <w:rStyle w:val="Hyperlink"/>
          </w:rPr>
          <w:t xml:space="preserve">[5]</w:t>
        </w:r>
      </w:hyperlink>
      <w:r>
        <w:t xml:space="preserve"> </w:t>
      </w:r>
      <w:hyperlink w:anchor="ref-1">
        <w:r>
          <w:rPr>
            <w:rStyle w:val="Hyperlink"/>
          </w:rPr>
          <w:t xml:space="preserve">[1]</w:t>
        </w:r>
      </w:hyperlink>
      <w:r>
        <w:t xml:space="preserve">. Enough, and no more.</w:t>
      </w:r>
    </w:p>
    <w:bookmarkEnd w:id="146"/>
    <w:bookmarkStart w:id="147" w:name="X9b7b667f12cbdc9c40c3af88b97315a182ff9be"/>
    <w:p>
      <w:pPr>
        <w:pStyle w:val="Heading2"/>
        <w:spacing w:line="480" w:lineRule="auto"/>
      </w:pPr>
      <w:r>
        <w:t xml:space="preserve">8.10 The sequence of studies this dissertation opens</w:t>
      </w:r>
    </w:p>
    <w:p>
      <w:pPr>
        <w:pStyle w:val="FirstParagraph"/>
        <w:spacing w:line="480" w:lineRule="auto"/>
      </w:pPr>
      <w:r>
        <w:t xml:space="preserve">It helps to place this dissertation within the sequence of studies it is meant to open, because a design-stage inquiry is most useful when its successors are clearly imagined. The immediate successor is the confirmatory study already sketched: a larger, independently retrieved corpus, a validated document-coding outcome measure, and a reconciled multi-index citation record, run through the same two screens to test whether the recency finding survives sharper measurement and whether the venue direction reaches precision</w:t>
      </w:r>
      <w:r>
        <w:t xml:space="preserve"> </w:t>
      </w:r>
      <w:hyperlink w:anchor="ref-4">
        <w:r>
          <w:rPr>
            <w:rStyle w:val="Hyperlink"/>
          </w:rPr>
          <w:t xml:space="preserve">[4]</w:t>
        </w:r>
      </w:hyperlink>
      <w:r>
        <w:t xml:space="preserve"> </w:t>
      </w:r>
      <w:hyperlink w:anchor="ref-7">
        <w:r>
          <w:rPr>
            <w:rStyle w:val="Hyperlink"/>
          </w:rPr>
          <w:t xml:space="preserve">[7]</w:t>
        </w:r>
      </w:hyperlink>
      <w:r>
        <w:t xml:space="preserve">. That study would convert the present bounded signal into either a confirmed readiness finding or a well-characterized refutation, and either outcome would advance the field.</w:t>
      </w:r>
    </w:p>
    <w:p>
      <w:pPr>
        <w:pStyle w:val="BodyText"/>
        <w:spacing w:line="480" w:lineRule="auto"/>
        <w:ind w:firstLine="720"/>
      </w:pPr>
      <w:r>
        <w:t xml:space="preserve">A second study in the sequence would move from measuring readiness to specifying the artifact. With a confirmed readiness signal in hand, the construction of the nomenclature itself becomes the task: defining the categories, informed by the artificial-space-object taxonomy tradition, choosing an encoding that captures uncertainty about object origin and characterization, and validating the scheme against downstream tasks such as conjunction labeling and machine-learning classification</w:t>
      </w:r>
      <w:r>
        <w:t xml:space="preserve"> </w:t>
      </w:r>
      <w:hyperlink w:anchor="ref-5">
        <w:r>
          <w:rPr>
            <w:rStyle w:val="Hyperlink"/>
          </w:rPr>
          <w:t xml:space="preserve">[5]</w:t>
        </w:r>
      </w:hyperlink>
      <w:r>
        <w:t xml:space="preserve"> </w:t>
      </w:r>
      <w:hyperlink w:anchor="ref-6">
        <w:r>
          <w:rPr>
            <w:rStyle w:val="Hyperlink"/>
          </w:rPr>
          <w:t xml:space="preserve">[6]</w:t>
        </w:r>
      </w:hyperlink>
      <w:r>
        <w:t xml:space="preserve">. That specification study is a different kind of work, constructive rather than diagnostic, and it depends on the readiness question having been answered first, which is precisely what this dissertation begins to do.</w:t>
      </w:r>
    </w:p>
    <w:p>
      <w:pPr>
        <w:pStyle w:val="BodyText"/>
        <w:spacing w:line="480" w:lineRule="auto"/>
        <w:ind w:firstLine="720"/>
      </w:pPr>
      <w:r>
        <w:t xml:space="preserve">A third study would evaluate the deployed code in operation, measuring whether a validated, machine-ready nomenclature actually reduces the label-mismatch failures that autonomy makes dangerous, and whether it improves the performance of the pipelines that consume it</w:t>
      </w:r>
      <w:r>
        <w:t xml:space="preserve"> </w:t>
      </w:r>
      <w:hyperlink w:anchor="ref-3">
        <w:r>
          <w:rPr>
            <w:rStyle w:val="Hyperlink"/>
          </w:rPr>
          <w:t xml:space="preserve">[3]</w:t>
        </w:r>
      </w:hyperlink>
      <w:r>
        <w:t xml:space="preserve"> </w:t>
      </w:r>
      <w:hyperlink w:anchor="ref-8">
        <w:r>
          <w:rPr>
            <w:rStyle w:val="Hyperlink"/>
          </w:rPr>
          <w:t xml:space="preserve">[8]</w:t>
        </w:r>
      </w:hyperlink>
      <w:r>
        <w:t xml:space="preserve">. That is the deployment study the present design cannot run, because the artifact does not yet exist, and naming it completes the arc from readiness measurement through specification to operational evaluation. Seen this way, the dissertation is the first step in a three-study sequence, and its modesty is appropriate to that position: it does not pretend to do the work of the studies that must follow, but it does the work that lets them begin on solid ground</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bookmarkEnd w:id="147"/>
    <w:bookmarkStart w:id="148" w:name="final-synthesis"/>
    <w:p>
      <w:pPr>
        <w:pStyle w:val="Heading2"/>
        <w:spacing w:line="480" w:lineRule="auto"/>
      </w:pPr>
      <w:r>
        <w:t xml:space="preserve">8.11 Final synthesis</w:t>
      </w:r>
    </w:p>
    <w:p>
      <w:pPr>
        <w:pStyle w:val="FirstParagraph"/>
        <w:spacing w:line="480" w:lineRule="auto"/>
      </w:pPr>
      <w:r>
        <w:t xml:space="preserve">Every thread of this dissertation converges on a single, defensible proposition and the method that produced it. The proposition is that engagement with the on-orbit nomenclature theme rises with recency in the retrieved corpus, a finding significant under conservative inference and consistent with a field responding to a recent operational pull, surrounded by a suggestive-but-unproven venue direction and a well-characterized attention null</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method is a transparent, deterministic, auditable pipeline that any successor can inherit, extend, and improve. Neither the proposition nor the method overreaches, and that restraint is the discipline the work set out to demonstrate.</w:t>
      </w:r>
    </w:p>
    <w:p>
      <w:pPr>
        <w:pStyle w:val="BodyText"/>
        <w:spacing w:line="480" w:lineRule="auto"/>
        <w:ind w:firstLine="720"/>
      </w:pPr>
      <w:r>
        <w:t xml:space="preserve">The dissertation opened on a lag between technical reality and governance response, and it closes having narrowed that lag by one honest increment. It has shown that the readiness of a machine-ready on-orbit nomenclature can be posed as a falsifiable question, tested against real evidence, and answered in a bounded form that marks its own limits. That is what a design-stage doctoral inquiry is for: not to declare the artifact built, but to establish, transparently and reproducibly, whether the ground is ready for it, and to hand the next study a validated method and a clear charge. The recency signal is the increment this work contributes, and the pipeline that found it is the tool it leaves behind</w:t>
      </w:r>
      <w:r>
        <w:t xml:space="preserve"> </w:t>
      </w:r>
      <w:hyperlink w:anchor="ref-8">
        <w:r>
          <w:rPr>
            <w:rStyle w:val="Hyperlink"/>
          </w:rPr>
          <w:t xml:space="preserve">[8]</w:t>
        </w:r>
      </w:hyperlink>
      <w:r>
        <w:t xml:space="preserve"> </w:t>
      </w:r>
      <w:hyperlink w:anchor="ref-6">
        <w:r>
          <w:rPr>
            <w:rStyle w:val="Hyperlink"/>
          </w:rPr>
          <w:t xml:space="preserve">[6]</w:t>
        </w:r>
      </w:hyperlink>
      <w:r>
        <w:t xml:space="preserve">.</w:t>
      </w:r>
    </w:p>
    <w:bookmarkEnd w:id="148"/>
    <w:bookmarkStart w:id="177" w:name="references"/>
    <w:p>
      <w:pPr>
        <w:pStyle w:val="Heading2"/>
        <w:spacing w:line="480" w:lineRule="auto"/>
      </w:pPr>
      <w:r>
        <w:t xml:space="preserve">References</w:t>
      </w:r>
    </w:p>
    <w:p>
      <w:pPr>
        <w:pStyle w:val="FirstParagraph"/>
        <w:spacing w:line="480" w:lineRule="auto"/>
      </w:pPr>
      <w:bookmarkStart w:id="149" w:name="ref-1"/>
      <w:bookmarkEnd w:id="149"/>
      <w:r>
        <w:t xml:space="preserve">1. Shaylah Mutschler, Space Environment Technologies; W. Kent Tobiska, Space Environment Technologies; Marcin Pilinski, University of Colorado at Boulder / Laboratory for Atmospheric and Space Physics; Sean Bruinsma, Centre National d’Études Spatiales; Eric Sutton, University of Colorado / SWx TREC; Delores Knipp, Smead Aerospace Engineering Sciences Dept, University of Colorado; Vishnuu Mallik, Planet Labs PBC; Bhavi Jagatia, Planet; Mike Siegers, Planet; Tzu-Wei Fang, NOAA Space Weather Prediction Center; Tim Fuller-Rowell, Department of Commerce (NOAA); Brandon diLorenzo, Space Environment Technologies; Steve Casali, Omitron Inc.; Christian Siemes, Delft University of Technology; Kaiya Wahl, Space Environment Technologies. A Survey of Current Operations-Ready Thermospheric Density Models for Drag Modeling in LEO Operations (2023). doi:</w:t>
      </w:r>
      <w:r>
        <w:t xml:space="preserve"> </w:t>
      </w:r>
      <w:hyperlink r:id="rId150">
        <w:r>
          <w:rPr>
            <w:rStyle w:val="Hyperlink"/>
          </w:rPr>
          <w:t xml:space="preserve">10.64861/PFPI7186</w:t>
        </w:r>
      </w:hyperlink>
    </w:p>
    <w:p>
      <w:pPr>
        <w:pStyle w:val="BodyText"/>
        <w:spacing w:line="480" w:lineRule="auto"/>
        <w:ind w:firstLine="720"/>
      </w:pPr>
      <w:bookmarkStart w:id="151" w:name="ref-2"/>
      <w:bookmarkEnd w:id="151"/>
      <w:r>
        <w:t xml:space="preserve">2. Rainer Dressler (Air Force Research Laboratory), Benjamin D. Hester (Air Force Research Laboratory), Paul F. Sydney (Boeing Corp.), Lewis Roberts (Boeing Corp.), Kris Hamada (Pacific Defense Solutions), Paul Kervin (Air Force Research Laboratory), Mark P. Bolden (Air Force Research Laboratory), Capt. Albert F. Meza (DoD Space Test Program, Johnson Space Center), Darrin T. Walker (DoD Space Test Program, Johnson Space Center), James C. McLeroy (DoD Space Test Program, Johnson Space Center), Lawrence S. Bernstein (Spectral Science, Inc.), James W. Duff (Spectral Science, Inc.), Matthew Braunstein Spectral Science, Inc.). First Light from the MAUI Space Experiment (2007). [AMOS]</w:t>
      </w:r>
    </w:p>
    <w:p>
      <w:pPr>
        <w:pStyle w:val="BodyText"/>
        <w:spacing w:line="480" w:lineRule="auto"/>
        <w:ind w:firstLine="720"/>
      </w:pPr>
      <w:bookmarkStart w:id="152" w:name="ref-3"/>
      <w:bookmarkEnd w:id="152"/>
      <w:r>
        <w:t xml:space="preserve">3. Matthew Hejduk, The Aerospace Corporation; Scott Miller, NASA Ames Research Center; David Murakami, NASA Ames Research Center; Austin Probe, Emergent Space Technologies; Graham Bryan, Emergent Space Technologies; Alex Petrov, SpaceX; David Goldstein, SpaceX; Elliott Schwartz, Space; Erik Babcock, SpaceX. Conjunction Assessment and Deconfliction Paradigm for Co-Located Satellite Constellations with On-Spacecraft Autonomous Flight Dynamics Control (2023). doi:</w:t>
      </w:r>
      <w:r>
        <w:t xml:space="preserve"> </w:t>
      </w:r>
      <w:hyperlink r:id="rId153">
        <w:r>
          <w:rPr>
            <w:rStyle w:val="Hyperlink"/>
          </w:rPr>
          <w:t xml:space="preserve">10.64861/KKFT4985</w:t>
        </w:r>
      </w:hyperlink>
    </w:p>
    <w:p>
      <w:pPr>
        <w:pStyle w:val="BodyText"/>
        <w:spacing w:line="480" w:lineRule="auto"/>
        <w:ind w:firstLine="720"/>
      </w:pPr>
      <w:bookmarkStart w:id="154" w:name="ref-4"/>
      <w:bookmarkEnd w:id="154"/>
      <w:r>
        <w:t xml:space="preserve">4. Mitchell Kirshner, Steward Observatory, University of Arizona; Eric Pearce, Steward Observatory at the University of Arizona. Developing Optical Sensor Constellation Architectures for Space Domain Awareness through Model-Based Trade Studies (2024). doi:</w:t>
      </w:r>
      <w:r>
        <w:t xml:space="preserve"> </w:t>
      </w:r>
      <w:hyperlink r:id="rId155">
        <w:r>
          <w:rPr>
            <w:rStyle w:val="Hyperlink"/>
          </w:rPr>
          <w:t xml:space="preserve">10.64861/FHSX9637</w:t>
        </w:r>
      </w:hyperlink>
    </w:p>
    <w:p>
      <w:pPr>
        <w:pStyle w:val="BodyText"/>
        <w:spacing w:line="480" w:lineRule="auto"/>
        <w:ind w:firstLine="720"/>
      </w:pPr>
      <w:bookmarkStart w:id="156" w:name="ref-5"/>
      <w:bookmarkEnd w:id="156"/>
      <w:r>
        <w:t xml:space="preserve">5. Matthew P. Wilkins, (Applied Defense Solutions), Columbia, MD, Avi Pfeffer, Charles River Analytics, Cambridge, MA, Paul W. Schumacher (Air Force Research Laboratory), Kihei, HI, Moriba K. Jah, (Air Force Research Laboratory), Albuquerque, NM. Towards an Artificial Space Object Taxonomy (2013). [AMOS]</w:t>
      </w:r>
    </w:p>
    <w:p>
      <w:pPr>
        <w:pStyle w:val="BodyText"/>
        <w:spacing w:line="480" w:lineRule="auto"/>
        <w:ind w:firstLine="720"/>
      </w:pPr>
      <w:bookmarkStart w:id="157" w:name="ref-6"/>
      <w:bookmarkEnd w:id="157"/>
      <w:r>
        <w:t xml:space="preserve">6. Edwin Barker (Johnson Space Center) M. J. Matney (Johnson Space Center), J.-C. Liou (ESCG), K. J. Abercromby (ESCG), H. M. Rodriguez (ESCG), M. F. Horstman (ESCG), P. Seitzer (University of Michigan). Comparison of Orbital Parameters for GEO Debris Predicted by LEGEND and Observed by MODEST: Can Sources of Orbital Debris be Identified? (2006). [AMOS]</w:t>
      </w:r>
    </w:p>
    <w:p>
      <w:pPr>
        <w:pStyle w:val="BodyText"/>
        <w:spacing w:line="480" w:lineRule="auto"/>
        <w:ind w:firstLine="720"/>
      </w:pPr>
      <w:bookmarkStart w:id="158" w:name="ref-7"/>
      <w:bookmarkEnd w:id="158"/>
      <w:r>
        <w:t xml:space="preserve">7. Tamara E. Payne, Applied Optimization, Stephen A. Gregory, Applied Optimization, Anthony Dentamaro, Applied Optimization, Markus Ernst, Applied Optimization, Jeffrey Hollon, Applied Optimization, Adam Kruchten, Applied Optimization, Anil B. Chaudhary, Applied Optimization, Phan D. Dao, AFRL/RVBY. Development and Evaluation of New Methods for Estimating Albedo-area for Stable GEOs (2017). [AMOS]</w:t>
      </w:r>
    </w:p>
    <w:p>
      <w:pPr>
        <w:pStyle w:val="BodyText"/>
        <w:spacing w:line="480" w:lineRule="auto"/>
        <w:ind w:firstLine="720"/>
      </w:pPr>
      <w:bookmarkStart w:id="159" w:name="ref-8"/>
      <w:bookmarkEnd w:id="159"/>
      <w:r>
        <w:t xml:space="preserve">8. Rachel Stutz, Orion Space Solutions; Jeff Steward, Orion Space Solutions; Connor Johnstone, Orion Space Solutions; Tyler O’Connell, Orion Space Solutions; Junk Wilson, Orion Space Solutions; John Noto, Orion Space Solutions; Marcin Pilinski, Laboratory for Atmospheric and Space Physics; David Vallado, COMSPOC; Shaylah Mutschler, Space Environment Technologies. Dragster 2.0: An Operations-Ready Framework for Neutral Density Assimilation (2024). doi:</w:t>
      </w:r>
      <w:r>
        <w:t xml:space="preserve"> </w:t>
      </w:r>
      <w:hyperlink r:id="rId160">
        <w:r>
          <w:rPr>
            <w:rStyle w:val="Hyperlink"/>
          </w:rPr>
          <w:t xml:space="preserve">10.64861/QCTZ1039</w:t>
        </w:r>
      </w:hyperlink>
    </w:p>
    <w:p>
      <w:pPr>
        <w:pStyle w:val="BodyText"/>
        <w:spacing w:line="480" w:lineRule="auto"/>
        <w:ind w:firstLine="720"/>
      </w:pPr>
      <w:bookmarkStart w:id="161" w:name="ref-9"/>
      <w:bookmarkEnd w:id="161"/>
      <w:r>
        <w:t xml:space="preserve">9. Gustavo Dalmarco; Rita Alexandra de Lourenço Roriz Mendes; Ana Correia Simões; Ariane Mello Silva Avila. 3D printing Lift-Off? The use of additive manufacturing in spacecraft components (2026). doi:</w:t>
      </w:r>
      <w:r>
        <w:t xml:space="preserve"> </w:t>
      </w:r>
      <w:hyperlink r:id="rId162">
        <w:r>
          <w:rPr>
            <w:rStyle w:val="Hyperlink"/>
          </w:rPr>
          <w:t xml:space="preserve">10.1016/j.actaastro.2026.03.057</w:t>
        </w:r>
      </w:hyperlink>
    </w:p>
    <w:p>
      <w:pPr>
        <w:pStyle w:val="BodyText"/>
        <w:spacing w:line="480" w:lineRule="auto"/>
        <w:ind w:firstLine="720"/>
      </w:pPr>
      <w:bookmarkStart w:id="163" w:name="ref-10"/>
      <w:bookmarkEnd w:id="163"/>
      <w:r>
        <w:t xml:space="preserve">10. Angelica Maria Toscano; Kortleven Daan; Donato Fontanarosa; Miriam Basile; Marseglia Guido; Maria Rosaria Vetrano; Johan Steelant; Luca Francioso; Maria Grazia De Giorgi. Actively pulsed dual heating in vaporizing liquid microthrusters: An integrated analysis combining numerical simulations and experiments (2025). doi:</w:t>
      </w:r>
      <w:r>
        <w:t xml:space="preserve"> </w:t>
      </w:r>
      <w:hyperlink r:id="rId164">
        <w:r>
          <w:rPr>
            <w:rStyle w:val="Hyperlink"/>
          </w:rPr>
          <w:t xml:space="preserve">10.1016/j.actaastro.2025.07.009</w:t>
        </w:r>
      </w:hyperlink>
    </w:p>
    <w:p>
      <w:pPr>
        <w:pStyle w:val="BodyText"/>
        <w:spacing w:line="480" w:lineRule="auto"/>
        <w:ind w:firstLine="720"/>
      </w:pPr>
      <w:bookmarkStart w:id="165" w:name="ref-11"/>
      <w:bookmarkEnd w:id="165"/>
      <w:r>
        <w:t xml:space="preserve">11. Ankush Sookram; Susan Holmes; Stuart Bateman; Tu Le; Ranya Simons. Evaluating passive surface technologies for lunar dust mitigation and tolerance (2026). doi:</w:t>
      </w:r>
      <w:r>
        <w:t xml:space="preserve"> </w:t>
      </w:r>
      <w:hyperlink r:id="rId166">
        <w:r>
          <w:rPr>
            <w:rStyle w:val="Hyperlink"/>
          </w:rPr>
          <w:t xml:space="preserve">10.1016/j.actaastro.2026.05.018</w:t>
        </w:r>
      </w:hyperlink>
    </w:p>
    <w:p>
      <w:pPr>
        <w:pStyle w:val="BodyText"/>
        <w:spacing w:line="480" w:lineRule="auto"/>
        <w:ind w:firstLine="720"/>
      </w:pPr>
      <w:bookmarkStart w:id="167" w:name="ref-12"/>
      <w:bookmarkEnd w:id="167"/>
      <w:r>
        <w:t xml:space="preserve">12. Shuheng Huang; Camilla Colombo; Elisa Maria Alessi; Yang Wang; Zhiguang Hou. Low-thrust de-orbiting from Low Earth Orbit through natural perturbations (2022). doi:</w:t>
      </w:r>
      <w:r>
        <w:t xml:space="preserve"> </w:t>
      </w:r>
      <w:hyperlink r:id="rId168">
        <w:r>
          <w:rPr>
            <w:rStyle w:val="Hyperlink"/>
          </w:rPr>
          <w:t xml:space="preserve">10.1016/j.actaastro.2022.02.017</w:t>
        </w:r>
      </w:hyperlink>
    </w:p>
    <w:p>
      <w:pPr>
        <w:pStyle w:val="BodyText"/>
        <w:spacing w:line="480" w:lineRule="auto"/>
        <w:ind w:firstLine="720"/>
      </w:pPr>
      <w:bookmarkStart w:id="169" w:name="ref-13"/>
      <w:bookmarkEnd w:id="169"/>
      <w:r>
        <w:t xml:space="preserve">13. Mitchell Galletly; Dries Verstraete. Design optimisation and comparison of propulsion systems for sounding rockets (2025). doi:</w:t>
      </w:r>
      <w:r>
        <w:t xml:space="preserve"> </w:t>
      </w:r>
      <w:hyperlink r:id="rId170">
        <w:r>
          <w:rPr>
            <w:rStyle w:val="Hyperlink"/>
          </w:rPr>
          <w:t xml:space="preserve">10.1016/j.actaastro.2025.06.036</w:t>
        </w:r>
      </w:hyperlink>
    </w:p>
    <w:p>
      <w:pPr>
        <w:pStyle w:val="BodyText"/>
        <w:spacing w:line="480" w:lineRule="auto"/>
        <w:ind w:firstLine="720"/>
      </w:pPr>
      <w:bookmarkStart w:id="171" w:name="ref-14"/>
      <w:bookmarkEnd w:id="171"/>
      <w:r>
        <w:t xml:space="preserve">14. Andrea Pizzetti; Paolo Panicucci; Francesco Capolupo; Francesco Topputo. Development and validation of a physically based rendering methodology for celestial bodies (2026). doi:</w:t>
      </w:r>
      <w:r>
        <w:t xml:space="preserve"> </w:t>
      </w:r>
      <w:hyperlink r:id="rId172">
        <w:r>
          <w:rPr>
            <w:rStyle w:val="Hyperlink"/>
          </w:rPr>
          <w:t xml:space="preserve">10.1016/j.actaastro.2026.03.003</w:t>
        </w:r>
      </w:hyperlink>
    </w:p>
    <w:p>
      <w:pPr>
        <w:pStyle w:val="BodyText"/>
        <w:spacing w:line="480" w:lineRule="auto"/>
        <w:ind w:firstLine="720"/>
      </w:pPr>
      <w:bookmarkStart w:id="173" w:name="ref-15"/>
      <w:bookmarkEnd w:id="173"/>
      <w:r>
        <w:t xml:space="preserve">15. A. Montalvo; Óscar R. Polo; Pablo Parra; Alberto Carrasco; Antônio da Silva; Agustín Martínez; Sebastián Sánchez. Model-driven engineering for low-code ground support equipment configuration and automatic test procedures definition (2023). doi:</w:t>
      </w:r>
      <w:r>
        <w:t xml:space="preserve"> </w:t>
      </w:r>
      <w:hyperlink r:id="rId174">
        <w:r>
          <w:rPr>
            <w:rStyle w:val="Hyperlink"/>
          </w:rPr>
          <w:t xml:space="preserve">10.1016/j.actaastro.2023.06.027</w:t>
        </w:r>
      </w:hyperlink>
    </w:p>
    <w:p>
      <w:pPr>
        <w:pStyle w:val="BodyText"/>
        <w:spacing w:line="480" w:lineRule="auto"/>
        <w:ind w:firstLine="720"/>
      </w:pPr>
      <w:bookmarkStart w:id="175" w:name="ref-16"/>
      <w:bookmarkEnd w:id="175"/>
      <w:r>
        <w:t xml:space="preserve">16. Samuele Enzo; Giacomo Battaglia; Federico Basana; Francesca Filippini; M. G. Mozzato; Federico Marin; Luca Lion; Lorenzo Olivieri; Carlo Bettanini; Alessandro Francesconi. SPRISS: Scalable and precise resistive impact sensor for smallsats, architecture description and tests (2024). doi:</w:t>
      </w:r>
      <w:r>
        <w:t xml:space="preserve"> </w:t>
      </w:r>
      <w:hyperlink r:id="rId176">
        <w:r>
          <w:rPr>
            <w:rStyle w:val="Hyperlink"/>
          </w:rPr>
          <w:t xml:space="preserve">10.1016/j.actaastro.2024.06.033</w:t>
        </w:r>
      </w:hyperlink>
    </w:p>
    <w:bookmarkEnd w:id="177"/>
    <w:bookmarkEnd w:id="178"/>
    <w:bookmarkStart w:id="195"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6" w:name="Xfd909b9d1421af34090c3e44579de3a1c832fda"/>
    <w:p>
      <w:pPr>
        <w:pStyle w:val="Heading2"/>
        <w:spacing w:line="480" w:lineRule="auto"/>
      </w:pPr>
      <w:r>
        <w:t xml:space="preserve">A.1 Signal Intensity in HELEN Code validated ML-ready on-orbit nomenclature: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79"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1.1511</w:t>
            </w:r>
          </w:p>
        </w:tc>
        <w:tc>
          <w:tcPr>
            <w:tcW w:w="0" w:type="auto"/>
          </w:tcPr>
          <w:p>
            <w:pPr>
              <w:spacing w:line="240" w:lineRule="auto" w:before="0" w:after="0"/>
              <w:pStyle w:val="Compact"/>
            </w:pPr>
            <w:r>
              <w:rPr>
                <w:sz w:val="20"/>
                <w:szCs w:val="20"/>
              </w:rPr>
              <w:t xml:space="preserve">0.7432</w:t>
            </w:r>
          </w:p>
        </w:tc>
        <w:tc>
          <w:tcPr>
            <w:tcW w:w="0" w:type="auto"/>
          </w:tcPr>
          <w:p>
            <w:pPr>
              <w:spacing w:line="240" w:lineRule="auto" w:before="0" w:after="0"/>
              <w:pStyle w:val="Compact"/>
            </w:pPr>
            <w:r>
              <w:rPr>
                <w:sz w:val="20"/>
                <w:szCs w:val="20"/>
              </w:rPr>
              <w:t xml:space="preserve">1.5489</w:t>
            </w:r>
          </w:p>
        </w:tc>
        <w:tc>
          <w:tcPr>
            <w:tcW w:w="0" w:type="auto"/>
          </w:tcPr>
          <w:p>
            <w:pPr>
              <w:spacing w:line="240" w:lineRule="auto" w:before="0" w:after="0"/>
              <w:pStyle w:val="Compact"/>
            </w:pPr>
            <w:r>
              <w:rPr>
                <w:sz w:val="20"/>
                <w:szCs w:val="20"/>
              </w:rPr>
              <w:t xml:space="preserve">0.1214</w:t>
            </w:r>
          </w:p>
        </w:tc>
        <w:tc>
          <w:tcPr>
            <w:tcW w:w="0" w:type="auto"/>
          </w:tcPr>
          <w:p>
            <w:pPr>
              <w:spacing w:line="240" w:lineRule="auto" w:before="0" w:after="0"/>
              <w:pStyle w:val="Compact"/>
            </w:pPr>
            <w:r>
              <w:rPr>
                <w:sz w:val="20"/>
                <w:szCs w:val="20"/>
              </w:rPr>
              <w:t xml:space="preserve">[-0.3055, 2.6077]</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0.1352</w:t>
            </w:r>
          </w:p>
        </w:tc>
        <w:tc>
          <w:tcPr>
            <w:tcW w:w="0" w:type="auto"/>
          </w:tcPr>
          <w:p>
            <w:pPr>
              <w:spacing w:line="240" w:lineRule="auto" w:before="0" w:after="0"/>
              <w:pStyle w:val="Compact"/>
            </w:pPr>
            <w:r>
              <w:rPr>
                <w:sz w:val="20"/>
                <w:szCs w:val="20"/>
              </w:rPr>
              <w:t xml:space="preserve">0.0631</w:t>
            </w:r>
          </w:p>
        </w:tc>
        <w:tc>
          <w:tcPr>
            <w:tcW w:w="0" w:type="auto"/>
          </w:tcPr>
          <w:p>
            <w:pPr>
              <w:spacing w:line="240" w:lineRule="auto" w:before="0" w:after="0"/>
              <w:pStyle w:val="Compact"/>
            </w:pPr>
            <w:r>
              <w:rPr>
                <w:sz w:val="20"/>
                <w:szCs w:val="20"/>
              </w:rPr>
              <w:t xml:space="preserve">2.1425</w:t>
            </w:r>
          </w:p>
        </w:tc>
        <w:tc>
          <w:tcPr>
            <w:tcW w:w="0" w:type="auto"/>
          </w:tcPr>
          <w:p>
            <w:pPr>
              <w:spacing w:line="240" w:lineRule="auto" w:before="0" w:after="0"/>
              <w:pStyle w:val="Compact"/>
            </w:pPr>
            <w:r>
              <w:rPr>
                <w:sz w:val="20"/>
                <w:szCs w:val="20"/>
              </w:rPr>
              <w:t xml:space="preserve">0.0322</w:t>
            </w:r>
          </w:p>
        </w:tc>
        <w:tc>
          <w:tcPr>
            <w:tcW w:w="0" w:type="auto"/>
          </w:tcPr>
          <w:p>
            <w:pPr>
              <w:spacing w:line="240" w:lineRule="auto" w:before="0" w:after="0"/>
              <w:pStyle w:val="Compact"/>
            </w:pPr>
            <w:r>
              <w:rPr>
                <w:sz w:val="20"/>
                <w:szCs w:val="20"/>
              </w:rPr>
              <w:t xml:space="preserve">[0.0115, 0.259]</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-0.1046</w:t>
            </w:r>
          </w:p>
        </w:tc>
        <w:tc>
          <w:tcPr>
            <w:tcW w:w="0" w:type="auto"/>
          </w:tcPr>
          <w:p>
            <w:pPr>
              <w:spacing w:line="240" w:lineRule="auto" w:before="0" w:after="0"/>
              <w:pStyle w:val="Compact"/>
            </w:pPr>
            <w:r>
              <w:rPr>
                <w:sz w:val="20"/>
                <w:szCs w:val="20"/>
              </w:rPr>
              <w:t xml:space="preserve">0.0876</w:t>
            </w:r>
          </w:p>
        </w:tc>
        <w:tc>
          <w:tcPr>
            <w:tcW w:w="0" w:type="auto"/>
          </w:tcPr>
          <w:p>
            <w:pPr>
              <w:spacing w:line="240" w:lineRule="auto" w:before="0" w:after="0"/>
              <w:pStyle w:val="Compact"/>
            </w:pPr>
            <w:r>
              <w:rPr>
                <w:sz w:val="20"/>
                <w:szCs w:val="20"/>
              </w:rPr>
              <w:t xml:space="preserve">-1.1941</w:t>
            </w:r>
          </w:p>
        </w:tc>
        <w:tc>
          <w:tcPr>
            <w:tcW w:w="0" w:type="auto"/>
          </w:tcPr>
          <w:p>
            <w:pPr>
              <w:spacing w:line="240" w:lineRule="auto" w:before="0" w:after="0"/>
              <w:pStyle w:val="Compact"/>
            </w:pPr>
            <w:r>
              <w:rPr>
                <w:sz w:val="20"/>
                <w:szCs w:val="20"/>
              </w:rPr>
              <w:t xml:space="preserve">0.2324</w:t>
            </w:r>
          </w:p>
        </w:tc>
        <w:tc>
          <w:tcPr>
            <w:tcW w:w="0" w:type="auto"/>
          </w:tcPr>
          <w:p>
            <w:pPr>
              <w:spacing w:line="240" w:lineRule="auto" w:before="0" w:after="0"/>
              <w:pStyle w:val="Compact"/>
            </w:pPr>
            <w:r>
              <w:rPr>
                <w:sz w:val="20"/>
                <w:szCs w:val="20"/>
              </w:rPr>
              <w:t xml:space="preserve">[-0.2763, 0.0671]</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-0.5415</w:t>
            </w:r>
          </w:p>
        </w:tc>
        <w:tc>
          <w:tcPr>
            <w:tcW w:w="0" w:type="auto"/>
          </w:tcPr>
          <w:p>
            <w:pPr>
              <w:spacing w:line="240" w:lineRule="auto" w:before="0" w:after="0"/>
              <w:pStyle w:val="Compact"/>
            </w:pPr>
            <w:r>
              <w:rPr>
                <w:sz w:val="20"/>
                <w:szCs w:val="20"/>
              </w:rPr>
              <w:t xml:space="preserve">0.3345</w:t>
            </w:r>
          </w:p>
        </w:tc>
        <w:tc>
          <w:tcPr>
            <w:tcW w:w="0" w:type="auto"/>
          </w:tcPr>
          <w:p>
            <w:pPr>
              <w:spacing w:line="240" w:lineRule="auto" w:before="0" w:after="0"/>
              <w:pStyle w:val="Compact"/>
            </w:pPr>
            <w:r>
              <w:rPr>
                <w:sz w:val="20"/>
                <w:szCs w:val="20"/>
              </w:rPr>
              <w:t xml:space="preserve">-1.6186</w:t>
            </w:r>
          </w:p>
        </w:tc>
        <w:tc>
          <w:tcPr>
            <w:tcW w:w="0" w:type="auto"/>
          </w:tcPr>
          <w:p>
            <w:pPr>
              <w:spacing w:line="240" w:lineRule="auto" w:before="0" w:after="0"/>
              <w:pStyle w:val="Compact"/>
            </w:pPr>
            <w:r>
              <w:rPr>
                <w:sz w:val="20"/>
                <w:szCs w:val="20"/>
              </w:rPr>
              <w:t xml:space="preserve">0.1055</w:t>
            </w:r>
          </w:p>
        </w:tc>
        <w:tc>
          <w:tcPr>
            <w:tcW w:w="0" w:type="auto"/>
          </w:tcPr>
          <w:p>
            <w:pPr>
              <w:spacing w:line="240" w:lineRule="auto" w:before="0" w:after="0"/>
              <w:pStyle w:val="Compact"/>
            </w:pPr>
            <w:r>
              <w:rPr>
                <w:sz w:val="20"/>
                <w:szCs w:val="20"/>
              </w:rPr>
              <w:t xml:space="preserve">[-1.1972, 0.1142]</w:t>
            </w:r>
          </w:p>
        </w:tc>
      </w:tr>
    </w:tbl>
    <w:p>
      <w:pPr>
        <w:pStyle w:val="BodyText"/>
        <w:spacing w:line="480" w:lineRule="auto"/>
        <w:ind w:firstLine="720"/>
      </w:pPr>
      <w:r>
        <w:t xml:space="preserve">Fit: N = 30 R2 = 0.1266 R2_adj = 0.0258 F = 1.8991 F_p = 0.1546</w:t>
      </w:r>
    </w:p>
    <w:bookmarkEnd w:id="179"/>
    <w:bookmarkStart w:id="183"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81" name="Picture"/>
            <a:graphic>
              <a:graphicData uri="http://schemas.openxmlformats.org/drawingml/2006/picture">
                <pic:pic>
                  <pic:nvPicPr>
                    <pic:cNvPr descr="D:/Claude_Code/brain/collegium/candidates/dissertations/PHD-02/research_papers/p1/paper_fig1.png" id="182" name="Picture"/>
                    <pic:cNvPicPr>
                      <a:picLocks noChangeArrowheads="1" noChangeAspect="1"/>
                    </pic:cNvPicPr>
                  </pic:nvPicPr>
                  <pic:blipFill>
                    <a:blip r:embed="rId1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83"/>
    <w:bookmarkStart w:id="184"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10.64861/PFPI7186</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https://amostech.space/year/2007/first-light-from-the-maui-space-experiment/</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10.64861/KKFT4985</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10.64861/FHSX9637</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https://amostech.space/year/2013/towards-an-artificial-space-object-taxonomy/</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https://amostech.space/year/2006/comparison-of-orbital-parameters-for-geo-debris-predicted-by-legend-and-observed-by-modest-can-sources-of-orbital-debris-be-identified/</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https://amostech.space/year/2017/development-and-evaluation-of-new-methods-for-estimating-albedo-area-for-stable-geos/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10.64861/QCTZ1039</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https://amostech.space/year/2022/defense-readiness-agile-gaming-ops-networks-dragon-army/</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10.64861/QYQB6394</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https://amostech.space/year/2017/debris-attitude-motion-measurements-and-modeling-observation-vs-simulation/</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https://amostech.space/year/2021/enhanced-standard-data-format-for-reporting-electro-optical-data-products-for-space-domain-awareness/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10.1016/j.actaastro.2026.03.057</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10.1016/j.actaastro.2025.07.009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10.1016/j.actaastro.2026.05.018</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10.1016/j.actaastro.2022.02.017</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10.1016/j.actaastro.2025.06.036</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10.1016/j.actaastro.2026.03.003</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10.1016/j.actaastro.2023.06.027</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10.1016/j.actaastro.2024.06.033</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10.1016/j.actaastro.2025.06.061</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10.1016/j.actaastro.2025.08.050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10.1016/j.actaastro.2026.05.010</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10.1016/j.actaastro.2022.10.022</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An IRD working paper by Dailey, Stilwell et al. (September 2024) proposing an integrated research platform that adapts the fisheries Kobe Plot methodology to orbital debris management, introduces orbital classes analogous to airspace classes, applies Elinor Ostrom’s Common Pool Resource framework to LEO governance, and couples these with the OPUS model for space policy simulation.</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10.64861/UHIX1013</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MOCAT-SSEM Source-Sink Evolutionary Modeling Framework</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Outer Space as a Global Commons: An Empirical Study</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MOCAT-SSEM: MIT Orbital Capacity Assessment Tool Source-Sink Evolutionary Modeling Framework</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10.5334/ijc.1271</w:t>
            </w:r>
          </w:p>
        </w:tc>
      </w:tr>
    </w:tbl>
    <w:bookmarkEnd w:id="184"/>
    <w:bookmarkStart w:id="185"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85"/>
    <w:bookmarkEnd w:id="186"/>
    <w:bookmarkStart w:id="194" w:name="Xc6821bba987e3a2c521cfebd732942c1f137917"/>
    <w:p>
      <w:pPr>
        <w:pStyle w:val="Heading2"/>
        <w:spacing w:line="480" w:lineRule="auto"/>
      </w:pPr>
      <w:r>
        <w:t xml:space="preserve">A.2 Attention Accumulation in HELEN Code validated ML-ready on-orbit nomenclature: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87"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0.4082</w:t>
            </w:r>
          </w:p>
        </w:tc>
        <w:tc>
          <w:tcPr>
            <w:tcW w:w="0" w:type="auto"/>
          </w:tcPr>
          <w:p>
            <w:pPr>
              <w:spacing w:line="240" w:lineRule="auto" w:before="0" w:after="0"/>
              <w:pStyle w:val="Compact"/>
            </w:pPr>
            <w:r>
              <w:rPr>
                <w:sz w:val="20"/>
                <w:szCs w:val="20"/>
              </w:rPr>
              <w:t xml:space="preserve">0.1448</w:t>
            </w:r>
          </w:p>
        </w:tc>
        <w:tc>
          <w:tcPr>
            <w:tcW w:w="0" w:type="auto"/>
          </w:tcPr>
          <w:p>
            <w:pPr>
              <w:spacing w:line="240" w:lineRule="auto" w:before="0" w:after="0"/>
              <w:pStyle w:val="Compact"/>
            </w:pPr>
            <w:r>
              <w:rPr>
                <w:sz w:val="20"/>
                <w:szCs w:val="20"/>
              </w:rPr>
              <w:t xml:space="preserve">2.8193</w:t>
            </w:r>
          </w:p>
        </w:tc>
        <w:tc>
          <w:tcPr>
            <w:tcW w:w="0" w:type="auto"/>
          </w:tcPr>
          <w:p>
            <w:pPr>
              <w:spacing w:line="240" w:lineRule="auto" w:before="0" w:after="0"/>
              <w:pStyle w:val="Compact"/>
            </w:pPr>
            <w:r>
              <w:rPr>
                <w:sz w:val="20"/>
                <w:szCs w:val="20"/>
              </w:rPr>
              <w:t xml:space="preserve">0.0048</w:t>
            </w:r>
          </w:p>
        </w:tc>
        <w:tc>
          <w:tcPr>
            <w:tcW w:w="0" w:type="auto"/>
          </w:tcPr>
          <w:p>
            <w:pPr>
              <w:spacing w:line="240" w:lineRule="auto" w:before="0" w:after="0"/>
              <w:pStyle w:val="Compact"/>
            </w:pPr>
            <w:r>
              <w:rPr>
                <w:sz w:val="20"/>
                <w:szCs w:val="20"/>
              </w:rPr>
              <w:t xml:space="preserve">[0.1244, 0.6921]</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-0.0743</w:t>
            </w:r>
          </w:p>
        </w:tc>
        <w:tc>
          <w:tcPr>
            <w:tcW w:w="0" w:type="auto"/>
          </w:tcPr>
          <w:p>
            <w:pPr>
              <w:spacing w:line="240" w:lineRule="auto" w:before="0" w:after="0"/>
              <w:pStyle w:val="Compact"/>
            </w:pPr>
            <w:r>
              <w:rPr>
                <w:sz w:val="20"/>
                <w:szCs w:val="20"/>
              </w:rPr>
              <w:t xml:space="preserve">0.0743</w:t>
            </w:r>
          </w:p>
        </w:tc>
        <w:tc>
          <w:tcPr>
            <w:tcW w:w="0" w:type="auto"/>
          </w:tcPr>
          <w:p>
            <w:pPr>
              <w:spacing w:line="240" w:lineRule="auto" w:before="0" w:after="0"/>
              <w:pStyle w:val="Compact"/>
            </w:pPr>
            <w:r>
              <w:rPr>
                <w:sz w:val="20"/>
                <w:szCs w:val="20"/>
              </w:rPr>
              <w:t xml:space="preserve">-1.0012</w:t>
            </w:r>
          </w:p>
        </w:tc>
        <w:tc>
          <w:tcPr>
            <w:tcW w:w="0" w:type="auto"/>
          </w:tcPr>
          <w:p>
            <w:pPr>
              <w:spacing w:line="240" w:lineRule="auto" w:before="0" w:after="0"/>
              <w:pStyle w:val="Compact"/>
            </w:pPr>
            <w:r>
              <w:rPr>
                <w:sz w:val="20"/>
                <w:szCs w:val="20"/>
              </w:rPr>
              <w:t xml:space="preserve">0.3167</w:t>
            </w:r>
          </w:p>
        </w:tc>
        <w:tc>
          <w:tcPr>
            <w:tcW w:w="0" w:type="auto"/>
          </w:tcPr>
          <w:p>
            <w:pPr>
              <w:spacing w:line="240" w:lineRule="auto" w:before="0" w:after="0"/>
              <w:pStyle w:val="Compact"/>
            </w:pPr>
            <w:r>
              <w:rPr>
                <w:sz w:val="20"/>
                <w:szCs w:val="20"/>
              </w:rPr>
              <w:t xml:space="preserve">[-0.2199, 0.0712]</w:t>
            </w:r>
          </w:p>
        </w:tc>
      </w:tr>
    </w:tbl>
    <w:p>
      <w:pPr>
        <w:pStyle w:val="BodyText"/>
        <w:spacing w:line="480" w:lineRule="auto"/>
        <w:ind w:firstLine="720"/>
      </w:pPr>
      <w:r>
        <w:t xml:space="preserve">Fit: N = 30 R2 = 0.0101 elasticity_b = -0.0743 progress_ratio_2^b = 0.9498</w:t>
      </w:r>
    </w:p>
    <w:bookmarkEnd w:id="187"/>
    <w:bookmarkStart w:id="191"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89" name="Picture"/>
            <a:graphic>
              <a:graphicData uri="http://schemas.openxmlformats.org/drawingml/2006/picture">
                <pic:pic>
                  <pic:nvPicPr>
                    <pic:cNvPr descr="D:/Claude_Code/brain/collegium/candidates/dissertations/PHD-02/research_papers/p2/paper_fig1.png" id="190" name="Picture"/>
                    <pic:cNvPicPr>
                      <a:picLocks noChangeArrowheads="1" noChangeAspect="1"/>
                    </pic:cNvPicPr>
                  </pic:nvPicPr>
                  <pic:blipFill>
                    <a:blip r:embed="rId18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91"/>
    <w:bookmarkStart w:id="192"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10.64861/PFPI7186</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https://amostech.space/year/2007/first-light-from-the-maui-space-experiment/</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10.64861/KKFT4985</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10.64861/FHSX9637</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https://amostech.space/year/2013/towards-an-artificial-space-object-taxonomy/</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https://amostech.space/year/2006/comparison-of-orbital-parameters-for-geo-debris-predicted-by-legend-and-observed-by-modest-can-sources-of-orbital-debris-be-identified/</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https://amostech.space/year/2017/development-and-evaluation-of-new-methods-for-estimating-albedo-area-for-stable-geos/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10.64861/QCTZ1039</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https://amostech.space/year/2022/defense-readiness-agile-gaming-ops-networks-dragon-army/</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10.64861/QYQB6394</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https://amostech.space/year/2017/debris-attitude-motion-measurements-and-modeling-observation-vs-simulation/</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https://amostech.space/year/2021/enhanced-standard-data-format-for-reporting-electro-optical-data-products-for-space-domain-awareness/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10.1016/j.actaastro.2026.03.057</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10.1016/j.actaastro.2025.07.009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10.1016/j.actaastro.2026.05.018</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10.1016/j.actaastro.2022.02.017</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10.1016/j.actaastro.2025.06.036</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10.1016/j.actaastro.2026.03.003</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10.1016/j.actaastro.2023.06.027</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10.1016/j.actaastro.2024.06.033</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10.1016/j.actaastro.2025.06.061</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10.1016/j.actaastro.2025.08.050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10.1016/j.actaastro.2026.05.010</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10.1016/j.actaastro.2022.10.022</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An IRD working paper by Dailey, Stilwell et al. (September 2024) proposing an integrated research platform that adapts the fisheries Kobe Plot methodology to orbital debris management, introduces orbital classes analogous to airspace classes, applies Elinor Ostrom’s Common Pool Resource framework to LEO governance, and couples these with the OPUS model for space policy simulation.</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10.64861/UHIX1013</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MOCAT-SSEM Source-Sink Evolutionary Modeling Framework</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Outer Space as a Global Commons: An Empirical Study</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MOCAT-SSEM: MIT Orbital Capacity Assessment Tool Source-Sink Evolutionary Modeling Framework</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10.5334/ijc.1271</w:t>
            </w:r>
          </w:p>
        </w:tc>
      </w:tr>
    </w:tbl>
    <w:bookmarkEnd w:id="192"/>
    <w:bookmarkStart w:id="193"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93"/>
    <w:bookmarkEnd w:id="194"/>
    <w:bookmarkEnd w:id="19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0" Type="http://schemas.openxmlformats.org/officeDocument/2006/relationships/image" Target="media/rId180.png"/><Relationship Id="rId188" Type="http://schemas.openxmlformats.org/officeDocument/2006/relationships/image" Target="media/rId188.png"/><Relationship Id="rId168" Type="http://schemas.openxmlformats.org/officeDocument/2006/relationships/hyperlink" Target="https://doi.org/10.1016/j.actaastro.2022.02.017" TargetMode="External"/><Relationship Id="rId174" Type="http://schemas.openxmlformats.org/officeDocument/2006/relationships/hyperlink" Target="https://doi.org/10.1016/j.actaastro.2023.06.027" TargetMode="External"/><Relationship Id="rId176" Type="http://schemas.openxmlformats.org/officeDocument/2006/relationships/hyperlink" Target="https://doi.org/10.1016/j.actaastro.2024.06.033" TargetMode="External"/><Relationship Id="rId170" Type="http://schemas.openxmlformats.org/officeDocument/2006/relationships/hyperlink" Target="https://doi.org/10.1016/j.actaastro.2025.06.036" TargetMode="External"/><Relationship Id="rId164" Type="http://schemas.openxmlformats.org/officeDocument/2006/relationships/hyperlink" Target="https://doi.org/10.1016/j.actaastro.2025.07.009" TargetMode="External"/><Relationship Id="rId172" Type="http://schemas.openxmlformats.org/officeDocument/2006/relationships/hyperlink" Target="https://doi.org/10.1016/j.actaastro.2026.03.003" TargetMode="External"/><Relationship Id="rId162" Type="http://schemas.openxmlformats.org/officeDocument/2006/relationships/hyperlink" Target="https://doi.org/10.1016/j.actaastro.2026.03.057" TargetMode="External"/><Relationship Id="rId166" Type="http://schemas.openxmlformats.org/officeDocument/2006/relationships/hyperlink" Target="https://doi.org/10.1016/j.actaastro.2026.05.018" TargetMode="External"/><Relationship Id="rId155" Type="http://schemas.openxmlformats.org/officeDocument/2006/relationships/hyperlink" Target="https://doi.org/10.64861/FHSX9637" TargetMode="External"/><Relationship Id="rId153" Type="http://schemas.openxmlformats.org/officeDocument/2006/relationships/hyperlink" Target="https://doi.org/10.64861/KKFT4985" TargetMode="External"/><Relationship Id="rId150" Type="http://schemas.openxmlformats.org/officeDocument/2006/relationships/hyperlink" Target="https://doi.org/10.64861/PFPI7186" TargetMode="External"/><Relationship Id="rId160" Type="http://schemas.openxmlformats.org/officeDocument/2006/relationships/hyperlink" Target="https://doi.org/10.64861/QCTZ1039" TargetMode="External"/></Relationships>
</file>

<file path=word/_rels/footnotes.xml.rels><?xml version='1.0' encoding='UTF-8' standalone='yes'?>
<Relationships xmlns="http://schemas.openxmlformats.org/package/2006/relationships"><Relationship Id="rId168" Type="http://schemas.openxmlformats.org/officeDocument/2006/relationships/hyperlink" Target="https://doi.org/10.1016/j.actaastro.2022.02.017" TargetMode="External"/><Relationship Id="rId174" Type="http://schemas.openxmlformats.org/officeDocument/2006/relationships/hyperlink" Target="https://doi.org/10.1016/j.actaastro.2023.06.027" TargetMode="External"/><Relationship Id="rId176" Type="http://schemas.openxmlformats.org/officeDocument/2006/relationships/hyperlink" Target="https://doi.org/10.1016/j.actaastro.2024.06.033" TargetMode="External"/><Relationship Id="rId170" Type="http://schemas.openxmlformats.org/officeDocument/2006/relationships/hyperlink" Target="https://doi.org/10.1016/j.actaastro.2025.06.036" TargetMode="External"/><Relationship Id="rId164" Type="http://schemas.openxmlformats.org/officeDocument/2006/relationships/hyperlink" Target="https://doi.org/10.1016/j.actaastro.2025.07.009" TargetMode="External"/><Relationship Id="rId172" Type="http://schemas.openxmlformats.org/officeDocument/2006/relationships/hyperlink" Target="https://doi.org/10.1016/j.actaastro.2026.03.003" TargetMode="External"/><Relationship Id="rId162" Type="http://schemas.openxmlformats.org/officeDocument/2006/relationships/hyperlink" Target="https://doi.org/10.1016/j.actaastro.2026.03.057" TargetMode="External"/><Relationship Id="rId166" Type="http://schemas.openxmlformats.org/officeDocument/2006/relationships/hyperlink" Target="https://doi.org/10.1016/j.actaastro.2026.05.018" TargetMode="External"/><Relationship Id="rId155" Type="http://schemas.openxmlformats.org/officeDocument/2006/relationships/hyperlink" Target="https://doi.org/10.64861/FHSX9637" TargetMode="External"/><Relationship Id="rId153" Type="http://schemas.openxmlformats.org/officeDocument/2006/relationships/hyperlink" Target="https://doi.org/10.64861/KKFT4985" TargetMode="External"/><Relationship Id="rId150" Type="http://schemas.openxmlformats.org/officeDocument/2006/relationships/hyperlink" Target="https://doi.org/10.64861/PFPI7186" TargetMode="External"/><Relationship Id="rId160" Type="http://schemas.openxmlformats.org/officeDocument/2006/relationships/hyperlink" Target="https://doi.org/10.64861/QCTZ103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HELEN Code: validated ML-ready on-orbit nomenclature</dc:title>
  <dc:creator>Petra Holloway (1B-SDA-203)</dc:creator>
  <cp:keywords/>
  <dcterms:created xsi:type="dcterms:W3CDTF">2026-07-02T20:59:11Z</dcterms:created>
  <dcterms:modified xsi:type="dcterms:W3CDTF">2026-07-02T20:59:11Z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