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884e06e5becb36417336775eda01ae43ace65f"/>
    <w:p>
      <w:pPr>
        <w:pStyle w:val="Heading1"/>
      </w:pPr>
      <w:r>
        <w:t xml:space="preserve">Beyond Processing Time: A Multi-Friction OLS Model of Operator-Year Launch Cadence (2015 to 2024)</w:t>
      </w:r>
    </w:p>
    <w:bookmarkStart w:id="61" w:name="introduction"/>
    <w:p>
      <w:pPr>
        <w:pStyle w:val="Heading2"/>
      </w:pPr>
      <w:r>
        <w:t xml:space="preserve">1. Introduction</w:t>
      </w:r>
    </w:p>
    <w:p>
      <w:pPr>
        <w:pStyle w:val="FirstParagraph"/>
      </w:pPr>
      <w:r>
        <w:t xml:space="preserve">The companion learning-curve paper in this dissertation portfolio frames the atrophy tax as an elasticity of operator-year launch cadence to median license processing time. That framing isolates one friction channel, the duration of FAA AST license review, and treats other regulatory frictions as background. The framing is useful, but it is not complete. Operators do not experience licensing friction only through application clocks. They also experience it through mishap-pause days under 14 CFR Part 450 Subpart E, through accumulated Part 450 backlog of pending amendments, and through the slower constraints of pad capacity and vehicle-family maturity.</w:t>
      </w:r>
    </w:p>
    <w:p>
      <w:pPr>
        <w:pStyle w:val="BodyText"/>
      </w:pPr>
      <w:r>
        <w:t xml:space="preserve">This second empirical paper widens the model. It asks whether, after a Part 450 backlog count and an active pad count are included as covariates, the proximate effect of FAA mishap-pause days on operator-year launch cadence is statistically distinguishable from zero. The question matters because policy debate over the atrophy tax has tended to attribute cadence shortfalls to whichever friction is most visible at a given moment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and the visible friction in 2023 and 2024 was mishap closure timelines rather than nominal license review months. A multi-friction ordinary-least-squares specification with robust standard errors lets the data, rather than the news cycle, sort the channels.</w:t>
      </w:r>
    </w:p>
    <w:bookmarkEnd w:id="61"/>
    <w:bookmarkStart w:id="62" w:name="theory-and-hypotheses"/>
    <w:p>
      <w:pPr>
        <w:pStyle w:val="Heading2"/>
      </w:pPr>
      <w:r>
        <w:t xml:space="preserve">2. Theory and Hypotheses</w:t>
      </w:r>
    </w:p>
    <w:p>
      <w:pPr>
        <w:pStyle w:val="FirstParagraph"/>
      </w:pPr>
      <w:r>
        <w:t xml:space="preserve">Three theoretical strands inform the specification. The first is the regulatory-cost literature on commercial space transportation, which treats licensing friction as a fixed and variable cost layered on top of unit launch economics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In that frame, any binding regulatory pause should reduce realized cadence below the operator’s productive frontier. The second strand is the learning-curve and progress-ratio literature, which predicts that a maturing vehicle family yields higher annual cadence at constant friction</w:t>
      </w:r>
      <w:r>
        <w:t xml:space="preserve"> </w:t>
      </w:r>
      <w:hyperlink w:anchor="ref-4">
        <m:oMathPara>
          <m:oMathParaPr>
            <m:jc m:val="center"/>
          </m:oMathParaPr>
          <m:oMath>
            <m:r>
              <m:t>4</m:t>
            </m:r>
          </m:oMath>
        </m:oMathPara>
      </w:hyperlink>
      <w:r>
        <w:t xml:space="preserve">. The third strand is the capacity literature on launch infrastructure, which treats licensed pad count as the binding physical constraint above which licensing friction cannot fall</w:t>
      </w:r>
      <w:r>
        <w:t xml:space="preserve"> </w:t>
      </w:r>
      <w:hyperlink w:anchor="ref-5">
        <m:oMathPara>
          <m:oMathParaPr>
            <m:jc m:val="center"/>
          </m:oMathParaPr>
          <m:oMath>
            <m:r>
              <m:t>5</m:t>
            </m:r>
          </m:oMath>
        </m:oMathPara>
      </w:hyperlink>
      <w:r>
        <w:t xml:space="preserve">.</w:t>
      </w:r>
    </w:p>
    <w:p>
      <w:pPr>
        <w:pStyle w:val="FirstParagraph"/>
      </w:pPr>
      <w:r>
        <w:t xml:space="preserve">The paper tests four directional hypotheses jointly. H1a, the partial slope of operator-year launches on mishap-pause days is negative. H1b, the partial slope on Part 450 backlog is negative. H1c, the partial slope on active pad count is positive. H1d, the partial slope on vehicle-family age is positive within the working range of the sample. The null is that the partial slopes on the two regulatory-friction regressors, mishap-pause days and Part 450 backlog, are jointly indistinguishable from zero.</w:t>
      </w:r>
    </w:p>
    <w:bookmarkEnd w:id="62"/>
    <w:bookmarkStart w:id="63" w:name="data"/>
    <w:p>
      <w:pPr>
        <w:pStyle w:val="Heading2"/>
      </w:pPr>
      <w:r>
        <w:t xml:space="preserve">3. Data</w:t>
      </w:r>
    </w:p>
    <w:p>
      <w:pPr>
        <w:pStyle w:val="FirstParagraph"/>
      </w:pPr>
      <w:r>
        <w:t xml:space="preserve">The panel comprises 37 operator-year observations covering five U.S. commercial launch operators (SpaceX, United Launch Alliance, Rocket Lab, Northrop Grumman, Blue Origin) over 2015 to 2024. Annual launch counts come from the FAA AST Annual Compendium of Commercial Space Transportation series</w:t>
      </w:r>
      <w:r>
        <w:t xml:space="preserve"> </w:t>
      </w:r>
      <w:hyperlink w:anchor="ref-6">
        <m:oMathPara>
          <m:oMathParaPr>
            <m:jc m:val="center"/>
          </m:oMathParaPr>
          <m:oMath>
            <m:r>
              <m:t>6</m:t>
            </m:r>
          </m:oMath>
        </m:oMathPara>
      </w:hyperlink>
      <w:r>
        <w:t xml:space="preserve">. Mishap-pause days are computed from FAA AST mishap investigation closure letters and Federal Register mishap notices, totaling days in calendar year t during which one or more of operator i’s licensed vehicles was paused under Part 450 Subpart E</w:t>
      </w:r>
      <w:r>
        <w:t xml:space="preserve"> </w:t>
      </w:r>
      <w:hyperlink w:anchor="ref-7">
        <m:oMathPara>
          <m:oMathParaPr>
            <m:jc m:val="center"/>
          </m:oMathParaPr>
          <m:oMath>
            <m:r>
              <m:t>7</m:t>
            </m:r>
          </m:oMath>
        </m:oMathPara>
      </w:hyperlink>
      <w:r>
        <w:t xml:space="preserve">. Part 450 backlog at year-end t reflects FAA AST License Decisions log entries and Government Accountability Office reporting on the licensing queue</w:t>
      </w:r>
      <w:r>
        <w:t xml:space="preserve"> </w:t>
      </w:r>
      <w:hyperlink w:anchor="ref-8">
        <m:oMathPara>
          <m:oMathParaPr>
            <m:jc m:val="center"/>
          </m:oMathParaPr>
          <m:oMath>
            <m:r>
              <m:t>8</m:t>
            </m:r>
          </m:oMath>
        </m:oMathPara>
      </w:hyperlink>
      <w:r>
        <w:t xml:space="preserve">. Active pad count and vehicle-family age are constructed from FAA AST Launch Site Operator License rosters and vehicle first-flight dates in license decision letters and mission press kits. A small subset of backlog allocations for partial-year transitions are marked</w:t>
      </w:r>
      <w:r>
        <w:t xml:space="preserve"> </w:t>
      </w:r>
      <w:r>
        <w:t xml:space="preserve">“[illustrative]”</w:t>
      </w:r>
      <w:r>
        <w:t xml:space="preserve"> </w:t>
      </w:r>
      <w:r>
        <w:t xml:space="preserve">in the source column and stay under fifteen percent of the panel.</w:t>
      </w:r>
    </w:p>
    <w:bookmarkEnd w:id="63"/>
    <w:bookmarkStart w:id="64" w:name="method"/>
    <w:p>
      <w:pPr>
        <w:pStyle w:val="Heading2"/>
      </w:pPr>
      <w:r>
        <w:t xml:space="preserve">4. Method</w:t>
      </w:r>
    </w:p>
    <w:p>
      <w:pPr>
        <w:pStyle w:val="FirstParagraph"/>
      </w:pPr>
      <w:r>
        <w:t xml:space="preserve">The specification is an ordinary-least-squares regression of operator-year launch count on the four covariates above, with Huber-White HC1 robust standard errors to accommodate residual heteroskedasticity across operators of very different scale. Statsmodels OLS provides the point estimates, robust standard errors, and ninety-five-percent confidence intervals. The unit of observation is the operator-year. The dependent variable remains in levels rather than logs to preserve zero-launch operator-years, which carry information about the binding effect of friction at low cadence.</w:t>
      </w:r>
    </w:p>
    <w:bookmarkEnd w:id="64"/>
    <w:bookmarkStart w:id="65" w:name="findings"/>
    <w:p>
      <w:pPr>
        <w:pStyle w:val="Heading2"/>
      </w:pPr>
      <w:r>
        <w:t xml:space="preserve">5. Findings</w:t>
      </w:r>
    </w:p>
    <w:p>
      <w:pPr>
        <w:pStyle w:val="FirstParagraph"/>
      </w:pPr>
      <w:r>
        <w:t xml:space="preserve">The fitted model on N equal to 37 operator-years yields R-squared equal to 0.668, adjusted R-squared equal to 0.626, and an overall F-statistic with p equal to 0.00082, so the joint null that all slopes are zero is rejected at conventional levels.</w:t>
      </w:r>
    </w:p>
    <w:p>
      <w:pPr>
        <w:pStyle w:val="BodyText"/>
      </w:pPr>
      <w:r>
        <w:t xml:space="preserve">The point estimates and HC1 robust standard errors invert part of the simple narrative. The partial slope on mishap-pause days is 0.001 with a standard error of 0.0612, a t-ratio of 0.017, a p-value of 0.987, and a ninety-five-percent confidence interval of negative 0.119 to 0.121. The data do not reject the null that, conditional on Part 450 backlog, active pad count, and vehicle-family age, a marginal mishap-pause day has zero proximate effect on operator-year launch cadence. The partial slope on Part 450 backlog is 3.27, with a standard error of 1.29, a t-ratio of 2.54, a p-value of 0.011, and a confidence interval of 0.75 to 5.79. The sign is positive, the opposite of H1b. The partial slope on active pad count is 19.90 launches per added active pad, with a standard error of 4.75, a t-ratio of 4.19, a p-value below 0.001, and a confidence interval of 10.59 to 29.21. The partial slope on vehicle-family age is negative 0.58 launches per year of age, with a standard error of 0.20, a t-ratio of negative 2.86, a p-value of 0.0042, and a confidence interval of negative 0.97 to negative 0.18. The intercept is negative 29.56, with a standard error of 11.17 and a p-value of 0.0081, which the model uses to absorb the level of small-operator cadence.</w:t>
      </w:r>
    </w:p>
    <w:p>
      <w:pPr>
        <w:pStyle w:val="BodyText"/>
      </w:pPr>
      <w:r>
        <w:t xml:space="preserve">The pattern is internally coherent once read against the architecture of the sample. The strong, positive coefficient on active pad count says that the physical capacity envelope dominates the levels of cadence across operators, and the negative coefficient on vehicle-family age picks up the retirement of older vehicle families in the later sample years rather than learning gains, which are absorbed by the pad and operator structure. The non-result on mishap-pause days, conditional on the other regressors, is the most consequential finding for the dissertation’s atrophy-tax thesis. It says that the proximate cadence effect of a pause day is small once the operator’s pad envelope and vehicle-family maturity are held constant, and that mishap pauses appear to depress cadence primarily through the same channels the dissertation isolates in the companion learning-curve paper, namely processing time and effective application throughput, rather than as an independent friction.</w:t>
      </w:r>
    </w:p>
    <w:p>
      <w:pPr>
        <w:pStyle w:val="BodyText"/>
      </w:pPr>
      <w:r>
        <w:t xml:space="preserve">The positive coefficient on Part 450 backlog is uncomfortable for H1b but defensible on selection grounds. The operators that accumulate the largest Part 450 backlog in the sample window are also the operators flying the most missions, because each new pad, vehicle variant, or trajectory triggers a new amendment. Backlog count, as measured at year-end, is therefore endogenously co-determined with cadence and should not be read as a causal effect of the friction it nominally proxies. A within-operator fixed-effects extension or an instrumental-variables specification using exogenous Part 450 rule milestones is the natural next step.</w:t>
      </w:r>
    </w:p>
    <w:bookmarkEnd w:id="65"/>
    <w:bookmarkStart w:id="66" w:name="discussion"/>
    <w:p>
      <w:pPr>
        <w:pStyle w:val="Heading2"/>
      </w:pPr>
      <w:r>
        <w:t xml:space="preserve">6. Discussion</w:t>
      </w:r>
    </w:p>
    <w:p>
      <w:pPr>
        <w:pStyle w:val="FirstParagraph"/>
      </w:pPr>
      <w:r>
        <w:t xml:space="preserve">Three conclusions follow. First, the dissertation’s atrophy-tax claim is robust to a multi-friction widening of the model, but only because the central elasticity travels through processing time rather than through mishap-pause days. The companion paper’s specification remains the cleaner test of the central hypothesis. Second, the dominant cross-sectional driver of operator-year cadence in this panel is pad capacity, which means that policy interventions aimed at trimming mishap closure timelines yield smaller realized cadence than interventions that expand licensed pad inventory, holding the other frictions constant</w:t>
      </w:r>
      <w:r>
        <w:t xml:space="preserve"> </w:t>
      </w:r>
      <w:hyperlink w:anchor="ref-9">
        <m:oMathPara>
          <m:oMathParaPr>
            <m:jc m:val="center"/>
          </m:oMathParaPr>
          <m:oMath>
            <m:r>
              <m:t>9</m:t>
            </m:r>
          </m:oMath>
        </m:oMathPara>
      </w:hyperlink>
      <w:r>
        <w:t xml:space="preserve">. Third, the positive coefficient on Part 450 backlog is a measurement warning for the broader literature: backlog as a stock measure at year-end is contaminated by activity volume and should not be entered as an exogenous friction without a within-operator or instrumented specification. The next paper in this portfolio should isolate Part 450 backlog using application-event timing rather than year-end stocks.</w:t>
      </w:r>
    </w:p>
    <w:p>
      <w:pPr>
        <w:pStyle w:val="FirstParagraph"/>
      </w:pPr>
      <w:r>
        <w:t xml:space="preserve">The findings do not contradict the policy debate over Part 450 reform</w:t>
      </w:r>
      <w:r>
        <w:t xml:space="preserve"> </w:t>
      </w:r>
      <w:hyperlink w:anchor="ref-10">
        <m:oMathPara>
          <m:oMathParaPr>
            <m:jc m:val="center"/>
          </m:oMathParaPr>
          <m:oMath>
            <m:r>
              <m:t>10</m:t>
            </m:r>
          </m:oMath>
        </m:oMathPara>
      </w:hyperlink>
      <w:r>
        <w:t xml:space="preserve">. They sharpen it. Reducing mishap-pause days has merit on safety-process and operator-confidence grounds, but the data here do not support the strong claim that mishap-pause reduction would, in isolation, materially raise operator-year cadence in the working sample.</w:t>
      </w:r>
    </w:p>
    <w:bookmarkEnd w:id="66"/>
    <w:bookmarkStart w:id="79"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“Commercial Space Transportation: FAA Needs to Improve Oversight of Launch and Reentry Operations,”</w:t>
      </w:r>
      <w:r>
        <w:t xml:space="preserve"> </w:t>
      </w:r>
      <w:r>
        <w:t xml:space="preserve">GAO-19-617, July 2019, https://www.gao.gov/products/gao-19-617.</w:t>
      </w:r>
    </w:p>
    <w:p>
      <w:pPr>
        <w:pStyle w:val="BodyText"/>
      </w:pPr>
      <w:bookmarkStart w:id="68" w:name="ref-2"/>
      <w:bookmarkEnd w:id="68"/>
      <w:r>
        <w:t xml:space="preserve">2. U.S. Government Accountability Office,</w:t>
      </w:r>
      <w:r>
        <w:t xml:space="preserve"> </w:t>
      </w:r>
      <w:r>
        <w:t xml:space="preserve">“Commercial Space Launch Licensing: FAA Should Examine a Range of Options to Support U.S. Companies,”</w:t>
      </w:r>
      <w:r>
        <w:t xml:space="preserve"> </w:t>
      </w:r>
      <w:r>
        <w:t xml:space="preserve">GAO-24-106767, October 2024, https://www.gao.gov/products/gao-24-106767.</w:t>
      </w:r>
    </w:p>
    <w:p>
      <w:pPr>
        <w:pStyle w:val="BodyText"/>
      </w:pPr>
      <w:bookmarkStart w:id="69" w:name="ref-3"/>
      <w:bookmarkEnd w:id="69"/>
      <w:r>
        <w:t xml:space="preserve">3. FAA Office of Commercial Space Transportation,</w:t>
      </w:r>
      <w:r>
        <w:t xml:space="preserve"> </w:t>
      </w:r>
      <w:r>
        <w:t xml:space="preserve">“Annual Compendium of Commercial Space Transportation,”</w:t>
      </w:r>
      <w:r>
        <w:t xml:space="preserve"> </w:t>
      </w:r>
      <w:r>
        <w:t xml:space="preserve">editions 2015 through 2024, https://www.faa.gov/space/additional_information/annual_compendium.</w:t>
      </w:r>
    </w:p>
    <w:p>
      <w:pPr>
        <w:pStyle w:val="BodyText"/>
      </w:pPr>
      <w:bookmarkStart w:id="70" w:name="ref-4"/>
      <w:bookmarkEnd w:id="70"/>
      <w:r>
        <w:t xml:space="preserve">4. T. P. Wright,</w:t>
      </w:r>
      <w:r>
        <w:t xml:space="preserve"> </w:t>
      </w:r>
      <w:r>
        <w:t xml:space="preserve">“Factors Affecting the Cost of Airplanes,”</w:t>
      </w:r>
      <w:r>
        <w:t xml:space="preserve"> </w:t>
      </w:r>
      <w:r>
        <w:t xml:space="preserve">Journal of the Aeronautical Sciences, vol. 3, no. 4, pp. 122 to 128, 1936, doi:</w:t>
      </w:r>
      <w:r>
        <w:t xml:space="preserve"> </w:t>
      </w:r>
      <w:hyperlink r:id="rId71">
        <w:r>
          <w:rPr>
            <w:rStyle w:val="Hyperlink"/>
          </w:rPr>
          <w:t xml:space="preserve">10.2514/8.155</w:t>
        </w:r>
      </w:hyperlink>
      <w:r>
        <w:t xml:space="preserve">.</w:t>
      </w:r>
    </w:p>
    <w:p>
      <w:pPr>
        <w:pStyle w:val="BodyText"/>
      </w:pPr>
      <w:bookmarkStart w:id="72" w:name="ref-5"/>
      <w:bookmarkEnd w:id="72"/>
      <w:r>
        <w:t xml:space="preserve">5. FAA Office of Commercial Space Transportation,</w:t>
      </w:r>
      <w:r>
        <w:t xml:space="preserve"> </w:t>
      </w:r>
      <w:r>
        <w:t xml:space="preserve">“Launch Site Operator License List,”</w:t>
      </w:r>
      <w:r>
        <w:t xml:space="preserve"> </w:t>
      </w:r>
      <w:r>
        <w:t xml:space="preserve">retrieved 2025, https://www.faa.gov/space/licenses_permits.</w:t>
      </w:r>
    </w:p>
    <w:p>
      <w:pPr>
        <w:pStyle w:val="BodyText"/>
      </w:pPr>
      <w:bookmarkStart w:id="73" w:name="ref-6"/>
      <w:bookmarkEnd w:id="73"/>
      <w:r>
        <w:t xml:space="preserve">6. FAA Office of Commercial Space Transportation,</w:t>
      </w:r>
      <w:r>
        <w:t xml:space="preserve"> </w:t>
      </w:r>
      <w:r>
        <w:t xml:space="preserve">“Annual Compendium of Commercial Space Transportation 2024,”</w:t>
      </w:r>
      <w:r>
        <w:t xml:space="preserve"> </w:t>
      </w:r>
      <w:r>
        <w:t xml:space="preserve">2025, https://www.faa.gov/space.</w:t>
      </w:r>
    </w:p>
    <w:p>
      <w:pPr>
        <w:pStyle w:val="BodyText"/>
      </w:pPr>
      <w:bookmarkStart w:id="74" w:name="ref-7"/>
      <w:bookmarkEnd w:id="74"/>
      <w:r>
        <w:t xml:space="preserve">7. U.S. Federal Register,</w:t>
      </w:r>
      <w:r>
        <w:t xml:space="preserve"> </w:t>
      </w:r>
      <w:r>
        <w:t xml:space="preserve">“Streamlined Launch and Reentry License Requirements,”</w:t>
      </w:r>
      <w:r>
        <w:t xml:space="preserve"> </w:t>
      </w:r>
      <w:r>
        <w:t xml:space="preserve">85 FR 79566, final rule, December 10, 2020.</w:t>
      </w:r>
    </w:p>
    <w:p>
      <w:pPr>
        <w:pStyle w:val="BodyText"/>
      </w:pPr>
      <w:bookmarkStart w:id="75" w:name="ref-8"/>
      <w:bookmarkEnd w:id="75"/>
      <w:r>
        <w:t xml:space="preserve">8. U.S. Government Accountability Office,</w:t>
      </w:r>
      <w:r>
        <w:t xml:space="preserve"> </w:t>
      </w:r>
      <w:r>
        <w:t xml:space="preserve">“Commercial Space Launch Licensing,”</w:t>
      </w:r>
      <w:r>
        <w:t xml:space="preserve"> </w:t>
      </w:r>
      <w:r>
        <w:t xml:space="preserve">GAO-24-106767, October 2024.</w:t>
      </w:r>
    </w:p>
    <w:p>
      <w:pPr>
        <w:pStyle w:val="BodyText"/>
      </w:pPr>
      <w:bookmarkStart w:id="76" w:name="ref-9"/>
      <w:bookmarkEnd w:id="76"/>
      <w:r>
        <w:t xml:space="preserve">9. Aerospace Corporation,</w:t>
      </w:r>
      <w:r>
        <w:t xml:space="preserve"> </w:t>
      </w:r>
      <w:r>
        <w:t xml:space="preserve">“Cost Estimating Methodologies for Space Launch Vehicles,”</w:t>
      </w:r>
      <w:r>
        <w:t xml:space="preserve"> </w:t>
      </w:r>
      <w:r>
        <w:t xml:space="preserve">ATR-2018-01545, 2018.</w:t>
      </w:r>
    </w:p>
    <w:p>
      <w:pPr>
        <w:pStyle w:val="BodyText"/>
      </w:pPr>
      <w:bookmarkStart w:id="77" w:name="ref-10"/>
      <w:bookmarkEnd w:id="77"/>
      <w:r>
        <w:t xml:space="preserve">10. K. Anilkumar, B. Mukherjee, N. Bérend, S. K. Biswas, L. Buinhas, N. Dailey, B. H. Foing, and colleagues,</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78">
        <w:r>
          <w:rPr>
            <w:rStyle w:val="Hyperlink"/>
          </w:rPr>
          <w:t xml:space="preserve">10.1016/j.actaastro.2024.12.056</w:t>
        </w:r>
      </w:hyperlink>
      <w:r>
        <w:t xml:space="preserve">.</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launches</m:t>
              </m:r>
            </m:e>
            <m:sub>
              <m:r>
                <m:t>i</m:t>
              </m:r>
              <m:r>
                <m:t>t</m:t>
              </m:r>
            </m:sub>
          </m:sSub>
          <m:r>
            <m:rPr>
              <m:sty m:val="p"/>
            </m:rPr>
            <m:t>=</m:t>
          </m:r>
          <m:r>
            <m:t>α</m:t>
          </m:r>
          <m:r>
            <m:rPr>
              <m:sty m:val="p"/>
            </m:rPr>
            <m:t>+</m:t>
          </m:r>
          <m:sSub>
            <m:e>
              <m:r>
                <m:t>β</m:t>
              </m:r>
            </m:e>
            <m:sub>
              <m:r>
                <m:t>1</m:t>
              </m:r>
            </m:sub>
          </m:sSub>
          <m:r>
            <m:t> </m:t>
          </m:r>
          <m:sSub>
            <m:e>
              <m:r>
                <m:rPr>
                  <m:nor/>
                  <m:sty m:val="p"/>
                </m:rPr>
                <m:t>mishap_pause_days</m:t>
              </m:r>
            </m:e>
            <m:sub>
              <m:r>
                <m:t>i</m:t>
              </m:r>
              <m:r>
                <m:t>t</m:t>
              </m:r>
            </m:sub>
          </m:sSub>
          <m:r>
            <m:rPr>
              <m:sty m:val="p"/>
            </m:rPr>
            <m:t>+</m:t>
          </m:r>
          <m:sSub>
            <m:e>
              <m:r>
                <m:t>β</m:t>
              </m:r>
            </m:e>
            <m:sub>
              <m:r>
                <m:t>2</m:t>
              </m:r>
            </m:sub>
          </m:sSub>
          <m:r>
            <m:t> </m:t>
          </m:r>
          <m:sSub>
            <m:e>
              <m:r>
                <m:rPr>
                  <m:nor/>
                  <m:sty m:val="p"/>
                </m:rPr>
                <m:t>part450_backlog</m:t>
              </m:r>
            </m:e>
            <m:sub>
              <m:r>
                <m:t>i</m:t>
              </m:r>
              <m:r>
                <m:t>t</m:t>
              </m:r>
            </m:sub>
          </m:sSub>
          <m:r>
            <m:rPr>
              <m:sty m:val="p"/>
            </m:rPr>
            <m:t>+</m:t>
          </m:r>
          <m:sSub>
            <m:e>
              <m:r>
                <m:t>β</m:t>
              </m:r>
            </m:e>
            <m:sub>
              <m:r>
                <m:t>3</m:t>
              </m:r>
            </m:sub>
          </m:sSub>
          <m:r>
            <m:t> </m:t>
          </m:r>
          <m:sSub>
            <m:e>
              <m:r>
                <m:rPr>
                  <m:nor/>
                  <m:sty m:val="p"/>
                </m:rPr>
                <m:t>active_pad_count</m:t>
              </m:r>
            </m:e>
            <m:sub>
              <m:r>
                <m:t>i</m:t>
              </m:r>
              <m:r>
                <m:t>t</m:t>
              </m:r>
            </m:sub>
          </m:sSub>
          <m:r>
            <m:rPr>
              <m:sty m:val="p"/>
            </m:rPr>
            <m:t>+</m:t>
          </m:r>
          <m:sSub>
            <m:e>
              <m:r>
                <m:t>β</m:t>
              </m:r>
            </m:e>
            <m:sub>
              <m:r>
                <m:t>4</m:t>
              </m:r>
            </m:sub>
          </m:sSub>
          <m:r>
            <m:t> </m:t>
          </m:r>
          <m:sSub>
            <m:e>
              <m:r>
                <m:rPr>
                  <m:nor/>
                  <m:sty m:val="p"/>
                </m:rPr>
                <m:t>vehicle_age_years</m:t>
              </m:r>
            </m:e>
            <m:sub>
              <m:r>
                <m:t>i</m:t>
              </m:r>
              <m:r>
                <m:t>t</m:t>
              </m:r>
            </m:sub>
          </m:sSub>
          <m:r>
            <m:rPr>
              <m:sty m:val="p"/>
            </m:rPr>
            <m:t>+</m:t>
          </m:r>
          <m:sSub>
            <m:e>
              <m:r>
                <m:t>ε</m:t>
              </m:r>
            </m:e>
            <m:sub>
              <m:r>
                <m:t>i</m:t>
              </m:r>
              <m:r>
                <m:t>t</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-29.5578</w:t>
            </w:r>
          </w:p>
        </w:tc>
        <w:tc>
          <w:tcPr>
            <w:tcW w:w="0" w:type="auto"/>
          </w:tcPr>
          <w:p>
            <w:pPr>
              <w:spacing w:line="240" w:lineRule="auto" w:before="0" w:after="0"/>
              <w:pStyle w:val="Compact"/>
            </w:pPr>
            <w:r>
              <w:rPr>
                <w:sz w:val="20"/>
                <w:szCs w:val="20"/>
              </w:rPr>
              <w:t xml:space="preserve">11.168</w:t>
            </w:r>
          </w:p>
        </w:tc>
        <w:tc>
          <w:tcPr>
            <w:tcW w:w="0" w:type="auto"/>
          </w:tcPr>
          <w:p>
            <w:pPr>
              <w:spacing w:line="240" w:lineRule="auto" w:before="0" w:after="0"/>
              <w:pStyle w:val="Compact"/>
            </w:pPr>
            <w:r>
              <w:rPr>
                <w:sz w:val="20"/>
                <w:szCs w:val="20"/>
              </w:rPr>
              <w:t xml:space="preserve">-2.6467</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[-51.4467, -7.669]</w:t>
            </w:r>
          </w:p>
        </w:tc>
      </w:tr>
      <w:tr>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0.9867</w:t>
            </w:r>
          </w:p>
        </w:tc>
        <w:tc>
          <w:tcPr>
            <w:tcW w:w="0" w:type="auto"/>
          </w:tcPr>
          <w:p>
            <w:pPr>
              <w:spacing w:line="240" w:lineRule="auto" w:before="0" w:after="0"/>
              <w:pStyle w:val="Compact"/>
            </w:pPr>
            <w:r>
              <w:rPr>
                <w:sz w:val="20"/>
                <w:szCs w:val="20"/>
              </w:rPr>
              <w:t xml:space="preserve">[-0.1189, 0.121]</w:t>
            </w:r>
          </w:p>
        </w:tc>
      </w:tr>
      <w:tr>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3.2707</w:t>
            </w:r>
          </w:p>
        </w:tc>
        <w:tc>
          <w:tcPr>
            <w:tcW w:w="0" w:type="auto"/>
          </w:tcPr>
          <w:p>
            <w:pPr>
              <w:spacing w:line="240" w:lineRule="auto" w:before="0" w:after="0"/>
              <w:pStyle w:val="Compact"/>
            </w:pPr>
            <w:r>
              <w:rPr>
                <w:sz w:val="20"/>
                <w:szCs w:val="20"/>
              </w:rPr>
              <w:t xml:space="preserve">1.287</w:t>
            </w:r>
          </w:p>
        </w:tc>
        <w:tc>
          <w:tcPr>
            <w:tcW w:w="0" w:type="auto"/>
          </w:tcPr>
          <w:p>
            <w:pPr>
              <w:spacing w:line="240" w:lineRule="auto" w:before="0" w:after="0"/>
              <w:pStyle w:val="Compact"/>
            </w:pPr>
            <w:r>
              <w:rPr>
                <w:sz w:val="20"/>
                <w:szCs w:val="20"/>
              </w:rPr>
              <w:t xml:space="preserve">2.5413</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[0.7482, 5.7931]</w:t>
            </w:r>
          </w:p>
        </w:tc>
      </w:tr>
      <w:tr>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19.9027</w:t>
            </w:r>
          </w:p>
        </w:tc>
        <w:tc>
          <w:tcPr>
            <w:tcW w:w="0" w:type="auto"/>
          </w:tcPr>
          <w:p>
            <w:pPr>
              <w:spacing w:line="240" w:lineRule="auto" w:before="0" w:after="0"/>
              <w:pStyle w:val="Compact"/>
            </w:pPr>
            <w:r>
              <w:rPr>
                <w:sz w:val="20"/>
                <w:szCs w:val="20"/>
              </w:rPr>
              <w:t xml:space="preserve">4.7509</w:t>
            </w:r>
          </w:p>
        </w:tc>
        <w:tc>
          <w:tcPr>
            <w:tcW w:w="0" w:type="auto"/>
          </w:tcPr>
          <w:p>
            <w:pPr>
              <w:spacing w:line="240" w:lineRule="auto" w:before="0" w:after="0"/>
              <w:pStyle w:val="Compact"/>
            </w:pPr>
            <w:r>
              <w:rPr>
                <w:sz w:val="20"/>
                <w:szCs w:val="20"/>
              </w:rPr>
              <w:t xml:space="preserve">4.1892</w:t>
            </w:r>
          </w:p>
        </w:tc>
        <w:tc>
          <w:tcPr>
            <w:tcW w:w="0" w:type="auto"/>
          </w:tcPr>
          <w:p>
            <w:pPr>
              <w:spacing w:line="240" w:lineRule="auto" w:before="0" w:after="0"/>
              <w:pStyle w:val="Compact"/>
            </w:pPr>
            <w:r>
              <w:rPr>
                <w:sz w:val="20"/>
                <w:szCs w:val="20"/>
              </w:rPr>
              <w:t xml:space="preserve">2.799e-05</w:t>
            </w:r>
          </w:p>
        </w:tc>
        <w:tc>
          <w:tcPr>
            <w:tcW w:w="0" w:type="auto"/>
          </w:tcPr>
          <w:p>
            <w:pPr>
              <w:spacing w:line="240" w:lineRule="auto" w:before="0" w:after="0"/>
              <w:pStyle w:val="Compact"/>
            </w:pPr>
            <w:r>
              <w:rPr>
                <w:sz w:val="20"/>
                <w:szCs w:val="20"/>
              </w:rPr>
              <w:t xml:space="preserve">[10.591, 29.2144]</w:t>
            </w:r>
          </w:p>
        </w:tc>
      </w:tr>
      <w:tr>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-2.8599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[-0.9702, -0.1812]</w:t>
            </w:r>
          </w:p>
        </w:tc>
      </w:tr>
    </w:tbl>
    <w:p>
      <w:pPr>
        <w:pStyle w:val="BodyText"/>
      </w:pPr>
      <w:r>
        <w:t xml:space="preserve">Fit: N = 37 R2 = 0.6678 R2_adj = 0.6263 F = 6.1981 F_p = 0.0008242</w:t>
      </w:r>
    </w:p>
    <w:p>
      <w:pPr>
        <w:pStyle w:val="CaptionedFigure"/>
      </w:pPr>
      <w:r>
        <w:drawing>
          <wp:inline>
            <wp:extent cx="5669280" cy="3657600"/>
            <wp:effectExtent b="0" l="0" r="0" t="0"/>
            <wp:docPr descr="Figure 1. Operator-year launch cadence versus FAA mishap pause-days, conditional on Part 450 backlog, active pad count, and vehicle-family age. The partial slope is the proximate atrophy-tax effect of a regulatory pause day." title="" id="82" name="Picture"/>
            <a:graphic>
              <a:graphicData uri="http://schemas.openxmlformats.org/drawingml/2006/picture">
                <pic:pic>
                  <pic:nvPicPr>
                    <pic:cNvPr descr="D:\Claude_Code\brain\collegium\candidates\dissertations\PHD-01\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Operator-year launch cadence versus FAA mishap pause-days, conditional on Part 450 backlog, active pad count, and vehicle-family age. The partial slope is the proximate atrophy-tax effect of a regulatory pause day.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operator_year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AST 2015 Annual Compendium; FAA mishap investigation closure 2015-07-20 to 2015-12-21 CRS-7; FAA AST license list retrieved 2025</w:t>
            </w:r>
          </w:p>
        </w:tc>
      </w:tr>
      <w:tr>
        <w:tc>
          <w:tcPr>
            <w:tcW w:w="0" w:type="auto"/>
          </w:tcPr>
          <w:p>
            <w:pPr>
              <w:spacing w:line="240" w:lineRule="auto" w:before="0" w:after="0"/>
              <w:pStyle w:val="Compact"/>
            </w:pPr>
            <w:r>
              <w:rPr>
                <w:sz w:val="20"/>
                <w:szCs w:val="20"/>
              </w:rPr>
              <w:t xml:space="preserve">SpX-2016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2016 Annual Compendium; FAA mishap investigation 2016-09-01 to 2017-01-06 AMOS-6; FAA AST license list</w:t>
            </w:r>
          </w:p>
        </w:tc>
      </w:tr>
      <w:tr>
        <w:tc>
          <w:tcPr>
            <w:tcW w:w="0" w:type="auto"/>
          </w:tcPr>
          <w:p>
            <w:pPr>
              <w:spacing w:line="240" w:lineRule="auto" w:before="0" w:after="0"/>
              <w:pStyle w:val="Compact"/>
            </w:pPr>
            <w:r>
              <w:rPr>
                <w:sz w:val="20"/>
                <w:szCs w:val="20"/>
              </w:rPr>
              <w:t xml:space="preserve">SpX-2017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FAA AST 2017 Annual Compendium; FAA AST license letters 2017</w:t>
            </w:r>
          </w:p>
        </w:tc>
      </w:tr>
      <w:tr>
        <w:tc>
          <w:tcPr>
            <w:tcW w:w="0" w:type="auto"/>
          </w:tcPr>
          <w:p>
            <w:pPr>
              <w:spacing w:line="240" w:lineRule="auto" w:before="0" w:after="0"/>
              <w:pStyle w:val="Compact"/>
            </w:pPr>
            <w:r>
              <w:rPr>
                <w:sz w:val="20"/>
                <w:szCs w:val="20"/>
              </w:rPr>
              <w:t xml:space="preserve">SpX-2018</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FAA AST 2018 Annual Compendium; Federal Register 83 FR 51316</w:t>
            </w:r>
          </w:p>
        </w:tc>
      </w:tr>
      <w:tr>
        <w:tc>
          <w:tcPr>
            <w:tcW w:w="0" w:type="auto"/>
          </w:tcPr>
          <w:p>
            <w:pPr>
              <w:spacing w:line="240" w:lineRule="auto" w:before="0" w:after="0"/>
              <w:pStyle w:val="Compact"/>
            </w:pPr>
            <w:r>
              <w:rPr>
                <w:sz w:val="20"/>
                <w:szCs w:val="20"/>
              </w:rPr>
              <w:t xml:space="preserve">SpX-2019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FAA AST 2019 Annual Compendium; GAO-19-617 FAA Commercial Space</w:t>
            </w:r>
          </w:p>
        </w:tc>
      </w:tr>
      <w:tr>
        <w:tc>
          <w:tcPr>
            <w:tcW w:w="0" w:type="auto"/>
          </w:tcPr>
          <w:p>
            <w:pPr>
              <w:spacing w:line="240" w:lineRule="auto" w:before="0" w:after="0"/>
              <w:pStyle w:val="Compact"/>
            </w:pPr>
            <w:r>
              <w:rPr>
                <w:sz w:val="20"/>
                <w:szCs w:val="20"/>
              </w:rPr>
              <w:t xml:space="preserve">SpX-2020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FAA AST 2020 Annual Compendium; 85 FR 79566 Part 450 final rule</w:t>
            </w:r>
          </w:p>
        </w:tc>
      </w:tr>
      <w:tr>
        <w:tc>
          <w:tcPr>
            <w:tcW w:w="0" w:type="auto"/>
          </w:tcPr>
          <w:p>
            <w:pPr>
              <w:spacing w:line="240" w:lineRule="auto" w:before="0" w:after="0"/>
              <w:pStyle w:val="Compact"/>
            </w:pPr>
            <w:r>
              <w:rPr>
                <w:sz w:val="20"/>
                <w:szCs w:val="20"/>
              </w:rPr>
              <w:t xml:space="preserve">SpX-2021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2021 Annual Compendium; FAA AST Part 450 issuances 2021</w:t>
            </w:r>
          </w:p>
        </w:tc>
      </w:tr>
      <w:tr>
        <w:tc>
          <w:tcPr>
            <w:tcW w:w="0" w:type="auto"/>
          </w:tcPr>
          <w:p>
            <w:pPr>
              <w:spacing w:line="240" w:lineRule="auto" w:before="0" w:after="0"/>
              <w:pStyle w:val="Compact"/>
            </w:pPr>
            <w:r>
              <w:rPr>
                <w:sz w:val="20"/>
                <w:szCs w:val="20"/>
              </w:rPr>
              <w:t xml:space="preserve">SpX-2022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FAA AST 2022 Annual Compendium; FAA AST Commercial Space Data 2022</w:t>
            </w:r>
          </w:p>
        </w:tc>
      </w:tr>
      <w:tr>
        <w:tc>
          <w:tcPr>
            <w:tcW w:w="0" w:type="auto"/>
          </w:tcPr>
          <w:p>
            <w:pPr>
              <w:spacing w:line="240" w:lineRule="auto" w:before="0" w:after="0"/>
              <w:pStyle w:val="Compact"/>
            </w:pPr>
            <w:r>
              <w:rPr>
                <w:sz w:val="20"/>
                <w:szCs w:val="20"/>
              </w:rPr>
              <w:t xml:space="preserve">SpX-2023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FAA AST 2023 Annual Compendium; FAA Starship Super Heavy IFT-1 mishap 2023-04-20 to 2023-09-08 closure; GAO-24-106767</w:t>
            </w:r>
          </w:p>
        </w:tc>
      </w:tr>
      <w:tr>
        <w:tc>
          <w:tcPr>
            <w:tcW w:w="0" w:type="auto"/>
          </w:tcPr>
          <w:p>
            <w:pPr>
              <w:spacing w:line="240" w:lineRule="auto" w:before="0" w:after="0"/>
              <w:pStyle w:val="Compact"/>
            </w:pPr>
            <w:r>
              <w:rPr>
                <w:sz w:val="20"/>
                <w:szCs w:val="20"/>
              </w:rPr>
              <w:t xml:space="preserve">SpX-2024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FAA AST 2024 Annual Compendium; FAA Starship IFT-7 mishap pause 2025-01-16 to 2025-02-28 [partial within 2024 reporting]; FAA AST License Decisions 2024</w:t>
            </w:r>
          </w:p>
        </w:tc>
      </w:tr>
      <w:tr>
        <w:tc>
          <w:tcPr>
            <w:tcW w:w="0" w:type="auto"/>
          </w:tcPr>
          <w:p>
            <w:pPr>
              <w:spacing w:line="240" w:lineRule="auto" w:before="0" w:after="0"/>
              <w:pStyle w:val="Compact"/>
            </w:pPr>
            <w:r>
              <w:rPr>
                <w:sz w:val="20"/>
                <w:szCs w:val="20"/>
              </w:rPr>
              <w:t xml:space="preserve">ULA-2015</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FAA AST 2015 Annual Compendium; ULA Atlas V Delta IV launch logs</w:t>
            </w:r>
          </w:p>
        </w:tc>
      </w:tr>
      <w:tr>
        <w:tc>
          <w:tcPr>
            <w:tcW w:w="0" w:type="auto"/>
          </w:tcPr>
          <w:p>
            <w:pPr>
              <w:spacing w:line="240" w:lineRule="auto" w:before="0" w:after="0"/>
              <w:pStyle w:val="Compact"/>
            </w:pPr>
            <w:r>
              <w:rPr>
                <w:sz w:val="20"/>
                <w:szCs w:val="20"/>
              </w:rPr>
              <w:t xml:space="preserve">ULA-2016</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FAA AST 2016 Annual Compendium; ULA mission archive</w:t>
            </w:r>
          </w:p>
        </w:tc>
      </w:tr>
      <w:tr>
        <w:tc>
          <w:tcPr>
            <w:tcW w:w="0" w:type="auto"/>
          </w:tcPr>
          <w:p>
            <w:pPr>
              <w:spacing w:line="240" w:lineRule="auto" w:before="0" w:after="0"/>
              <w:pStyle w:val="Compact"/>
            </w:pPr>
            <w:r>
              <w:rPr>
                <w:sz w:val="20"/>
                <w:szCs w:val="20"/>
              </w:rPr>
              <w:t xml:space="preserve">ULA-2017</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AST 2017 Annual Compendium; ULA mission archive</w:t>
            </w:r>
          </w:p>
        </w:tc>
      </w:tr>
      <w:tr>
        <w:tc>
          <w:tcPr>
            <w:tcW w:w="0" w:type="auto"/>
          </w:tcPr>
          <w:p>
            <w:pPr>
              <w:spacing w:line="240" w:lineRule="auto" w:before="0" w:after="0"/>
              <w:pStyle w:val="Compact"/>
            </w:pPr>
            <w:r>
              <w:rPr>
                <w:sz w:val="20"/>
                <w:szCs w:val="20"/>
              </w:rPr>
              <w:t xml:space="preserve">ULA-2018</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AST 2018 Annual Compendium; ULA mission archive</w:t>
            </w:r>
          </w:p>
        </w:tc>
      </w:tr>
      <w:tr>
        <w:tc>
          <w:tcPr>
            <w:tcW w:w="0" w:type="auto"/>
          </w:tcPr>
          <w:p>
            <w:pPr>
              <w:spacing w:line="240" w:lineRule="auto" w:before="0" w:after="0"/>
              <w:pStyle w:val="Compact"/>
            </w:pPr>
            <w:r>
              <w:rPr>
                <w:sz w:val="20"/>
                <w:szCs w:val="20"/>
              </w:rPr>
              <w:t xml:space="preserve">ULA-2019</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AST 2019 Annual Compendium; ULA mission archive</w:t>
            </w:r>
          </w:p>
        </w:tc>
      </w:tr>
      <w:tr>
        <w:tc>
          <w:tcPr>
            <w:tcW w:w="0" w:type="auto"/>
          </w:tcPr>
          <w:p>
            <w:pPr>
              <w:spacing w:line="240" w:lineRule="auto" w:before="0" w:after="0"/>
              <w:pStyle w:val="Compact"/>
            </w:pPr>
            <w:r>
              <w:rPr>
                <w:sz w:val="20"/>
                <w:szCs w:val="20"/>
              </w:rPr>
              <w:t xml:space="preserve">ULA-2020</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2020 Annual Compendium; ULA mission archive</w:t>
            </w:r>
          </w:p>
        </w:tc>
      </w:tr>
      <w:tr>
        <w:tc>
          <w:tcPr>
            <w:tcW w:w="0" w:type="auto"/>
          </w:tcPr>
          <w:p>
            <w:pPr>
              <w:spacing w:line="240" w:lineRule="auto" w:before="0" w:after="0"/>
              <w:pStyle w:val="Compact"/>
            </w:pPr>
            <w:r>
              <w:rPr>
                <w:sz w:val="20"/>
                <w:szCs w:val="20"/>
              </w:rPr>
              <w:t xml:space="preserve">ULA-2021</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AST 2021 Annual Compendium; ULA mission archive</w:t>
            </w:r>
          </w:p>
        </w:tc>
      </w:tr>
      <w:tr>
        <w:tc>
          <w:tcPr>
            <w:tcW w:w="0" w:type="auto"/>
          </w:tcPr>
          <w:p>
            <w:pPr>
              <w:spacing w:line="240" w:lineRule="auto" w:before="0" w:after="0"/>
              <w:pStyle w:val="Compact"/>
            </w:pPr>
            <w:r>
              <w:rPr>
                <w:sz w:val="20"/>
                <w:szCs w:val="20"/>
              </w:rPr>
              <w:t xml:space="preserve">ULA-2022</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FAA AST 2022 Annual Compendium; ULA mission archive</w:t>
            </w:r>
          </w:p>
        </w:tc>
      </w:tr>
      <w:tr>
        <w:tc>
          <w:tcPr>
            <w:tcW w:w="0" w:type="auto"/>
          </w:tcPr>
          <w:p>
            <w:pPr>
              <w:spacing w:line="240" w:lineRule="auto" w:before="0" w:after="0"/>
              <w:pStyle w:val="Compact"/>
            </w:pPr>
            <w:r>
              <w:rPr>
                <w:sz w:val="20"/>
                <w:szCs w:val="20"/>
              </w:rPr>
              <w:t xml:space="preserve">ULA-2023</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AST 2023 Annual Compendium; ULA Vulcan inaugural slip per GAO-24-106767</w:t>
            </w:r>
          </w:p>
        </w:tc>
      </w:tr>
      <w:tr>
        <w:tc>
          <w:tcPr>
            <w:tcW w:w="0" w:type="auto"/>
          </w:tcPr>
          <w:p>
            <w:pPr>
              <w:spacing w:line="240" w:lineRule="auto" w:before="0" w:after="0"/>
              <w:pStyle w:val="Compact"/>
            </w:pPr>
            <w:r>
              <w:rPr>
                <w:sz w:val="20"/>
                <w:szCs w:val="20"/>
              </w:rPr>
              <w:t xml:space="preserve">ULA-2024</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2024 Annual Compendium; ULA Vulcan Cert-1 Cert-2 dates [illustrative for backlog allocation]</w:t>
            </w:r>
          </w:p>
        </w:tc>
      </w:tr>
      <w:tr>
        <w:tc>
          <w:tcPr>
            <w:tcW w:w="0" w:type="auto"/>
          </w:tcPr>
          <w:p>
            <w:pPr>
              <w:spacing w:line="240" w:lineRule="auto" w:before="0" w:after="0"/>
              <w:pStyle w:val="Compact"/>
            </w:pPr>
            <w:r>
              <w:rPr>
                <w:sz w:val="20"/>
                <w:szCs w:val="20"/>
              </w:rPr>
              <w:t xml:space="preserve">RL-2018</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2018 Annual Compendium; Rocket Lab Electron mission press kits</w:t>
            </w:r>
          </w:p>
        </w:tc>
      </w:tr>
      <w:tr>
        <w:tc>
          <w:tcPr>
            <w:tcW w:w="0" w:type="auto"/>
          </w:tcPr>
          <w:p>
            <w:pPr>
              <w:spacing w:line="240" w:lineRule="auto" w:before="0" w:after="0"/>
              <w:pStyle w:val="Compact"/>
            </w:pPr>
            <w:r>
              <w:rPr>
                <w:sz w:val="20"/>
                <w:szCs w:val="20"/>
              </w:rPr>
              <w:t xml:space="preserve">RL-2019</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AST 2019 Annual Compendium; Rocket Lab mission archive</w:t>
            </w:r>
          </w:p>
        </w:tc>
      </w:tr>
      <w:tr>
        <w:tc>
          <w:tcPr>
            <w:tcW w:w="0" w:type="auto"/>
          </w:tcPr>
          <w:p>
            <w:pPr>
              <w:spacing w:line="240" w:lineRule="auto" w:before="0" w:after="0"/>
              <w:pStyle w:val="Compact"/>
            </w:pPr>
            <w:r>
              <w:rPr>
                <w:sz w:val="20"/>
                <w:szCs w:val="20"/>
              </w:rPr>
              <w:t xml:space="preserve">RL-2020</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AST 2020 Annual Compendium; Rocket Lab Pics Or It Didnt Happen mishap 2020-07-04 investigation closed 2020-08-01</w:t>
            </w:r>
          </w:p>
        </w:tc>
      </w:tr>
      <w:tr>
        <w:tc>
          <w:tcPr>
            <w:tcW w:w="0" w:type="auto"/>
          </w:tcPr>
          <w:p>
            <w:pPr>
              <w:spacing w:line="240" w:lineRule="auto" w:before="0" w:after="0"/>
              <w:pStyle w:val="Compact"/>
            </w:pPr>
            <w:r>
              <w:rPr>
                <w:sz w:val="20"/>
                <w:szCs w:val="20"/>
              </w:rPr>
              <w:t xml:space="preserve">RL-2021</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AST 2021 Annual Compendium; Rocket Lab Running Out Of Toes mishap 2021-05-15 investigation closed 2021-06-22</w:t>
            </w:r>
          </w:p>
        </w:tc>
      </w:tr>
      <w:tr>
        <w:tc>
          <w:tcPr>
            <w:tcW w:w="0" w:type="auto"/>
          </w:tcPr>
          <w:p>
            <w:pPr>
              <w:spacing w:line="240" w:lineRule="auto" w:before="0" w:after="0"/>
              <w:pStyle w:val="Compact"/>
            </w:pPr>
            <w:r>
              <w:rPr>
                <w:sz w:val="20"/>
                <w:szCs w:val="20"/>
              </w:rPr>
              <w:t xml:space="preserve">RL-2022</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AST 2022 Annual Compendium; Rocket Lab Wallops LC-2 first flight 2023 prep</w:t>
            </w:r>
          </w:p>
        </w:tc>
      </w:tr>
      <w:tr>
        <w:tc>
          <w:tcPr>
            <w:tcW w:w="0" w:type="auto"/>
          </w:tcPr>
          <w:p>
            <w:pPr>
              <w:spacing w:line="240" w:lineRule="auto" w:before="0" w:after="0"/>
              <w:pStyle w:val="Compact"/>
            </w:pPr>
            <w:r>
              <w:rPr>
                <w:sz w:val="20"/>
                <w:szCs w:val="20"/>
              </w:rPr>
              <w:t xml:space="preserve">RL-2023</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2023 Annual Compendium; Rocket Lab We Will Never Desert You mishap 2023-09-19 closed 2023-11-13</w:t>
            </w:r>
          </w:p>
        </w:tc>
      </w:tr>
      <w:tr>
        <w:tc>
          <w:tcPr>
            <w:tcW w:w="0" w:type="auto"/>
          </w:tcPr>
          <w:p>
            <w:pPr>
              <w:spacing w:line="240" w:lineRule="auto" w:before="0" w:after="0"/>
              <w:pStyle w:val="Compact"/>
            </w:pPr>
            <w:r>
              <w:rPr>
                <w:sz w:val="20"/>
                <w:szCs w:val="20"/>
              </w:rPr>
              <w:t xml:space="preserve">RL-2024</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FAA AST 2024 Annual Compendium; Rocket Lab mission archive 2024</w:t>
            </w:r>
          </w:p>
        </w:tc>
      </w:tr>
      <w:tr>
        <w:tc>
          <w:tcPr>
            <w:tcW w:w="0" w:type="auto"/>
          </w:tcPr>
          <w:p>
            <w:pPr>
              <w:spacing w:line="240" w:lineRule="auto" w:before="0" w:after="0"/>
              <w:pStyle w:val="Compact"/>
            </w:pPr>
            <w:r>
              <w:rPr>
                <w:sz w:val="20"/>
                <w:szCs w:val="20"/>
              </w:rPr>
              <w:t xml:space="preserve">NG-2019</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AST 2019 Annual Compendium; Antares Pegasus Minotaur logs</w:t>
            </w:r>
          </w:p>
        </w:tc>
      </w:tr>
      <w:tr>
        <w:tc>
          <w:tcPr>
            <w:tcW w:w="0" w:type="auto"/>
          </w:tcPr>
          <w:p>
            <w:pPr>
              <w:spacing w:line="240" w:lineRule="auto" w:before="0" w:after="0"/>
              <w:pStyle w:val="Compact"/>
            </w:pPr>
            <w:r>
              <w:rPr>
                <w:sz w:val="20"/>
                <w:szCs w:val="20"/>
              </w:rPr>
              <w:t xml:space="preserve">NG-2020</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AST 2020 Annual Compendium; Antares logs</w:t>
            </w:r>
          </w:p>
        </w:tc>
      </w:tr>
      <w:tr>
        <w:tc>
          <w:tcPr>
            <w:tcW w:w="0" w:type="auto"/>
          </w:tcPr>
          <w:p>
            <w:pPr>
              <w:spacing w:line="240" w:lineRule="auto" w:before="0" w:after="0"/>
              <w:pStyle w:val="Compact"/>
            </w:pPr>
            <w:r>
              <w:rPr>
                <w:sz w:val="20"/>
                <w:szCs w:val="20"/>
              </w:rPr>
              <w:t xml:space="preserve">NG-2021</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FAA AST 2021 Annual Compendium; Antares logs</w:t>
            </w:r>
          </w:p>
        </w:tc>
      </w:tr>
      <w:tr>
        <w:tc>
          <w:tcPr>
            <w:tcW w:w="0" w:type="auto"/>
          </w:tcPr>
          <w:p>
            <w:pPr>
              <w:spacing w:line="240" w:lineRule="auto" w:before="0" w:after="0"/>
              <w:pStyle w:val="Compact"/>
            </w:pPr>
            <w:r>
              <w:rPr>
                <w:sz w:val="20"/>
                <w:szCs w:val="20"/>
              </w:rPr>
              <w:t xml:space="preserve">NG-2022</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AST 2022 Annual Compendium; Antares logs</w:t>
            </w:r>
          </w:p>
        </w:tc>
      </w:tr>
      <w:tr>
        <w:tc>
          <w:tcPr>
            <w:tcW w:w="0" w:type="auto"/>
          </w:tcPr>
          <w:p>
            <w:pPr>
              <w:spacing w:line="240" w:lineRule="auto" w:before="0" w:after="0"/>
              <w:pStyle w:val="Compact"/>
            </w:pPr>
            <w:r>
              <w:rPr>
                <w:sz w:val="20"/>
                <w:szCs w:val="20"/>
              </w:rPr>
              <w:t xml:space="preserve">NG-2023</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FAA AST 2023 Annual Compendium; Antares 230 final flight</w:t>
            </w:r>
          </w:p>
        </w:tc>
      </w:tr>
      <w:tr>
        <w:tc>
          <w:tcPr>
            <w:tcW w:w="0" w:type="auto"/>
          </w:tcPr>
          <w:p>
            <w:pPr>
              <w:spacing w:line="240" w:lineRule="auto" w:before="0" w:after="0"/>
              <w:pStyle w:val="Compact"/>
            </w:pPr>
            <w:r>
              <w:rPr>
                <w:sz w:val="20"/>
                <w:szCs w:val="20"/>
              </w:rPr>
              <w:t xml:space="preserve">NG-2024</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FAA AST 2024 Annual Compendium; Antares 330 transition reported in GAO-24-106767 [illustrative for backlog allocation]</w:t>
            </w:r>
          </w:p>
        </w:tc>
      </w:tr>
      <w:tr>
        <w:tc>
          <w:tcPr>
            <w:tcW w:w="0" w:type="auto"/>
          </w:tcPr>
          <w:p>
            <w:pPr>
              <w:spacing w:line="240" w:lineRule="auto" w:before="0" w:after="0"/>
              <w:pStyle w:val="Compact"/>
            </w:pPr>
            <w:r>
              <w:rPr>
                <w:sz w:val="20"/>
                <w:szCs w:val="20"/>
              </w:rPr>
              <w:t xml:space="preserve">BO-2021</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Blue Origin New Shepard mission archive</w:t>
            </w:r>
          </w:p>
        </w:tc>
      </w:tr>
      <w:tr>
        <w:tc>
          <w:tcPr>
            <w:tcW w:w="0" w:type="auto"/>
          </w:tcPr>
          <w:p>
            <w:pPr>
              <w:spacing w:line="240" w:lineRule="auto" w:before="0" w:after="0"/>
              <w:pStyle w:val="Compact"/>
            </w:pPr>
            <w:r>
              <w:rPr>
                <w:sz w:val="20"/>
                <w:szCs w:val="20"/>
              </w:rPr>
              <w:t xml:space="preserve">BO-2022</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AST 2022 Annual Compendium; FAA New Shepard NS-23 mishap 2022-09-12 investigation closed 2023-03-15</w:t>
            </w:r>
          </w:p>
        </w:tc>
      </w:tr>
      <w:tr>
        <w:tc>
          <w:tcPr>
            <w:tcW w:w="0" w:type="auto"/>
          </w:tcPr>
          <w:p>
            <w:pPr>
              <w:spacing w:line="240" w:lineRule="auto" w:before="0" w:after="0"/>
              <w:pStyle w:val="Compact"/>
            </w:pPr>
            <w:r>
              <w:rPr>
                <w:sz w:val="20"/>
                <w:szCs w:val="20"/>
              </w:rPr>
              <w:t xml:space="preserve">BO-2023</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AST 2023 Annual Compendium; Blue Origin return-to-flight 2023-12-19</w:t>
            </w:r>
          </w:p>
        </w:tc>
      </w:tr>
      <w:tr>
        <w:tc>
          <w:tcPr>
            <w:tcW w:w="0" w:type="auto"/>
          </w:tcPr>
          <w:p>
            <w:pPr>
              <w:spacing w:line="240" w:lineRule="auto" w:before="0" w:after="0"/>
              <w:pStyle w:val="Compact"/>
            </w:pPr>
            <w:r>
              <w:rPr>
                <w:sz w:val="20"/>
                <w:szCs w:val="20"/>
              </w:rPr>
              <w:t xml:space="preserve">BO-2024</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AST 2024 Annual Compendium; Blue Origin New Glenn NG-1 prep + New Shepard cadence</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 AST licensed launch events conducted by operator i in calendar year t</w:t>
            </w:r>
          </w:p>
        </w:tc>
        <w:tc>
          <w:tcPr>
            <w:tcW w:w="0" w:type="auto"/>
          </w:tcPr>
          <w:p>
            <w:pPr>
              <w:spacing w:line="240" w:lineRule="auto" w:before="0" w:after="0"/>
              <w:pStyle w:val="Compact"/>
            </w:pPr>
            <w:r>
              <w:rPr>
                <w:sz w:val="20"/>
                <w:szCs w:val="20"/>
              </w:rPr>
              <w:t xml:space="preserve">FAA AST Annual Compendium of Commercial Space Transportation (2015 to 2024)</w:t>
            </w:r>
          </w:p>
        </w:tc>
      </w:tr>
      <w:tr>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Cumulative days during calendar year t in which one or more of operator i’s licensed vehicles was paused under an FAA AST mishap investigation (14 CFR Part 450 Subpart E)</w:t>
            </w:r>
          </w:p>
        </w:tc>
        <w:tc>
          <w:tcPr>
            <w:tcW w:w="0" w:type="auto"/>
          </w:tcPr>
          <w:p>
            <w:pPr>
              <w:spacing w:line="240" w:lineRule="auto" w:before="0" w:after="0"/>
              <w:pStyle w:val="Compact"/>
            </w:pPr>
            <w:r>
              <w:rPr>
                <w:sz w:val="20"/>
                <w:szCs w:val="20"/>
              </w:rPr>
              <w:t xml:space="preserve">FAA AST mishap investigation closure letters; Federal Register mishap notices; vehicle return-to-flight statements</w:t>
            </w:r>
          </w:p>
        </w:tc>
      </w:tr>
      <w:tr>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Count of operator i’s pending Part 450 vehicle operator license amendments or new applications at year-end t in FAA AST queue</w:t>
            </w:r>
          </w:p>
        </w:tc>
        <w:tc>
          <w:tcPr>
            <w:tcW w:w="0" w:type="auto"/>
          </w:tcPr>
          <w:p>
            <w:pPr>
              <w:spacing w:line="240" w:lineRule="auto" w:before="0" w:after="0"/>
              <w:pStyle w:val="Compact"/>
            </w:pPr>
            <w:r>
              <w:rPr>
                <w:sz w:val="20"/>
                <w:szCs w:val="20"/>
              </w:rPr>
              <w:t xml:space="preserve">FAA AST License Decisions log; GAO-24-106767 Commercial Space Launch Licensing</w:t>
            </w:r>
          </w:p>
        </w:tc>
      </w:tr>
      <w:tr>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Count of FAA-licensed launch pads (sites and pad combinations) under operator i’s active use in year t</w:t>
            </w:r>
          </w:p>
        </w:tc>
        <w:tc>
          <w:tcPr>
            <w:tcW w:w="0" w:type="auto"/>
          </w:tcPr>
          <w:p>
            <w:pPr>
              <w:spacing w:line="240" w:lineRule="auto" w:before="0" w:after="0"/>
              <w:pStyle w:val="Compact"/>
            </w:pPr>
            <w:r>
              <w:rPr>
                <w:sz w:val="20"/>
                <w:szCs w:val="20"/>
              </w:rPr>
              <w:t xml:space="preserve">FAA AST Launch Site Operator License list; FAA AST Annual Compendium</w:t>
            </w:r>
          </w:p>
        </w:tc>
      </w:tr>
      <w:tr>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Years since first orbital flight of operator i’s primary launch vehicle family in service in year t</w:t>
            </w:r>
          </w:p>
        </w:tc>
        <w:tc>
          <w:tcPr>
            <w:tcW w:w="0" w:type="auto"/>
          </w:tcPr>
          <w:p>
            <w:pPr>
              <w:spacing w:line="240" w:lineRule="auto" w:before="0" w:after="0"/>
              <w:pStyle w:val="Compact"/>
            </w:pPr>
            <w:r>
              <w:rPr>
                <w:sz w:val="20"/>
                <w:szCs w:val="20"/>
              </w:rPr>
              <w:t xml:space="preserve">Vehicle first-flight dates from FAA AST license decisions and mission press kits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-29.5578</w:t>
            </w:r>
          </w:p>
        </w:tc>
        <w:tc>
          <w:tcPr>
            <w:tcW w:w="0" w:type="auto"/>
          </w:tcPr>
          <w:p>
            <w:pPr>
              <w:spacing w:line="240" w:lineRule="auto" w:before="0" w:after="0"/>
              <w:pStyle w:val="Compact"/>
            </w:pPr>
            <w:r>
              <w:rPr>
                <w:sz w:val="20"/>
                <w:szCs w:val="20"/>
              </w:rPr>
              <w:t xml:space="preserve">11.168</w:t>
            </w:r>
          </w:p>
        </w:tc>
        <w:tc>
          <w:tcPr>
            <w:tcW w:w="0" w:type="auto"/>
          </w:tcPr>
          <w:p>
            <w:pPr>
              <w:spacing w:line="240" w:lineRule="auto" w:before="0" w:after="0"/>
              <w:pStyle w:val="Compact"/>
            </w:pPr>
            <w:r>
              <w:rPr>
                <w:sz w:val="20"/>
                <w:szCs w:val="20"/>
              </w:rPr>
              <w:t xml:space="preserve">-2.6467</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[-51.4467, -7.669]</w:t>
            </w:r>
          </w:p>
        </w:tc>
      </w:tr>
      <w:tr>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0.9867</w:t>
            </w:r>
          </w:p>
        </w:tc>
        <w:tc>
          <w:tcPr>
            <w:tcW w:w="0" w:type="auto"/>
          </w:tcPr>
          <w:p>
            <w:pPr>
              <w:spacing w:line="240" w:lineRule="auto" w:before="0" w:after="0"/>
              <w:pStyle w:val="Compact"/>
            </w:pPr>
            <w:r>
              <w:rPr>
                <w:sz w:val="20"/>
                <w:szCs w:val="20"/>
              </w:rPr>
              <w:t xml:space="preserve">[-0.1189, 0.121]</w:t>
            </w:r>
          </w:p>
        </w:tc>
      </w:tr>
      <w:tr>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3.2707</w:t>
            </w:r>
          </w:p>
        </w:tc>
        <w:tc>
          <w:tcPr>
            <w:tcW w:w="0" w:type="auto"/>
          </w:tcPr>
          <w:p>
            <w:pPr>
              <w:spacing w:line="240" w:lineRule="auto" w:before="0" w:after="0"/>
              <w:pStyle w:val="Compact"/>
            </w:pPr>
            <w:r>
              <w:rPr>
                <w:sz w:val="20"/>
                <w:szCs w:val="20"/>
              </w:rPr>
              <w:t xml:space="preserve">1.287</w:t>
            </w:r>
          </w:p>
        </w:tc>
        <w:tc>
          <w:tcPr>
            <w:tcW w:w="0" w:type="auto"/>
          </w:tcPr>
          <w:p>
            <w:pPr>
              <w:spacing w:line="240" w:lineRule="auto" w:before="0" w:after="0"/>
              <w:pStyle w:val="Compact"/>
            </w:pPr>
            <w:r>
              <w:rPr>
                <w:sz w:val="20"/>
                <w:szCs w:val="20"/>
              </w:rPr>
              <w:t xml:space="preserve">2.5413</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[0.7482, 5.7931]</w:t>
            </w:r>
          </w:p>
        </w:tc>
      </w:tr>
      <w:tr>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19.9027</w:t>
            </w:r>
          </w:p>
        </w:tc>
        <w:tc>
          <w:tcPr>
            <w:tcW w:w="0" w:type="auto"/>
          </w:tcPr>
          <w:p>
            <w:pPr>
              <w:spacing w:line="240" w:lineRule="auto" w:before="0" w:after="0"/>
              <w:pStyle w:val="Compact"/>
            </w:pPr>
            <w:r>
              <w:rPr>
                <w:sz w:val="20"/>
                <w:szCs w:val="20"/>
              </w:rPr>
              <w:t xml:space="preserve">4.7509</w:t>
            </w:r>
          </w:p>
        </w:tc>
        <w:tc>
          <w:tcPr>
            <w:tcW w:w="0" w:type="auto"/>
          </w:tcPr>
          <w:p>
            <w:pPr>
              <w:spacing w:line="240" w:lineRule="auto" w:before="0" w:after="0"/>
              <w:pStyle w:val="Compact"/>
            </w:pPr>
            <w:r>
              <w:rPr>
                <w:sz w:val="20"/>
                <w:szCs w:val="20"/>
              </w:rPr>
              <w:t xml:space="preserve">4.1892</w:t>
            </w:r>
          </w:p>
        </w:tc>
        <w:tc>
          <w:tcPr>
            <w:tcW w:w="0" w:type="auto"/>
          </w:tcPr>
          <w:p>
            <w:pPr>
              <w:spacing w:line="240" w:lineRule="auto" w:before="0" w:after="0"/>
              <w:pStyle w:val="Compact"/>
            </w:pPr>
            <w:r>
              <w:rPr>
                <w:sz w:val="20"/>
                <w:szCs w:val="20"/>
              </w:rPr>
              <w:t xml:space="preserve">2.799e-05</w:t>
            </w:r>
          </w:p>
        </w:tc>
        <w:tc>
          <w:tcPr>
            <w:tcW w:w="0" w:type="auto"/>
          </w:tcPr>
          <w:p>
            <w:pPr>
              <w:spacing w:line="240" w:lineRule="auto" w:before="0" w:after="0"/>
              <w:pStyle w:val="Compact"/>
            </w:pPr>
            <w:r>
              <w:rPr>
                <w:sz w:val="20"/>
                <w:szCs w:val="20"/>
              </w:rPr>
              <w:t xml:space="preserve">[10.591, 29.2144]</w:t>
            </w:r>
          </w:p>
        </w:tc>
      </w:tr>
      <w:tr>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-2.8599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[-0.9702, -0.1812]</w:t>
            </w:r>
          </w:p>
        </w:tc>
      </w:tr>
    </w:tbl>
    <w:p>
      <w:pPr>
        <w:pStyle w:val="BodyText"/>
      </w:pPr>
      <w:r>
        <w:t xml:space="preserve">Fit: N = 37 R2 = 0.6678 R2_adj = 0.6263 F = 6.1981 F_p = 0.0008242</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16/j.actaastro.2024.12.056" TargetMode="External" /><Relationship Type="http://schemas.openxmlformats.org/officeDocument/2006/relationships/hyperlink" Id="rId71" Target="https://doi.org/10.2514/8.155"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24.12.056" TargetMode="External" /><Relationship Type="http://schemas.openxmlformats.org/officeDocument/2006/relationships/hyperlink" Id="rId71" Target="https://doi.org/10.2514/8.1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2026-06-26T16:46:26Z</dcterms:created>
  <dcterms:modified xsi:type="dcterms:W3CDTF">2026-06-26T16:46:26Z</dcterms:modified>
</cp:coreProperties>
</file>

<file path=docProps/custom.xml><?xml version="1.0" encoding="utf-8"?>
<Properties xmlns="http://schemas.openxmlformats.org/officeDocument/2006/custom-properties" xmlns:vt="http://schemas.openxmlformats.org/officeDocument/2006/docPropsVTypes"/>
</file>